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D86EA5" w:rsidRPr="00D86EA5" w:rsidTr="00197073">
        <w:tc>
          <w:tcPr>
            <w:tcW w:w="4513" w:type="dxa"/>
            <w:tcBorders>
              <w:bottom w:val="single" w:sz="4" w:space="0" w:color="auto"/>
            </w:tcBorders>
            <w:tcMar>
              <w:bottom w:w="170" w:type="dxa"/>
            </w:tcMar>
          </w:tcPr>
          <w:p w:rsidR="00286B53" w:rsidRPr="00D86EA5" w:rsidRDefault="00286B53" w:rsidP="00286B53">
            <w:pPr>
              <w:rPr>
                <w:lang w:val="es-ES_tradnl"/>
              </w:rPr>
            </w:pPr>
          </w:p>
        </w:tc>
        <w:tc>
          <w:tcPr>
            <w:tcW w:w="4337" w:type="dxa"/>
            <w:tcBorders>
              <w:bottom w:val="single" w:sz="4" w:space="0" w:color="auto"/>
            </w:tcBorders>
            <w:tcMar>
              <w:left w:w="0" w:type="dxa"/>
              <w:right w:w="0" w:type="dxa"/>
            </w:tcMar>
          </w:tcPr>
          <w:p w:rsidR="00197073" w:rsidRPr="00D86EA5" w:rsidRDefault="00197073" w:rsidP="00197073">
            <w:pPr>
              <w:rPr>
                <w:lang w:val="es-ES_tradnl"/>
              </w:rPr>
            </w:pPr>
            <w:r w:rsidRPr="00D86EA5">
              <w:rPr>
                <w:noProof/>
              </w:rPr>
              <w:drawing>
                <wp:inline distT="0" distB="0" distL="0" distR="0" wp14:anchorId="6085372B" wp14:editId="71A246FB">
                  <wp:extent cx="1857375" cy="1323975"/>
                  <wp:effectExtent l="0" t="0" r="9525" b="9525"/>
                  <wp:docPr id="1025"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197073" w:rsidRPr="00D86EA5" w:rsidRDefault="002B1855" w:rsidP="00197073">
            <w:pPr>
              <w:jc w:val="right"/>
              <w:rPr>
                <w:lang w:val="es-ES_tradnl"/>
              </w:rPr>
            </w:pPr>
            <w:r w:rsidRPr="00D86EA5">
              <w:rPr>
                <w:b/>
                <w:sz w:val="40"/>
                <w:szCs w:val="40"/>
              </w:rPr>
              <w:t>S</w:t>
            </w:r>
          </w:p>
        </w:tc>
      </w:tr>
      <w:tr w:rsidR="00D86EA5" w:rsidRPr="00D86EA5" w:rsidTr="00197073">
        <w:trPr>
          <w:trHeight w:hRule="exact" w:val="340"/>
        </w:trPr>
        <w:tc>
          <w:tcPr>
            <w:tcW w:w="9356" w:type="dxa"/>
            <w:gridSpan w:val="3"/>
            <w:tcBorders>
              <w:top w:val="single" w:sz="4" w:space="0" w:color="auto"/>
            </w:tcBorders>
            <w:tcMar>
              <w:top w:w="170" w:type="dxa"/>
              <w:left w:w="0" w:type="dxa"/>
              <w:right w:w="0" w:type="dxa"/>
            </w:tcMar>
            <w:vAlign w:val="bottom"/>
          </w:tcPr>
          <w:p w:rsidR="00197073" w:rsidRPr="00D86EA5" w:rsidRDefault="00197073" w:rsidP="00527233">
            <w:pPr>
              <w:jc w:val="right"/>
              <w:rPr>
                <w:rFonts w:ascii="Arial Black" w:hAnsi="Arial Black"/>
                <w:caps/>
                <w:sz w:val="15"/>
                <w:lang w:val="es-ES_tradnl"/>
              </w:rPr>
            </w:pPr>
            <w:r w:rsidRPr="00D86EA5">
              <w:rPr>
                <w:rFonts w:ascii="Arial Black" w:hAnsi="Arial Black"/>
                <w:caps/>
                <w:sz w:val="15"/>
                <w:lang w:val="es-ES_tradnl"/>
              </w:rPr>
              <w:t>a/54/</w:t>
            </w:r>
            <w:bookmarkStart w:id="0" w:name="Code"/>
            <w:bookmarkEnd w:id="0"/>
            <w:r w:rsidRPr="00D86EA5">
              <w:rPr>
                <w:rFonts w:ascii="Arial Black" w:hAnsi="Arial Black"/>
                <w:caps/>
                <w:sz w:val="15"/>
                <w:lang w:val="es-ES_tradnl"/>
              </w:rPr>
              <w:t>6</w:t>
            </w:r>
            <w:r w:rsidR="00D90BF0">
              <w:rPr>
                <w:rFonts w:ascii="Arial Black" w:hAnsi="Arial Black"/>
                <w:caps/>
                <w:sz w:val="15"/>
                <w:lang w:val="es-ES_tradnl"/>
              </w:rPr>
              <w:t xml:space="preserve"> Rev</w:t>
            </w:r>
            <w:r w:rsidR="00527233">
              <w:rPr>
                <w:rFonts w:ascii="Arial Black" w:hAnsi="Arial Black"/>
                <w:caps/>
                <w:sz w:val="15"/>
                <w:lang w:val="es-ES_tradnl"/>
              </w:rPr>
              <w:t>. 2</w:t>
            </w:r>
          </w:p>
        </w:tc>
      </w:tr>
      <w:tr w:rsidR="00D86EA5" w:rsidRPr="00D86EA5" w:rsidTr="00197073">
        <w:trPr>
          <w:trHeight w:hRule="exact" w:val="170"/>
        </w:trPr>
        <w:tc>
          <w:tcPr>
            <w:tcW w:w="9356" w:type="dxa"/>
            <w:gridSpan w:val="3"/>
            <w:noWrap/>
            <w:tcMar>
              <w:left w:w="0" w:type="dxa"/>
              <w:right w:w="0" w:type="dxa"/>
            </w:tcMar>
            <w:vAlign w:val="bottom"/>
          </w:tcPr>
          <w:p w:rsidR="00197073" w:rsidRPr="00D86EA5" w:rsidRDefault="00197073" w:rsidP="002B1855">
            <w:pPr>
              <w:jc w:val="right"/>
              <w:rPr>
                <w:rFonts w:ascii="Arial Black" w:hAnsi="Arial Black"/>
                <w:caps/>
                <w:sz w:val="15"/>
                <w:lang w:val="es-ES_tradnl"/>
              </w:rPr>
            </w:pPr>
            <w:r w:rsidRPr="00D86EA5">
              <w:rPr>
                <w:rFonts w:ascii="Arial Black" w:hAnsi="Arial Black"/>
                <w:caps/>
                <w:sz w:val="15"/>
                <w:lang w:val="es-ES_tradnl"/>
              </w:rPr>
              <w:t>ORIGINAL:  INGLÉS</w:t>
            </w:r>
            <w:bookmarkStart w:id="1" w:name="Original"/>
            <w:bookmarkEnd w:id="1"/>
          </w:p>
        </w:tc>
      </w:tr>
      <w:tr w:rsidR="00D86EA5" w:rsidRPr="00D86EA5" w:rsidTr="00197073">
        <w:trPr>
          <w:trHeight w:hRule="exact" w:val="198"/>
        </w:trPr>
        <w:tc>
          <w:tcPr>
            <w:tcW w:w="9356" w:type="dxa"/>
            <w:gridSpan w:val="3"/>
            <w:tcMar>
              <w:left w:w="0" w:type="dxa"/>
              <w:right w:w="0" w:type="dxa"/>
            </w:tcMar>
            <w:vAlign w:val="bottom"/>
          </w:tcPr>
          <w:p w:rsidR="00197073" w:rsidRPr="00D86EA5" w:rsidRDefault="00197073" w:rsidP="00D90BF0">
            <w:pPr>
              <w:jc w:val="right"/>
              <w:rPr>
                <w:rFonts w:ascii="Arial Black" w:hAnsi="Arial Black"/>
                <w:caps/>
                <w:sz w:val="15"/>
                <w:lang w:val="es-ES_tradnl"/>
              </w:rPr>
            </w:pPr>
            <w:r w:rsidRPr="00D86EA5">
              <w:rPr>
                <w:rFonts w:ascii="Arial Black" w:hAnsi="Arial Black"/>
                <w:caps/>
                <w:sz w:val="15"/>
                <w:lang w:val="es-ES_tradnl"/>
              </w:rPr>
              <w:t xml:space="preserve">fecha:  </w:t>
            </w:r>
            <w:r w:rsidR="00527233">
              <w:rPr>
                <w:rFonts w:ascii="Arial Black" w:hAnsi="Arial Black"/>
                <w:caps/>
                <w:sz w:val="15"/>
                <w:lang w:val="es-ES_tradnl"/>
              </w:rPr>
              <w:t>25</w:t>
            </w:r>
            <w:r w:rsidR="00D90BF0">
              <w:rPr>
                <w:rFonts w:ascii="Arial Black" w:hAnsi="Arial Black"/>
                <w:caps/>
                <w:sz w:val="15"/>
                <w:lang w:val="es-ES_tradnl"/>
              </w:rPr>
              <w:t xml:space="preserve"> de septiembre </w:t>
            </w:r>
            <w:r w:rsidRPr="00D86EA5">
              <w:rPr>
                <w:rFonts w:ascii="Arial Black" w:hAnsi="Arial Black"/>
                <w:caps/>
                <w:sz w:val="15"/>
                <w:lang w:val="es-ES_tradnl"/>
              </w:rPr>
              <w:t>DE 2014</w:t>
            </w:r>
            <w:bookmarkStart w:id="2" w:name="Date"/>
            <w:bookmarkEnd w:id="2"/>
          </w:p>
        </w:tc>
      </w:tr>
    </w:tbl>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2B1855">
      <w:pPr>
        <w:rPr>
          <w:lang w:val="es-ES_tradnl"/>
        </w:rPr>
      </w:pPr>
    </w:p>
    <w:p w:rsidR="00197073" w:rsidRPr="00D86EA5" w:rsidRDefault="00197073" w:rsidP="00197073">
      <w:pPr>
        <w:rPr>
          <w:lang w:val="es-ES_tradnl"/>
        </w:rPr>
      </w:pPr>
    </w:p>
    <w:p w:rsidR="00197073" w:rsidRPr="00D86EA5" w:rsidRDefault="00197073" w:rsidP="00197073">
      <w:pPr>
        <w:rPr>
          <w:b/>
          <w:sz w:val="28"/>
          <w:szCs w:val="28"/>
          <w:lang w:val="es-ES_tradnl"/>
        </w:rPr>
      </w:pPr>
      <w:r w:rsidRPr="00D86EA5">
        <w:rPr>
          <w:b/>
          <w:sz w:val="28"/>
          <w:szCs w:val="28"/>
          <w:lang w:val="es-ES_tradnl"/>
        </w:rPr>
        <w:t>Asambleas de los Estados miembros de la OMPI</w:t>
      </w: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b/>
          <w:sz w:val="24"/>
          <w:lang w:val="es-ES_tradnl"/>
        </w:rPr>
      </w:pPr>
      <w:r w:rsidRPr="00D86EA5">
        <w:rPr>
          <w:b/>
          <w:sz w:val="24"/>
          <w:lang w:val="es-ES_tradnl"/>
        </w:rPr>
        <w:t>Quincuagésima cuarta serie de reuniones</w:t>
      </w:r>
    </w:p>
    <w:p w:rsidR="00197073" w:rsidRPr="00D86EA5" w:rsidRDefault="00197073" w:rsidP="00197073">
      <w:pPr>
        <w:rPr>
          <w:b/>
          <w:sz w:val="24"/>
          <w:lang w:val="es-ES_tradnl"/>
        </w:rPr>
      </w:pPr>
      <w:r w:rsidRPr="00D86EA5">
        <w:rPr>
          <w:b/>
          <w:sz w:val="24"/>
          <w:lang w:val="es-ES_tradnl"/>
        </w:rPr>
        <w:t>Ginebra, 22 a 30 de septiembre de 2014</w:t>
      </w: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caps/>
          <w:sz w:val="24"/>
          <w:lang w:val="es-ES_tradnl"/>
        </w:rPr>
      </w:pPr>
      <w:r w:rsidRPr="00D86EA5">
        <w:rPr>
          <w:caps/>
          <w:sz w:val="24"/>
          <w:lang w:val="es-ES_tradnl"/>
        </w:rPr>
        <w:t>Informe sobre el rendimiento de los programas en 2012/13</w:t>
      </w:r>
    </w:p>
    <w:p w:rsidR="00197073" w:rsidRPr="00D86EA5" w:rsidRDefault="00197073" w:rsidP="00197073">
      <w:pPr>
        <w:rPr>
          <w:sz w:val="22"/>
          <w:szCs w:val="22"/>
          <w:lang w:val="es-ES_tradnl"/>
        </w:rPr>
      </w:pPr>
    </w:p>
    <w:p w:rsidR="00197073" w:rsidRPr="00D86EA5" w:rsidRDefault="00197073" w:rsidP="00197073">
      <w:pPr>
        <w:rPr>
          <w:i/>
          <w:sz w:val="22"/>
          <w:szCs w:val="22"/>
          <w:lang w:val="es-ES_tradnl"/>
        </w:rPr>
      </w:pPr>
      <w:r w:rsidRPr="00D86EA5">
        <w:rPr>
          <w:i/>
          <w:sz w:val="22"/>
          <w:szCs w:val="22"/>
          <w:lang w:val="es-ES_tradnl"/>
        </w:rPr>
        <w:t>presentado por el Director General</w:t>
      </w:r>
    </w:p>
    <w:p w:rsidR="00197073" w:rsidRPr="00D86EA5" w:rsidRDefault="00197073">
      <w:pPr>
        <w:rPr>
          <w:sz w:val="22"/>
          <w:szCs w:val="22"/>
          <w:lang w:val="es-ES_tradnl"/>
        </w:rPr>
      </w:pPr>
    </w:p>
    <w:p w:rsidR="00197073" w:rsidRPr="00D86EA5" w:rsidRDefault="00197073">
      <w:pPr>
        <w:rPr>
          <w:sz w:val="22"/>
          <w:szCs w:val="22"/>
          <w:lang w:val="es-ES_tradnl"/>
        </w:rPr>
      </w:pPr>
    </w:p>
    <w:p w:rsidR="00197073" w:rsidRPr="00D86EA5" w:rsidRDefault="00197073">
      <w:pPr>
        <w:rPr>
          <w:sz w:val="22"/>
          <w:szCs w:val="22"/>
          <w:lang w:val="es-ES_tradnl"/>
        </w:rPr>
      </w:pPr>
    </w:p>
    <w:p w:rsidR="00197073" w:rsidRPr="00D86EA5" w:rsidRDefault="00197073" w:rsidP="00197073">
      <w:pPr>
        <w:rPr>
          <w:sz w:val="22"/>
          <w:szCs w:val="22"/>
          <w:lang w:val="es-ES_tradnl"/>
        </w:rPr>
      </w:pPr>
    </w:p>
    <w:p w:rsidR="00197073" w:rsidRPr="00D86EA5" w:rsidRDefault="00197073" w:rsidP="00197073">
      <w:pPr>
        <w:rPr>
          <w:sz w:val="22"/>
          <w:szCs w:val="22"/>
          <w:lang w:val="es-ES_tradnl"/>
        </w:rPr>
      </w:pPr>
    </w:p>
    <w:p w:rsidR="00197073" w:rsidRDefault="00197073" w:rsidP="0053316D">
      <w:pPr>
        <w:pStyle w:val="ONUME"/>
        <w:numPr>
          <w:ilvl w:val="0"/>
          <w:numId w:val="81"/>
        </w:numPr>
        <w:rPr>
          <w:sz w:val="22"/>
          <w:szCs w:val="22"/>
          <w:lang w:val="es-ES_tradnl"/>
        </w:rPr>
      </w:pPr>
      <w:r w:rsidRPr="00D86EA5">
        <w:rPr>
          <w:sz w:val="22"/>
          <w:szCs w:val="22"/>
          <w:lang w:val="es-ES_tradnl"/>
        </w:rPr>
        <w:t xml:space="preserve">El presente documento contiene el informe sobre el rendimiento de los programas (en lo sucesivo “el PPR”) en 2012/13, que </w:t>
      </w:r>
      <w:r w:rsidR="00D90BF0">
        <w:rPr>
          <w:sz w:val="22"/>
          <w:szCs w:val="22"/>
          <w:lang w:val="es-ES_tradnl"/>
        </w:rPr>
        <w:t>fue presentado</w:t>
      </w:r>
      <w:r w:rsidRPr="00D86EA5">
        <w:rPr>
          <w:sz w:val="22"/>
          <w:szCs w:val="22"/>
          <w:lang w:val="es-ES_tradnl"/>
        </w:rPr>
        <w:t xml:space="preserve"> en la vigésima segunda sesión (1 a 5 de septiembre de 2014) del Comité del Programa y Presupuesto (PBC) de la OMPI.</w:t>
      </w:r>
    </w:p>
    <w:p w:rsidR="00D90BF0" w:rsidRPr="00D86EA5" w:rsidRDefault="00527233" w:rsidP="0053316D">
      <w:pPr>
        <w:pStyle w:val="ONUME"/>
        <w:numPr>
          <w:ilvl w:val="0"/>
          <w:numId w:val="81"/>
        </w:numPr>
        <w:rPr>
          <w:sz w:val="22"/>
          <w:szCs w:val="22"/>
          <w:lang w:val="es-ES_tradnl"/>
        </w:rPr>
      </w:pPr>
      <w:r>
        <w:rPr>
          <w:sz w:val="22"/>
          <w:szCs w:val="22"/>
          <w:lang w:val="es-ES_tradnl"/>
        </w:rPr>
        <w:t>Tras las revisiones efectuadas durante esa sesión (en el Apéndice II, “</w:t>
      </w:r>
      <w:r w:rsidR="00D90BF0">
        <w:rPr>
          <w:sz w:val="22"/>
          <w:szCs w:val="22"/>
          <w:lang w:val="es-ES_tradnl"/>
        </w:rPr>
        <w:t>Ejecución de los fondos fiduciarios en 2013</w:t>
      </w:r>
      <w:r>
        <w:rPr>
          <w:sz w:val="22"/>
          <w:szCs w:val="22"/>
          <w:lang w:val="es-ES_tradnl"/>
        </w:rPr>
        <w:t>”, y en</w:t>
      </w:r>
      <w:r w:rsidR="00D90BF0">
        <w:rPr>
          <w:sz w:val="22"/>
          <w:szCs w:val="22"/>
          <w:lang w:val="es-ES_tradnl"/>
        </w:rPr>
        <w:t xml:space="preserve"> los programas 9 y 30</w:t>
      </w:r>
      <w:r>
        <w:rPr>
          <w:sz w:val="22"/>
          <w:szCs w:val="22"/>
          <w:lang w:val="es-ES_tradnl"/>
        </w:rPr>
        <w:t>), los Estados miembros pidieron, durante la 54ª serie de reuniones de las Asambleas, que se introdujeran otras revisiones en los programas 9 y 10</w:t>
      </w:r>
      <w:r w:rsidR="00D90BF0">
        <w:rPr>
          <w:sz w:val="22"/>
          <w:szCs w:val="22"/>
          <w:lang w:val="es-ES_tradnl"/>
        </w:rPr>
        <w:t xml:space="preserve">.  </w:t>
      </w:r>
    </w:p>
    <w:p w:rsidR="00197073" w:rsidRPr="00D86EA5" w:rsidRDefault="00197073" w:rsidP="00D90BF0">
      <w:pPr>
        <w:pStyle w:val="ONUME"/>
        <w:numPr>
          <w:ilvl w:val="0"/>
          <w:numId w:val="81"/>
        </w:numPr>
        <w:ind w:right="-143"/>
        <w:rPr>
          <w:sz w:val="22"/>
          <w:szCs w:val="22"/>
          <w:lang w:val="es-ES_tradnl"/>
        </w:rPr>
      </w:pPr>
      <w:r w:rsidRPr="00D86EA5">
        <w:rPr>
          <w:sz w:val="22"/>
          <w:szCs w:val="22"/>
          <w:lang w:val="es-ES_tradnl"/>
        </w:rPr>
        <w:t>Toda decisión que tome el PBC con respecto al documento</w:t>
      </w:r>
      <w:r w:rsidR="00D90BF0">
        <w:rPr>
          <w:sz w:val="22"/>
          <w:szCs w:val="22"/>
          <w:lang w:val="es-ES_tradnl"/>
        </w:rPr>
        <w:t xml:space="preserve"> revisado (WO/PBC/22/8 Rev.)</w:t>
      </w:r>
      <w:r w:rsidRPr="00D86EA5">
        <w:rPr>
          <w:sz w:val="22"/>
          <w:szCs w:val="22"/>
          <w:lang w:val="es-ES_tradnl"/>
        </w:rPr>
        <w:t>, constará en la Lista de decisiones adoptadas por el Comité del Programa y Presupuesto en su vigésima segunda sesión (1 a 5 de septiemb</w:t>
      </w:r>
      <w:r w:rsidR="00A56EA0">
        <w:rPr>
          <w:sz w:val="22"/>
          <w:szCs w:val="22"/>
          <w:lang w:val="es-ES_tradnl"/>
        </w:rPr>
        <w:t xml:space="preserve">re de 2014) (documento </w:t>
      </w:r>
      <w:r w:rsidRPr="00D86EA5">
        <w:rPr>
          <w:sz w:val="22"/>
          <w:szCs w:val="22"/>
          <w:lang w:val="es-ES_tradnl"/>
        </w:rPr>
        <w:t xml:space="preserve">A/54/5). </w:t>
      </w:r>
    </w:p>
    <w:p w:rsidR="00197073" w:rsidRPr="00D86EA5" w:rsidRDefault="00197073" w:rsidP="00197073">
      <w:pPr>
        <w:pStyle w:val="ONUME"/>
        <w:tabs>
          <w:tab w:val="left" w:pos="6096"/>
        </w:tabs>
        <w:spacing w:after="0"/>
        <w:ind w:left="5533"/>
        <w:rPr>
          <w:i/>
          <w:sz w:val="22"/>
          <w:szCs w:val="22"/>
          <w:lang w:val="es-ES_tradnl"/>
        </w:rPr>
      </w:pPr>
    </w:p>
    <w:p w:rsidR="00197073" w:rsidRPr="00D86EA5" w:rsidRDefault="00197073" w:rsidP="00197073">
      <w:pPr>
        <w:pStyle w:val="ONUME"/>
        <w:tabs>
          <w:tab w:val="left" w:pos="6096"/>
        </w:tabs>
        <w:spacing w:after="0"/>
        <w:ind w:left="5533"/>
        <w:rPr>
          <w:i/>
          <w:sz w:val="22"/>
          <w:szCs w:val="22"/>
          <w:lang w:val="es-ES_tradnl"/>
        </w:rPr>
      </w:pPr>
    </w:p>
    <w:p w:rsidR="00197073" w:rsidRPr="00D86EA5" w:rsidRDefault="00197073" w:rsidP="00527233">
      <w:pPr>
        <w:pStyle w:val="Endofdocument-Annex"/>
        <w:ind w:left="5103"/>
        <w:rPr>
          <w:lang w:val="es-ES_tradnl"/>
        </w:rPr>
      </w:pPr>
      <w:r w:rsidRPr="00D86EA5">
        <w:rPr>
          <w:lang w:val="es-ES_tradnl"/>
        </w:rPr>
        <w:t>[Sigue el documento WO/PBC/22/8</w:t>
      </w:r>
      <w:r w:rsidR="00D90BF0">
        <w:rPr>
          <w:lang w:val="es-ES_tradnl"/>
        </w:rPr>
        <w:t xml:space="preserve"> Rev.</w:t>
      </w:r>
      <w:r w:rsidR="00527233">
        <w:rPr>
          <w:lang w:val="es-ES_tradnl"/>
        </w:rPr>
        <w:t xml:space="preserve"> 2</w:t>
      </w:r>
      <w:r w:rsidRPr="00D86EA5">
        <w:rPr>
          <w:lang w:val="es-ES_tradnl"/>
        </w:rPr>
        <w:t>]</w:t>
      </w:r>
    </w:p>
    <w:p w:rsidR="00D90BF0" w:rsidRDefault="00D90BF0">
      <w:pPr>
        <w:rPr>
          <w:lang w:val="es-ES_tradnl"/>
        </w:rPr>
      </w:pPr>
      <w:r>
        <w:rPr>
          <w:lang w:val="es-ES_tradnl"/>
        </w:rPr>
        <w:br w:type="page"/>
      </w:r>
    </w:p>
    <w:p w:rsidR="00197073" w:rsidRPr="00D86EA5" w:rsidRDefault="00197073">
      <w:pPr>
        <w:rPr>
          <w:lang w:val="es-ES_tradnl"/>
        </w:rPr>
      </w:pPr>
    </w:p>
    <w:p w:rsidR="002B1855" w:rsidRDefault="002B1855">
      <w:pPr>
        <w:rPr>
          <w:lang w:val="es-ES_tradnl"/>
        </w:rPr>
      </w:pPr>
    </w:p>
    <w:p w:rsidR="00D90BF0" w:rsidRDefault="00D90BF0">
      <w:pPr>
        <w:rPr>
          <w:lang w:val="es-ES_tradnl"/>
        </w:rPr>
      </w:pPr>
    </w:p>
    <w:p w:rsidR="00D90BF0" w:rsidRPr="00D86EA5" w:rsidRDefault="00D90BF0">
      <w:pPr>
        <w:rPr>
          <w:lang w:val="es-ES_tradnl"/>
        </w:rPr>
        <w:sectPr w:rsidR="00D90BF0" w:rsidRPr="00D86EA5" w:rsidSect="00197073">
          <w:headerReference w:type="default" r:id="rId10"/>
          <w:footerReference w:type="even" r:id="rId11"/>
          <w:pgSz w:w="11907" w:h="16840" w:code="9"/>
          <w:pgMar w:top="567" w:right="1134" w:bottom="1418" w:left="1418" w:header="510" w:footer="1021" w:gutter="0"/>
          <w:pgNumType w:fmt="lowerRoman" w:start="1"/>
          <w:cols w:space="720"/>
          <w:titlePg/>
          <w:docGrid w:linePitch="272"/>
        </w:sectPr>
      </w:pPr>
    </w:p>
    <w:tbl>
      <w:tblPr>
        <w:tblW w:w="9356" w:type="dxa"/>
        <w:tblInd w:w="108" w:type="dxa"/>
        <w:tblLayout w:type="fixed"/>
        <w:tblLook w:val="01E0" w:firstRow="1" w:lastRow="1" w:firstColumn="1" w:lastColumn="1" w:noHBand="0" w:noVBand="0"/>
      </w:tblPr>
      <w:tblGrid>
        <w:gridCol w:w="4513"/>
        <w:gridCol w:w="4337"/>
        <w:gridCol w:w="506"/>
      </w:tblGrid>
      <w:tr w:rsidR="00D86EA5" w:rsidRPr="00D86EA5" w:rsidTr="00197073">
        <w:tc>
          <w:tcPr>
            <w:tcW w:w="4513" w:type="dxa"/>
            <w:tcBorders>
              <w:bottom w:val="single" w:sz="4" w:space="0" w:color="auto"/>
            </w:tcBorders>
            <w:tcMar>
              <w:bottom w:w="170" w:type="dxa"/>
            </w:tcMar>
          </w:tcPr>
          <w:p w:rsidR="00197073" w:rsidRPr="00D86EA5" w:rsidRDefault="00197073" w:rsidP="00197073">
            <w:pPr>
              <w:rPr>
                <w:lang w:val="es-ES_tradnl"/>
              </w:rPr>
            </w:pPr>
            <w:bookmarkStart w:id="4" w:name="_Toc327875008"/>
          </w:p>
        </w:tc>
        <w:tc>
          <w:tcPr>
            <w:tcW w:w="4337" w:type="dxa"/>
            <w:tcBorders>
              <w:bottom w:val="single" w:sz="4" w:space="0" w:color="auto"/>
            </w:tcBorders>
            <w:tcMar>
              <w:left w:w="0" w:type="dxa"/>
              <w:right w:w="0" w:type="dxa"/>
            </w:tcMar>
          </w:tcPr>
          <w:p w:rsidR="00197073" w:rsidRPr="00D86EA5" w:rsidRDefault="00197073" w:rsidP="00197073">
            <w:pPr>
              <w:rPr>
                <w:lang w:val="es-ES_tradnl"/>
              </w:rPr>
            </w:pPr>
            <w:r w:rsidRPr="00D86EA5">
              <w:rPr>
                <w:noProof/>
              </w:rPr>
              <w:drawing>
                <wp:inline distT="0" distB="0" distL="0" distR="0" wp14:anchorId="5BF1D13C" wp14:editId="66F4C289">
                  <wp:extent cx="1857375" cy="1323975"/>
                  <wp:effectExtent l="0" t="0" r="9525" b="9525"/>
                  <wp:docPr id="1026"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197073" w:rsidRPr="00D86EA5" w:rsidRDefault="00197073" w:rsidP="00197073">
            <w:pPr>
              <w:jc w:val="right"/>
              <w:rPr>
                <w:lang w:val="es-ES_tradnl"/>
              </w:rPr>
            </w:pPr>
            <w:r w:rsidRPr="00D86EA5">
              <w:rPr>
                <w:b/>
                <w:sz w:val="40"/>
                <w:szCs w:val="40"/>
                <w:lang w:val="es-ES_tradnl"/>
              </w:rPr>
              <w:t>S</w:t>
            </w:r>
          </w:p>
        </w:tc>
      </w:tr>
      <w:tr w:rsidR="00D86EA5" w:rsidRPr="00D86EA5" w:rsidTr="00197073">
        <w:trPr>
          <w:trHeight w:hRule="exact" w:val="340"/>
        </w:trPr>
        <w:tc>
          <w:tcPr>
            <w:tcW w:w="9356" w:type="dxa"/>
            <w:gridSpan w:val="3"/>
            <w:tcBorders>
              <w:top w:val="single" w:sz="4" w:space="0" w:color="auto"/>
            </w:tcBorders>
            <w:tcMar>
              <w:top w:w="170" w:type="dxa"/>
              <w:left w:w="0" w:type="dxa"/>
              <w:right w:w="0" w:type="dxa"/>
            </w:tcMar>
            <w:vAlign w:val="bottom"/>
          </w:tcPr>
          <w:p w:rsidR="00197073" w:rsidRPr="00D86EA5" w:rsidRDefault="00197073" w:rsidP="00FE709C">
            <w:pPr>
              <w:jc w:val="right"/>
              <w:rPr>
                <w:rFonts w:ascii="Arial Black" w:hAnsi="Arial Black"/>
                <w:caps/>
                <w:sz w:val="15"/>
                <w:lang w:val="es-ES_tradnl"/>
              </w:rPr>
            </w:pPr>
            <w:r w:rsidRPr="00D86EA5">
              <w:rPr>
                <w:rFonts w:ascii="Arial Black" w:hAnsi="Arial Black"/>
                <w:caps/>
                <w:sz w:val="15"/>
                <w:lang w:val="es-ES_tradnl"/>
              </w:rPr>
              <w:t>WO/PBC/22</w:t>
            </w:r>
            <w:r w:rsidR="00FE709C" w:rsidRPr="00D86EA5">
              <w:rPr>
                <w:rFonts w:ascii="Arial Black" w:hAnsi="Arial Black"/>
                <w:caps/>
                <w:sz w:val="15"/>
                <w:lang w:val="es-ES_tradnl"/>
              </w:rPr>
              <w:t>/8</w:t>
            </w:r>
            <w:r w:rsidR="00D90BF0">
              <w:rPr>
                <w:rFonts w:ascii="Arial Black" w:hAnsi="Arial Black"/>
                <w:caps/>
                <w:sz w:val="15"/>
                <w:lang w:val="es-ES_tradnl"/>
              </w:rPr>
              <w:t xml:space="preserve"> Rev.</w:t>
            </w:r>
            <w:r w:rsidR="00527233">
              <w:rPr>
                <w:rFonts w:ascii="Arial Black" w:hAnsi="Arial Black"/>
                <w:caps/>
                <w:sz w:val="15"/>
                <w:lang w:val="es-ES_tradnl"/>
              </w:rPr>
              <w:t xml:space="preserve"> 2</w:t>
            </w:r>
          </w:p>
        </w:tc>
      </w:tr>
      <w:tr w:rsidR="00D86EA5" w:rsidRPr="00D86EA5" w:rsidTr="00197073">
        <w:trPr>
          <w:trHeight w:hRule="exact" w:val="170"/>
        </w:trPr>
        <w:tc>
          <w:tcPr>
            <w:tcW w:w="9356" w:type="dxa"/>
            <w:gridSpan w:val="3"/>
            <w:noWrap/>
            <w:tcMar>
              <w:left w:w="0" w:type="dxa"/>
              <w:right w:w="0" w:type="dxa"/>
            </w:tcMar>
            <w:vAlign w:val="bottom"/>
          </w:tcPr>
          <w:p w:rsidR="00197073" w:rsidRPr="00D86EA5" w:rsidRDefault="00FE709C" w:rsidP="00FE709C">
            <w:pPr>
              <w:jc w:val="right"/>
              <w:rPr>
                <w:rFonts w:ascii="Arial Black" w:hAnsi="Arial Black"/>
                <w:caps/>
                <w:sz w:val="15"/>
                <w:lang w:val="es-ES_tradnl"/>
              </w:rPr>
            </w:pPr>
            <w:r w:rsidRPr="00D86EA5">
              <w:rPr>
                <w:rFonts w:ascii="Arial Black" w:hAnsi="Arial Black"/>
                <w:caps/>
                <w:sz w:val="15"/>
                <w:lang w:val="es-ES_tradnl"/>
              </w:rPr>
              <w:t>ORIGINAL:  INGLÉS</w:t>
            </w:r>
          </w:p>
        </w:tc>
      </w:tr>
      <w:tr w:rsidR="00D86EA5" w:rsidRPr="00D86EA5" w:rsidTr="00197073">
        <w:trPr>
          <w:trHeight w:hRule="exact" w:val="198"/>
        </w:trPr>
        <w:tc>
          <w:tcPr>
            <w:tcW w:w="9356" w:type="dxa"/>
            <w:gridSpan w:val="3"/>
            <w:tcMar>
              <w:left w:w="0" w:type="dxa"/>
              <w:right w:w="0" w:type="dxa"/>
            </w:tcMar>
            <w:vAlign w:val="bottom"/>
          </w:tcPr>
          <w:p w:rsidR="00197073" w:rsidRPr="00D86EA5" w:rsidRDefault="00D90BF0" w:rsidP="00D90BF0">
            <w:pPr>
              <w:jc w:val="right"/>
              <w:rPr>
                <w:rFonts w:ascii="Arial Black" w:hAnsi="Arial Black"/>
                <w:caps/>
                <w:sz w:val="15"/>
                <w:lang w:val="es-ES_tradnl"/>
              </w:rPr>
            </w:pPr>
            <w:r>
              <w:rPr>
                <w:rFonts w:ascii="Arial Black" w:hAnsi="Arial Black"/>
                <w:caps/>
                <w:sz w:val="15"/>
                <w:lang w:val="es-ES_tradnl"/>
              </w:rPr>
              <w:t xml:space="preserve">fecha:  </w:t>
            </w:r>
            <w:r w:rsidR="00527233">
              <w:rPr>
                <w:rFonts w:ascii="Arial Black" w:hAnsi="Arial Black"/>
                <w:caps/>
                <w:sz w:val="15"/>
                <w:lang w:val="es-ES_tradnl"/>
              </w:rPr>
              <w:t>2</w:t>
            </w:r>
            <w:r>
              <w:rPr>
                <w:rFonts w:ascii="Arial Black" w:hAnsi="Arial Black"/>
                <w:caps/>
                <w:sz w:val="15"/>
                <w:lang w:val="es-ES_tradnl"/>
              </w:rPr>
              <w:t>5 de septiembre</w:t>
            </w:r>
            <w:r w:rsidR="00FE709C" w:rsidRPr="00D86EA5">
              <w:rPr>
                <w:rFonts w:ascii="Arial Black" w:hAnsi="Arial Black"/>
                <w:caps/>
                <w:sz w:val="15"/>
                <w:lang w:val="es-ES_tradnl"/>
              </w:rPr>
              <w:t xml:space="preserve"> DE 2014</w:t>
            </w:r>
          </w:p>
        </w:tc>
      </w:tr>
    </w:tbl>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b/>
          <w:sz w:val="28"/>
          <w:szCs w:val="28"/>
          <w:lang w:val="es-ES_tradnl"/>
        </w:rPr>
      </w:pPr>
      <w:r w:rsidRPr="00D86EA5">
        <w:rPr>
          <w:b/>
          <w:sz w:val="28"/>
          <w:szCs w:val="28"/>
          <w:lang w:val="es-ES_tradnl"/>
        </w:rPr>
        <w:t>Comité del Programa y Presupuesto</w:t>
      </w: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b/>
          <w:sz w:val="24"/>
          <w:lang w:val="es-ES_tradnl"/>
        </w:rPr>
      </w:pPr>
      <w:r w:rsidRPr="00D86EA5">
        <w:rPr>
          <w:b/>
          <w:sz w:val="24"/>
          <w:lang w:val="es-ES_tradnl"/>
        </w:rPr>
        <w:t>Vigésima segunda sesión</w:t>
      </w:r>
    </w:p>
    <w:p w:rsidR="00197073" w:rsidRPr="00D86EA5" w:rsidRDefault="00197073" w:rsidP="00197073">
      <w:pPr>
        <w:rPr>
          <w:b/>
          <w:sz w:val="24"/>
          <w:lang w:val="es-ES_tradnl"/>
        </w:rPr>
      </w:pPr>
      <w:r w:rsidRPr="00D86EA5">
        <w:rPr>
          <w:b/>
          <w:sz w:val="24"/>
          <w:lang w:val="es-ES_tradnl"/>
        </w:rPr>
        <w:t>Ginebra, 1 a 5 de septiembre de 2014</w:t>
      </w: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caps/>
          <w:sz w:val="24"/>
          <w:lang w:val="es-ES_tradnl"/>
        </w:rPr>
      </w:pPr>
      <w:bookmarkStart w:id="5" w:name="TitleOfDoc"/>
      <w:bookmarkEnd w:id="5"/>
      <w:r w:rsidRPr="00D86EA5">
        <w:rPr>
          <w:caps/>
          <w:sz w:val="24"/>
          <w:lang w:val="es-ES_tradnl"/>
        </w:rPr>
        <w:t>Informe sobre el rendimiento de los programas en 2012/13</w:t>
      </w:r>
    </w:p>
    <w:p w:rsidR="00197073" w:rsidRPr="00D86EA5" w:rsidRDefault="00197073" w:rsidP="00197073">
      <w:pPr>
        <w:rPr>
          <w:lang w:val="es-ES_tradnl"/>
        </w:rPr>
      </w:pPr>
    </w:p>
    <w:p w:rsidR="00197073" w:rsidRPr="00D86EA5" w:rsidRDefault="00197073" w:rsidP="00197073">
      <w:pPr>
        <w:rPr>
          <w:i/>
          <w:sz w:val="22"/>
          <w:szCs w:val="22"/>
          <w:lang w:val="es-ES_tradnl"/>
        </w:rPr>
      </w:pPr>
      <w:bookmarkStart w:id="6" w:name="Prepared"/>
      <w:bookmarkEnd w:id="6"/>
      <w:r w:rsidRPr="00D86EA5">
        <w:rPr>
          <w:i/>
          <w:sz w:val="22"/>
          <w:szCs w:val="22"/>
          <w:lang w:val="es-ES_tradnl"/>
        </w:rPr>
        <w:t>presentado por el Director General</w:t>
      </w: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197073">
      <w:pPr>
        <w:rPr>
          <w:lang w:val="es-ES_tradnl"/>
        </w:rPr>
      </w:pPr>
    </w:p>
    <w:p w:rsidR="00197073" w:rsidRPr="00D86EA5" w:rsidRDefault="00197073" w:rsidP="0053316D">
      <w:pPr>
        <w:pStyle w:val="ListParagraph"/>
        <w:numPr>
          <w:ilvl w:val="0"/>
          <w:numId w:val="82"/>
        </w:numPr>
        <w:ind w:left="0" w:right="-143" w:firstLine="0"/>
        <w:rPr>
          <w:sz w:val="22"/>
          <w:szCs w:val="22"/>
          <w:lang w:val="es-ES_tradnl"/>
        </w:rPr>
      </w:pPr>
      <w:r w:rsidRPr="00D86EA5">
        <w:rPr>
          <w:sz w:val="22"/>
          <w:szCs w:val="22"/>
          <w:lang w:val="es-ES_tradnl"/>
        </w:rPr>
        <w:t>El Informe sobre el rendimiento de los programas (en lo sucesivo “el PPR”, de sus siglas en inglés) en 2012/13 ha sido preparado de conformi</w:t>
      </w:r>
      <w:bookmarkStart w:id="7" w:name="_GoBack"/>
      <w:bookmarkEnd w:id="7"/>
      <w:r w:rsidRPr="00D86EA5">
        <w:rPr>
          <w:sz w:val="22"/>
          <w:szCs w:val="22"/>
          <w:lang w:val="es-ES_tradnl"/>
        </w:rPr>
        <w:t>dad con el marco de gestión por resultados de la OMPI.  El presente informe se basa en los criterios de rendimiento establecidos en el Presupuesto por Programas del bienio 2012/13, tal como fue aprobado por las Asambleas de los Estados miembros de la OMPI el 29 de septiembre de 2011 (publicación N</w:t>
      </w:r>
      <w:proofErr w:type="gramStart"/>
      <w:r w:rsidR="00D90BF0">
        <w:rPr>
          <w:sz w:val="22"/>
          <w:szCs w:val="22"/>
          <w:lang w:val="es-ES_tradnl"/>
        </w:rPr>
        <w:t>.</w:t>
      </w:r>
      <w:r w:rsidRPr="00D86EA5">
        <w:rPr>
          <w:sz w:val="22"/>
          <w:szCs w:val="22"/>
          <w:lang w:val="es-ES_tradnl"/>
        </w:rPr>
        <w:t>º</w:t>
      </w:r>
      <w:proofErr w:type="gramEnd"/>
      <w:r w:rsidRPr="00D86EA5">
        <w:rPr>
          <w:sz w:val="22"/>
          <w:szCs w:val="22"/>
          <w:lang w:val="es-ES_tradnl"/>
        </w:rPr>
        <w:t xml:space="preserve"> 360/S/PB1213).</w:t>
      </w:r>
    </w:p>
    <w:p w:rsidR="00197073" w:rsidRPr="00D86EA5" w:rsidRDefault="00197073" w:rsidP="00197073">
      <w:pPr>
        <w:rPr>
          <w:sz w:val="22"/>
          <w:szCs w:val="22"/>
          <w:lang w:val="es-ES_tradnl"/>
        </w:rPr>
      </w:pPr>
    </w:p>
    <w:p w:rsidR="00197073" w:rsidRPr="00D86EA5" w:rsidRDefault="00197073" w:rsidP="00197073">
      <w:pPr>
        <w:rPr>
          <w:sz w:val="22"/>
          <w:szCs w:val="22"/>
          <w:lang w:val="es-ES_tradnl"/>
        </w:rPr>
      </w:pPr>
      <w:r w:rsidRPr="00D86EA5">
        <w:rPr>
          <w:sz w:val="22"/>
          <w:szCs w:val="22"/>
          <w:lang w:val="es-ES_tradnl"/>
        </w:rPr>
        <w:t>2.</w:t>
      </w:r>
      <w:r w:rsidRPr="00D86EA5">
        <w:rPr>
          <w:sz w:val="22"/>
          <w:szCs w:val="22"/>
          <w:lang w:val="es-ES_tradnl"/>
        </w:rPr>
        <w:tab/>
        <w:t>Se propone el siguiente párrafo de decisión.</w:t>
      </w:r>
    </w:p>
    <w:p w:rsidR="00197073" w:rsidRPr="00D86EA5" w:rsidRDefault="00197073" w:rsidP="00197073">
      <w:pPr>
        <w:rPr>
          <w:sz w:val="22"/>
          <w:szCs w:val="22"/>
          <w:lang w:val="es-ES_tradnl"/>
        </w:rPr>
      </w:pPr>
    </w:p>
    <w:p w:rsidR="00197073" w:rsidRPr="00D90BF0" w:rsidRDefault="00197073" w:rsidP="00197073">
      <w:pPr>
        <w:tabs>
          <w:tab w:val="left" w:pos="5812"/>
        </w:tabs>
        <w:ind w:left="5387"/>
        <w:rPr>
          <w:i/>
          <w:sz w:val="22"/>
          <w:szCs w:val="22"/>
          <w:lang w:val="es-ES_tradnl"/>
        </w:rPr>
      </w:pPr>
      <w:r w:rsidRPr="00D86EA5">
        <w:rPr>
          <w:i/>
          <w:sz w:val="22"/>
          <w:szCs w:val="22"/>
          <w:lang w:val="es-ES_tradnl"/>
        </w:rPr>
        <w:t>3</w:t>
      </w:r>
      <w:r w:rsidRPr="00D86EA5">
        <w:rPr>
          <w:sz w:val="22"/>
          <w:szCs w:val="22"/>
          <w:lang w:val="es-ES_tradnl"/>
        </w:rPr>
        <w:t>.</w:t>
      </w:r>
      <w:r w:rsidRPr="00D86EA5">
        <w:rPr>
          <w:sz w:val="22"/>
          <w:szCs w:val="22"/>
          <w:lang w:val="es-ES_tradnl"/>
        </w:rPr>
        <w:tab/>
      </w:r>
      <w:r w:rsidR="00D90BF0" w:rsidRPr="00D90BF0">
        <w:rPr>
          <w:i/>
          <w:sz w:val="22"/>
          <w:szCs w:val="22"/>
          <w:lang w:val="es-ES_tradnl"/>
        </w:rPr>
        <w:t>El Comité del Programa y Presupuesto, tras revisar el detallado Informe sobre el rendimiento de los programas (PPR) para el bienio 2012/13</w:t>
      </w:r>
      <w:r w:rsidR="00D90BF0">
        <w:rPr>
          <w:i/>
          <w:sz w:val="22"/>
          <w:szCs w:val="22"/>
          <w:lang w:val="es-ES_tradnl"/>
        </w:rPr>
        <w:t xml:space="preserve"> (documento WO/PBC/22/8)</w:t>
      </w:r>
      <w:r w:rsidR="00D90BF0" w:rsidRPr="00D90BF0">
        <w:rPr>
          <w:i/>
          <w:sz w:val="22"/>
          <w:szCs w:val="22"/>
          <w:lang w:val="es-ES_tradnl"/>
        </w:rPr>
        <w:t>, y reconociendo que se trata de una autoevaluación de la Secretaría, recomendó que las Asambleas de los Estados miembros de la OMPI</w:t>
      </w:r>
      <w:r w:rsidR="00EA68E3" w:rsidRPr="00D90BF0">
        <w:rPr>
          <w:i/>
          <w:sz w:val="22"/>
          <w:szCs w:val="22"/>
          <w:lang w:val="es-ES_tradnl"/>
        </w:rPr>
        <w:t>:</w:t>
      </w:r>
    </w:p>
    <w:p w:rsidR="00197073" w:rsidRPr="00D86EA5" w:rsidRDefault="00197073" w:rsidP="00197073">
      <w:pPr>
        <w:tabs>
          <w:tab w:val="left" w:pos="5387"/>
          <w:tab w:val="left" w:pos="5954"/>
        </w:tabs>
        <w:ind w:left="5387"/>
        <w:rPr>
          <w:i/>
          <w:sz w:val="22"/>
          <w:szCs w:val="22"/>
          <w:lang w:val="es-ES_tradnl"/>
        </w:rPr>
      </w:pPr>
    </w:p>
    <w:p w:rsidR="00197073" w:rsidRPr="00D86EA5" w:rsidRDefault="00D90BF0" w:rsidP="0053316D">
      <w:pPr>
        <w:pStyle w:val="ListParagraph"/>
        <w:numPr>
          <w:ilvl w:val="0"/>
          <w:numId w:val="79"/>
        </w:numPr>
        <w:tabs>
          <w:tab w:val="left" w:pos="6379"/>
        </w:tabs>
        <w:ind w:left="5812" w:firstLine="0"/>
        <w:contextualSpacing/>
        <w:rPr>
          <w:rFonts w:cs="Arial"/>
          <w:i/>
          <w:sz w:val="22"/>
          <w:szCs w:val="22"/>
          <w:lang w:val="es-ES_tradnl"/>
        </w:rPr>
      </w:pPr>
      <w:r w:rsidRPr="00D90BF0">
        <w:rPr>
          <w:rFonts w:cs="Arial"/>
          <w:i/>
          <w:sz w:val="22"/>
          <w:szCs w:val="22"/>
          <w:lang w:val="es-ES_tradnl"/>
        </w:rPr>
        <w:t>reconozcan la contribución de los programas a la consecución de los resultados previstos</w:t>
      </w:r>
      <w:r w:rsidR="00EA68E3" w:rsidRPr="00D86EA5">
        <w:rPr>
          <w:rFonts w:cs="Arial"/>
          <w:i/>
          <w:sz w:val="22"/>
          <w:szCs w:val="22"/>
          <w:lang w:val="es-ES_tradnl"/>
        </w:rPr>
        <w:t>;</w:t>
      </w:r>
    </w:p>
    <w:p w:rsidR="00197073" w:rsidRPr="00D86EA5" w:rsidRDefault="00197073" w:rsidP="00197073">
      <w:pPr>
        <w:pStyle w:val="ListParagraph"/>
        <w:tabs>
          <w:tab w:val="left" w:pos="6379"/>
        </w:tabs>
        <w:ind w:left="5812"/>
        <w:rPr>
          <w:rFonts w:cs="Arial"/>
          <w:i/>
          <w:sz w:val="22"/>
          <w:szCs w:val="22"/>
          <w:lang w:val="es-ES_tradnl"/>
        </w:rPr>
      </w:pPr>
    </w:p>
    <w:p w:rsidR="00197073" w:rsidRPr="00D86EA5" w:rsidRDefault="00D90BF0" w:rsidP="0053316D">
      <w:pPr>
        <w:pStyle w:val="ListParagraph"/>
        <w:numPr>
          <w:ilvl w:val="0"/>
          <w:numId w:val="79"/>
        </w:numPr>
        <w:tabs>
          <w:tab w:val="left" w:pos="6379"/>
        </w:tabs>
        <w:ind w:left="5812" w:firstLine="0"/>
        <w:contextualSpacing/>
        <w:rPr>
          <w:rFonts w:cs="Arial"/>
          <w:i/>
          <w:sz w:val="22"/>
          <w:szCs w:val="22"/>
          <w:lang w:val="es-ES_tradnl"/>
        </w:rPr>
      </w:pPr>
      <w:r w:rsidRPr="00D90BF0">
        <w:rPr>
          <w:rFonts w:cs="Arial"/>
          <w:i/>
          <w:sz w:val="22"/>
          <w:szCs w:val="22"/>
          <w:lang w:val="es-ES_tradnl"/>
        </w:rPr>
        <w:t>tomen nota de las mejoras incluidas en el informe en respuesta a las solicitudes formuladas por los Estados miembros</w:t>
      </w:r>
      <w:r w:rsidR="00EA68E3" w:rsidRPr="00D86EA5">
        <w:rPr>
          <w:rFonts w:cs="Arial"/>
          <w:i/>
          <w:sz w:val="22"/>
          <w:szCs w:val="22"/>
          <w:lang w:val="es-ES_tradnl"/>
        </w:rPr>
        <w:t>;</w:t>
      </w:r>
    </w:p>
    <w:p w:rsidR="00197073" w:rsidRPr="00D86EA5" w:rsidRDefault="00197073" w:rsidP="00197073">
      <w:pPr>
        <w:pStyle w:val="ListParagraph"/>
        <w:tabs>
          <w:tab w:val="left" w:pos="5812"/>
          <w:tab w:val="left" w:pos="6379"/>
        </w:tabs>
        <w:ind w:left="5812" w:hanging="425"/>
        <w:rPr>
          <w:rFonts w:cs="Arial"/>
          <w:i/>
          <w:sz w:val="22"/>
          <w:szCs w:val="22"/>
          <w:lang w:val="es-ES_tradnl"/>
        </w:rPr>
      </w:pPr>
    </w:p>
    <w:p w:rsidR="00197073" w:rsidRPr="00D86EA5" w:rsidRDefault="00D90BF0" w:rsidP="0053316D">
      <w:pPr>
        <w:pStyle w:val="ListParagraph"/>
        <w:numPr>
          <w:ilvl w:val="0"/>
          <w:numId w:val="79"/>
        </w:numPr>
        <w:tabs>
          <w:tab w:val="left" w:pos="6379"/>
        </w:tabs>
        <w:ind w:left="5812" w:firstLine="0"/>
        <w:contextualSpacing/>
        <w:rPr>
          <w:rFonts w:cs="Arial"/>
          <w:i/>
          <w:sz w:val="22"/>
          <w:szCs w:val="22"/>
          <w:lang w:val="es-ES_tradnl"/>
        </w:rPr>
      </w:pPr>
      <w:r w:rsidRPr="00D90BF0">
        <w:rPr>
          <w:rFonts w:cs="Arial"/>
          <w:i/>
          <w:sz w:val="22"/>
          <w:szCs w:val="22"/>
          <w:lang w:val="es-ES_tradnl"/>
        </w:rPr>
        <w:lastRenderedPageBreak/>
        <w:t>tomen nota de que todas las recomendaciones incluidas en el Informe de validación del PPR preparado por la División de Auditoría y Supervisión Internas (DASI) han sido aplicadas por la Secretaría</w:t>
      </w:r>
      <w:r w:rsidR="00EA68E3" w:rsidRPr="00D86EA5">
        <w:rPr>
          <w:rFonts w:cs="Arial"/>
          <w:i/>
          <w:sz w:val="22"/>
          <w:szCs w:val="22"/>
          <w:lang w:val="es-ES_tradnl"/>
        </w:rPr>
        <w:t>;</w:t>
      </w:r>
    </w:p>
    <w:p w:rsidR="00197073" w:rsidRPr="00D86EA5" w:rsidRDefault="00197073" w:rsidP="00197073">
      <w:pPr>
        <w:pStyle w:val="ListParagraph"/>
        <w:tabs>
          <w:tab w:val="left" w:pos="6379"/>
        </w:tabs>
        <w:ind w:left="5812"/>
        <w:contextualSpacing/>
        <w:rPr>
          <w:rFonts w:cs="Arial"/>
          <w:i/>
          <w:sz w:val="22"/>
          <w:szCs w:val="22"/>
          <w:lang w:val="es-ES_tradnl"/>
        </w:rPr>
      </w:pPr>
    </w:p>
    <w:p w:rsidR="00197073" w:rsidRPr="00D86EA5" w:rsidRDefault="00C07504" w:rsidP="0053316D">
      <w:pPr>
        <w:pStyle w:val="ListParagraph"/>
        <w:numPr>
          <w:ilvl w:val="0"/>
          <w:numId w:val="79"/>
        </w:numPr>
        <w:tabs>
          <w:tab w:val="left" w:pos="6379"/>
        </w:tabs>
        <w:ind w:left="5812" w:firstLine="0"/>
        <w:contextualSpacing/>
        <w:rPr>
          <w:rFonts w:cs="Arial"/>
          <w:i/>
          <w:sz w:val="22"/>
          <w:szCs w:val="22"/>
          <w:lang w:val="es-ES_tradnl"/>
        </w:rPr>
      </w:pPr>
      <w:r w:rsidRPr="00C07504">
        <w:rPr>
          <w:rFonts w:cs="Arial"/>
          <w:i/>
          <w:sz w:val="22"/>
          <w:szCs w:val="22"/>
          <w:lang w:val="es-ES_tradnl"/>
        </w:rPr>
        <w:t xml:space="preserve">tomando nota de las declaraciones formuladas por los Estados miembros sobre el PPR, </w:t>
      </w:r>
      <w:r>
        <w:rPr>
          <w:rFonts w:cs="Arial"/>
          <w:i/>
          <w:sz w:val="22"/>
          <w:szCs w:val="22"/>
          <w:lang w:val="es-ES_tradnl"/>
        </w:rPr>
        <w:t>pid</w:t>
      </w:r>
      <w:r w:rsidR="003D22E6">
        <w:rPr>
          <w:rFonts w:cs="Arial"/>
          <w:i/>
          <w:sz w:val="22"/>
          <w:szCs w:val="22"/>
          <w:lang w:val="es-ES_tradnl"/>
        </w:rPr>
        <w:t>an</w:t>
      </w:r>
      <w:r w:rsidRPr="00C07504">
        <w:rPr>
          <w:rFonts w:cs="Arial"/>
          <w:i/>
          <w:sz w:val="22"/>
          <w:szCs w:val="22"/>
          <w:lang w:val="es-ES_tradnl"/>
        </w:rPr>
        <w:t xml:space="preserve"> a la Secretaría </w:t>
      </w:r>
      <w:r>
        <w:rPr>
          <w:rFonts w:cs="Arial"/>
          <w:i/>
          <w:sz w:val="22"/>
          <w:szCs w:val="22"/>
          <w:lang w:val="es-ES_tradnl"/>
        </w:rPr>
        <w:t>que</w:t>
      </w:r>
      <w:r w:rsidRPr="00C07504">
        <w:rPr>
          <w:rFonts w:cs="Arial"/>
          <w:i/>
          <w:sz w:val="22"/>
          <w:szCs w:val="22"/>
          <w:lang w:val="es-ES_tradnl"/>
        </w:rPr>
        <w:t>:</w:t>
      </w:r>
    </w:p>
    <w:p w:rsidR="00197073" w:rsidRPr="00D86EA5" w:rsidRDefault="00197073" w:rsidP="00197073">
      <w:pPr>
        <w:pStyle w:val="ListParagraph"/>
        <w:tabs>
          <w:tab w:val="left" w:pos="6379"/>
        </w:tabs>
        <w:ind w:left="5812"/>
        <w:contextualSpacing/>
        <w:rPr>
          <w:rFonts w:cs="Arial"/>
          <w:i/>
          <w:sz w:val="22"/>
          <w:szCs w:val="22"/>
          <w:lang w:val="es-ES_tradnl"/>
        </w:rPr>
      </w:pPr>
    </w:p>
    <w:p w:rsidR="00197073" w:rsidRDefault="00C07504" w:rsidP="00C07504">
      <w:pPr>
        <w:pStyle w:val="ListParagraph"/>
        <w:numPr>
          <w:ilvl w:val="0"/>
          <w:numId w:val="80"/>
        </w:numPr>
        <w:tabs>
          <w:tab w:val="left" w:pos="6946"/>
        </w:tabs>
        <w:ind w:left="6521" w:hanging="1"/>
        <w:contextualSpacing/>
        <w:rPr>
          <w:rFonts w:cs="Arial"/>
          <w:i/>
          <w:sz w:val="22"/>
          <w:szCs w:val="22"/>
          <w:lang w:val="es-ES_tradnl"/>
        </w:rPr>
      </w:pPr>
      <w:r>
        <w:rPr>
          <w:rFonts w:cs="Arial"/>
          <w:i/>
          <w:sz w:val="22"/>
          <w:szCs w:val="22"/>
          <w:lang w:val="es-ES_tradnl"/>
        </w:rPr>
        <w:t xml:space="preserve">se </w:t>
      </w:r>
      <w:r w:rsidRPr="00C07504">
        <w:rPr>
          <w:rFonts w:cs="Arial"/>
          <w:i/>
          <w:sz w:val="22"/>
          <w:szCs w:val="22"/>
          <w:lang w:val="es-ES_tradnl"/>
        </w:rPr>
        <w:t>asegur</w:t>
      </w:r>
      <w:r>
        <w:rPr>
          <w:rFonts w:cs="Arial"/>
          <w:i/>
          <w:sz w:val="22"/>
          <w:szCs w:val="22"/>
          <w:lang w:val="es-ES_tradnl"/>
        </w:rPr>
        <w:t>e de que la experiencia</w:t>
      </w:r>
      <w:r w:rsidRPr="00C07504">
        <w:rPr>
          <w:rFonts w:cs="Arial"/>
          <w:i/>
          <w:sz w:val="22"/>
          <w:szCs w:val="22"/>
          <w:lang w:val="es-ES_tradnl"/>
        </w:rPr>
        <w:t xml:space="preserve"> adquirid</w:t>
      </w:r>
      <w:r>
        <w:rPr>
          <w:rFonts w:cs="Arial"/>
          <w:i/>
          <w:sz w:val="22"/>
          <w:szCs w:val="22"/>
          <w:lang w:val="es-ES_tradnl"/>
        </w:rPr>
        <w:t>a</w:t>
      </w:r>
      <w:r w:rsidRPr="00C07504">
        <w:rPr>
          <w:rFonts w:cs="Arial"/>
          <w:i/>
          <w:sz w:val="22"/>
          <w:szCs w:val="22"/>
          <w:lang w:val="es-ES_tradnl"/>
        </w:rPr>
        <w:t xml:space="preserve"> en la ejecución</w:t>
      </w:r>
      <w:r>
        <w:rPr>
          <w:rFonts w:cs="Arial"/>
          <w:i/>
          <w:sz w:val="22"/>
          <w:szCs w:val="22"/>
          <w:lang w:val="es-ES_tradnl"/>
        </w:rPr>
        <w:t xml:space="preserve"> de</w:t>
      </w:r>
      <w:r w:rsidRPr="00C07504">
        <w:rPr>
          <w:rFonts w:cs="Arial"/>
          <w:i/>
          <w:sz w:val="22"/>
          <w:szCs w:val="22"/>
          <w:lang w:val="es-ES_tradnl"/>
        </w:rPr>
        <w:t>l bienio 2012/13 s</w:t>
      </w:r>
      <w:r>
        <w:rPr>
          <w:rFonts w:cs="Arial"/>
          <w:i/>
          <w:sz w:val="22"/>
          <w:szCs w:val="22"/>
          <w:lang w:val="es-ES_tradnl"/>
        </w:rPr>
        <w:t>ea</w:t>
      </w:r>
      <w:r w:rsidRPr="00C07504">
        <w:rPr>
          <w:rFonts w:cs="Arial"/>
          <w:i/>
          <w:sz w:val="22"/>
          <w:szCs w:val="22"/>
          <w:lang w:val="es-ES_tradnl"/>
        </w:rPr>
        <w:t xml:space="preserve"> tenid</w:t>
      </w:r>
      <w:r>
        <w:rPr>
          <w:rFonts w:cs="Arial"/>
          <w:i/>
          <w:sz w:val="22"/>
          <w:szCs w:val="22"/>
          <w:lang w:val="es-ES_tradnl"/>
        </w:rPr>
        <w:t>a</w:t>
      </w:r>
      <w:r w:rsidRPr="00C07504">
        <w:rPr>
          <w:rFonts w:cs="Arial"/>
          <w:i/>
          <w:sz w:val="22"/>
          <w:szCs w:val="22"/>
          <w:lang w:val="es-ES_tradnl"/>
        </w:rPr>
        <w:t xml:space="preserve"> debidamente en cuenta en la ejecución del pres</w:t>
      </w:r>
      <w:r w:rsidR="003D22E6">
        <w:rPr>
          <w:rFonts w:cs="Arial"/>
          <w:i/>
          <w:sz w:val="22"/>
          <w:szCs w:val="22"/>
          <w:lang w:val="es-ES_tradnl"/>
        </w:rPr>
        <w:t>upuesto por programas de 2014/</w:t>
      </w:r>
      <w:r w:rsidRPr="00C07504">
        <w:rPr>
          <w:rFonts w:cs="Arial"/>
          <w:i/>
          <w:sz w:val="22"/>
          <w:szCs w:val="22"/>
          <w:lang w:val="es-ES_tradnl"/>
        </w:rPr>
        <w:t>15</w:t>
      </w:r>
      <w:r w:rsidR="00197073" w:rsidRPr="00D86EA5">
        <w:rPr>
          <w:rFonts w:cs="Arial"/>
          <w:i/>
          <w:sz w:val="22"/>
          <w:szCs w:val="22"/>
          <w:lang w:val="es-ES_tradnl"/>
        </w:rPr>
        <w:t>;</w:t>
      </w:r>
    </w:p>
    <w:p w:rsidR="00C07504" w:rsidRDefault="00C07504" w:rsidP="00C07504">
      <w:pPr>
        <w:pStyle w:val="ListParagraph"/>
        <w:tabs>
          <w:tab w:val="left" w:pos="6804"/>
        </w:tabs>
        <w:ind w:left="6804"/>
        <w:contextualSpacing/>
        <w:rPr>
          <w:rFonts w:cs="Arial"/>
          <w:i/>
          <w:sz w:val="22"/>
          <w:szCs w:val="22"/>
          <w:lang w:val="es-ES_tradnl"/>
        </w:rPr>
      </w:pPr>
    </w:p>
    <w:p w:rsidR="00C07504" w:rsidRPr="00D86EA5" w:rsidRDefault="003D22E6" w:rsidP="00C07504">
      <w:pPr>
        <w:pStyle w:val="ListParagraph"/>
        <w:numPr>
          <w:ilvl w:val="0"/>
          <w:numId w:val="80"/>
        </w:numPr>
        <w:tabs>
          <w:tab w:val="left" w:pos="6946"/>
        </w:tabs>
        <w:ind w:left="6521" w:hanging="1"/>
        <w:contextualSpacing/>
        <w:rPr>
          <w:rFonts w:cs="Arial"/>
          <w:i/>
          <w:sz w:val="22"/>
          <w:szCs w:val="22"/>
          <w:lang w:val="es-ES_tradnl"/>
        </w:rPr>
      </w:pPr>
      <w:r>
        <w:rPr>
          <w:rFonts w:cs="Arial"/>
          <w:i/>
          <w:sz w:val="22"/>
          <w:szCs w:val="22"/>
          <w:lang w:val="es-ES_tradnl"/>
        </w:rPr>
        <w:t>abord</w:t>
      </w:r>
      <w:r w:rsidR="00C07504">
        <w:rPr>
          <w:rFonts w:cs="Arial"/>
          <w:i/>
          <w:sz w:val="22"/>
          <w:szCs w:val="22"/>
          <w:lang w:val="es-ES_tradnl"/>
        </w:rPr>
        <w:t>e las cinco recomendaciones mencionadas en el Informe de validación del PPR 2012/13 preparado por la DASI;  y</w:t>
      </w:r>
    </w:p>
    <w:p w:rsidR="00197073" w:rsidRPr="00D86EA5" w:rsidRDefault="00197073" w:rsidP="00197073">
      <w:pPr>
        <w:pStyle w:val="ListParagraph"/>
        <w:tabs>
          <w:tab w:val="left" w:pos="6804"/>
        </w:tabs>
        <w:ind w:left="6804"/>
        <w:contextualSpacing/>
        <w:rPr>
          <w:rFonts w:cs="Arial"/>
          <w:i/>
          <w:sz w:val="22"/>
          <w:szCs w:val="22"/>
          <w:lang w:val="es-ES_tradnl"/>
        </w:rPr>
      </w:pPr>
    </w:p>
    <w:p w:rsidR="00197073" w:rsidRPr="00D86EA5" w:rsidRDefault="003D22E6" w:rsidP="00C07504">
      <w:pPr>
        <w:pStyle w:val="ListParagraph"/>
        <w:numPr>
          <w:ilvl w:val="0"/>
          <w:numId w:val="80"/>
        </w:numPr>
        <w:tabs>
          <w:tab w:val="left" w:pos="6946"/>
        </w:tabs>
        <w:ind w:left="6521" w:hanging="1"/>
        <w:contextualSpacing/>
        <w:rPr>
          <w:rFonts w:cs="Arial"/>
          <w:i/>
          <w:sz w:val="22"/>
          <w:szCs w:val="22"/>
          <w:lang w:val="es-ES_tradnl"/>
        </w:rPr>
      </w:pPr>
      <w:r w:rsidRPr="003D22E6">
        <w:rPr>
          <w:rFonts w:cs="Arial"/>
          <w:i/>
          <w:sz w:val="22"/>
          <w:szCs w:val="22"/>
          <w:lang w:val="es-ES"/>
        </w:rPr>
        <w:t xml:space="preserve">continúe esmerándose </w:t>
      </w:r>
      <w:r w:rsidR="00527233">
        <w:rPr>
          <w:rFonts w:cs="Arial"/>
          <w:i/>
          <w:sz w:val="22"/>
          <w:szCs w:val="22"/>
          <w:lang w:val="es-ES"/>
        </w:rPr>
        <w:t>por</w:t>
      </w:r>
      <w:r w:rsidRPr="003D22E6">
        <w:rPr>
          <w:rFonts w:cs="Arial"/>
          <w:i/>
          <w:sz w:val="22"/>
          <w:szCs w:val="22"/>
          <w:lang w:val="es-ES"/>
        </w:rPr>
        <w:t xml:space="preserve"> mejorar la puesta en práctica de la gestión por resultados, en especial en lo relativo a los datos sobre el rendimiento, los marcos de resultados, la evaluación del rendimiento, las herramientas de seguimiento y la presentación de informes conexos, basándose para ello en las sugerencias de los Estados miembros relativas al documento PPR de 2012/13, y que las tenga debidamente en cuenta, cuando proceda, en lo que respecta al próximo ciclo </w:t>
      </w:r>
      <w:r>
        <w:rPr>
          <w:rFonts w:cs="Arial"/>
          <w:i/>
          <w:sz w:val="22"/>
          <w:szCs w:val="22"/>
          <w:lang w:val="es-ES"/>
        </w:rPr>
        <w:t xml:space="preserve">de preparación </w:t>
      </w:r>
      <w:r w:rsidRPr="003D22E6">
        <w:rPr>
          <w:rFonts w:cs="Arial"/>
          <w:i/>
          <w:sz w:val="22"/>
          <w:szCs w:val="22"/>
          <w:lang w:val="es-ES"/>
        </w:rPr>
        <w:t xml:space="preserve">del </w:t>
      </w:r>
      <w:r>
        <w:rPr>
          <w:rFonts w:cs="Arial"/>
          <w:i/>
          <w:sz w:val="22"/>
          <w:szCs w:val="22"/>
          <w:lang w:val="es-ES"/>
        </w:rPr>
        <w:t>PPR</w:t>
      </w:r>
      <w:r w:rsidRPr="003D22E6">
        <w:rPr>
          <w:rFonts w:cs="Arial"/>
          <w:i/>
          <w:sz w:val="22"/>
          <w:szCs w:val="22"/>
          <w:lang w:val="es-ES"/>
        </w:rPr>
        <w:t xml:space="preserve"> </w:t>
      </w:r>
      <w:r w:rsidR="00527233">
        <w:rPr>
          <w:rFonts w:cs="Arial"/>
          <w:i/>
          <w:sz w:val="22"/>
          <w:szCs w:val="22"/>
          <w:lang w:val="es-ES"/>
        </w:rPr>
        <w:t xml:space="preserve">y en el presupuesto por programas </w:t>
      </w:r>
      <w:r w:rsidRPr="003D22E6">
        <w:rPr>
          <w:rFonts w:cs="Arial"/>
          <w:i/>
          <w:sz w:val="22"/>
          <w:szCs w:val="22"/>
          <w:lang w:val="es-ES"/>
        </w:rPr>
        <w:t>de 2016/17</w:t>
      </w:r>
      <w:r w:rsidR="00197073" w:rsidRPr="00D86EA5">
        <w:rPr>
          <w:rFonts w:cs="Arial"/>
          <w:i/>
          <w:sz w:val="22"/>
          <w:szCs w:val="22"/>
          <w:lang w:val="es-ES_tradnl"/>
        </w:rPr>
        <w:t>.</w:t>
      </w:r>
    </w:p>
    <w:p w:rsidR="00197073" w:rsidRPr="00D86EA5" w:rsidRDefault="00197073" w:rsidP="00197073">
      <w:pPr>
        <w:tabs>
          <w:tab w:val="left" w:pos="4536"/>
        </w:tabs>
        <w:rPr>
          <w:sz w:val="22"/>
          <w:szCs w:val="22"/>
          <w:lang w:val="es-ES_tradnl"/>
        </w:rPr>
      </w:pPr>
    </w:p>
    <w:p w:rsidR="00197073" w:rsidRPr="00D86EA5" w:rsidRDefault="00197073" w:rsidP="00197073">
      <w:pPr>
        <w:tabs>
          <w:tab w:val="left" w:pos="4536"/>
        </w:tabs>
        <w:rPr>
          <w:sz w:val="22"/>
          <w:szCs w:val="22"/>
          <w:lang w:val="es-ES_tradnl"/>
        </w:rPr>
      </w:pPr>
    </w:p>
    <w:p w:rsidR="00197073" w:rsidRPr="00A34388" w:rsidRDefault="00197073" w:rsidP="00527233">
      <w:pPr>
        <w:pStyle w:val="Endofdocument-Annex"/>
        <w:ind w:left="5387"/>
        <w:rPr>
          <w:szCs w:val="22"/>
          <w:lang w:val="es-ES_tradnl"/>
        </w:rPr>
      </w:pPr>
      <w:r w:rsidRPr="00D86EA5">
        <w:rPr>
          <w:lang w:val="es-ES_tradnl"/>
        </w:rPr>
        <w:t>[Sigue el Informe sobre el rendimiento de los programas en 2012/13]</w:t>
      </w:r>
    </w:p>
    <w:p w:rsidR="00197073" w:rsidRPr="00A34388" w:rsidRDefault="00197073" w:rsidP="00197073">
      <w:pPr>
        <w:tabs>
          <w:tab w:val="left" w:pos="4253"/>
        </w:tabs>
        <w:rPr>
          <w:sz w:val="22"/>
          <w:szCs w:val="22"/>
          <w:lang w:val="es-ES_tradnl"/>
        </w:rPr>
        <w:sectPr w:rsidR="00197073" w:rsidRPr="00A34388" w:rsidSect="00B2478A">
          <w:headerReference w:type="even" r:id="rId12"/>
          <w:headerReference w:type="default" r:id="rId13"/>
          <w:footerReference w:type="even" r:id="rId14"/>
          <w:pgSz w:w="11907" w:h="16840" w:code="9"/>
          <w:pgMar w:top="567" w:right="1134" w:bottom="1418" w:left="1418" w:header="510" w:footer="1021" w:gutter="0"/>
          <w:pgNumType w:start="1"/>
          <w:cols w:space="720"/>
          <w:titlePg/>
          <w:docGrid w:linePitch="272"/>
        </w:sect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A34388" w:rsidRDefault="00197073" w:rsidP="00197073">
      <w:pPr>
        <w:tabs>
          <w:tab w:val="left" w:pos="4253"/>
        </w:tabs>
        <w:rPr>
          <w:lang w:val="es-ES_tradnl"/>
        </w:rPr>
      </w:pPr>
    </w:p>
    <w:p w:rsidR="00197073" w:rsidRPr="00FE709C" w:rsidRDefault="00197073" w:rsidP="00197073">
      <w:pPr>
        <w:tabs>
          <w:tab w:val="left" w:pos="4253"/>
        </w:tabs>
        <w:jc w:val="center"/>
        <w:rPr>
          <w:b/>
          <w:bCs/>
          <w:sz w:val="22"/>
          <w:szCs w:val="22"/>
          <w:lang w:val="es-ES_tradnl"/>
        </w:rPr>
      </w:pPr>
      <w:r w:rsidRPr="00FE709C">
        <w:rPr>
          <w:b/>
          <w:bCs/>
          <w:sz w:val="22"/>
          <w:szCs w:val="22"/>
          <w:lang w:val="es-ES_tradnl"/>
        </w:rPr>
        <w:t>INFORME SOBRE EL RENDIMIENTO DE LOS PROGRAMAS EN 2012/13</w:t>
      </w:r>
    </w:p>
    <w:p w:rsidR="00197073" w:rsidRPr="00A34388" w:rsidRDefault="00197073" w:rsidP="00197073">
      <w:pPr>
        <w:tabs>
          <w:tab w:val="left" w:pos="4253"/>
        </w:tabs>
        <w:jc w:val="center"/>
        <w:rPr>
          <w:b/>
          <w:bCs/>
          <w:sz w:val="22"/>
          <w:szCs w:val="22"/>
          <w:lang w:val="es-ES_tradnl"/>
        </w:rPr>
      </w:pPr>
    </w:p>
    <w:p w:rsidR="00197073" w:rsidRDefault="00197073" w:rsidP="00197073">
      <w:pPr>
        <w:tabs>
          <w:tab w:val="left" w:pos="4253"/>
        </w:tabs>
        <w:jc w:val="center"/>
        <w:rPr>
          <w:sz w:val="22"/>
          <w:szCs w:val="22"/>
          <w:lang w:val="es-ES_tradnl"/>
        </w:rPr>
      </w:pPr>
    </w:p>
    <w:p w:rsidR="002B1855" w:rsidRPr="00A34388" w:rsidRDefault="002B1855" w:rsidP="00197073">
      <w:pPr>
        <w:tabs>
          <w:tab w:val="left" w:pos="4253"/>
        </w:tabs>
        <w:jc w:val="center"/>
        <w:rPr>
          <w:sz w:val="22"/>
          <w:szCs w:val="22"/>
          <w:lang w:val="es-ES_tradnl"/>
        </w:rPr>
        <w:sectPr w:rsidR="002B1855" w:rsidRPr="00A34388" w:rsidSect="00197073">
          <w:headerReference w:type="default" r:id="rId15"/>
          <w:pgSz w:w="11907" w:h="16840" w:code="9"/>
          <w:pgMar w:top="567" w:right="1134" w:bottom="1418" w:left="1418" w:header="510" w:footer="1021" w:gutter="0"/>
          <w:pgNumType w:fmt="lowerRoman" w:start="1"/>
          <w:cols w:space="720"/>
          <w:docGrid w:linePitch="272"/>
        </w:sectPr>
      </w:pPr>
    </w:p>
    <w:p w:rsidR="00197073" w:rsidRPr="00A34388" w:rsidRDefault="00197073" w:rsidP="00197073">
      <w:pPr>
        <w:tabs>
          <w:tab w:val="left" w:pos="4253"/>
        </w:tabs>
        <w:jc w:val="center"/>
        <w:rPr>
          <w:sz w:val="22"/>
          <w:szCs w:val="22"/>
          <w:lang w:val="es-ES_tradnl"/>
        </w:rPr>
      </w:pPr>
    </w:p>
    <w:p w:rsidR="00197073" w:rsidRPr="00A34388" w:rsidRDefault="00197073" w:rsidP="00197073">
      <w:pPr>
        <w:rPr>
          <w:sz w:val="22"/>
          <w:szCs w:val="22"/>
          <w:lang w:val="es-ES_tradnl"/>
        </w:rPr>
      </w:pPr>
    </w:p>
    <w:p w:rsidR="00197073" w:rsidRPr="00A34388" w:rsidRDefault="00197073" w:rsidP="00197073">
      <w:pPr>
        <w:pStyle w:val="Header"/>
        <w:jc w:val="center"/>
        <w:rPr>
          <w:rFonts w:cs="Arial"/>
          <w:b/>
          <w:sz w:val="22"/>
          <w:szCs w:val="18"/>
          <w:lang w:val="es-ES_tradnl"/>
        </w:rPr>
        <w:sectPr w:rsidR="00197073" w:rsidRPr="00A34388" w:rsidSect="00197073">
          <w:headerReference w:type="default" r:id="rId16"/>
          <w:pgSz w:w="11907" w:h="16840" w:code="9"/>
          <w:pgMar w:top="567" w:right="1134" w:bottom="1418" w:left="1418" w:header="510" w:footer="1021" w:gutter="0"/>
          <w:pgNumType w:fmt="lowerRoman" w:start="1"/>
          <w:cols w:space="720"/>
          <w:docGrid w:linePitch="272"/>
        </w:sectPr>
      </w:pPr>
    </w:p>
    <w:p w:rsidR="00197073" w:rsidRPr="00FE709C" w:rsidRDefault="00197073" w:rsidP="00197073">
      <w:pPr>
        <w:tabs>
          <w:tab w:val="left" w:pos="4395"/>
        </w:tabs>
        <w:jc w:val="center"/>
        <w:rPr>
          <w:szCs w:val="20"/>
          <w:lang w:val="es-ES_tradnl"/>
        </w:rPr>
      </w:pPr>
      <w:r w:rsidRPr="00FE709C">
        <w:rPr>
          <w:szCs w:val="20"/>
          <w:lang w:val="es-ES_tradnl"/>
        </w:rPr>
        <w:lastRenderedPageBreak/>
        <w:t>ÍNDICE</w:t>
      </w:r>
    </w:p>
    <w:p w:rsidR="00197073" w:rsidRPr="00FE709C" w:rsidRDefault="00197073" w:rsidP="00197073">
      <w:pPr>
        <w:tabs>
          <w:tab w:val="left" w:pos="4395"/>
        </w:tabs>
        <w:rPr>
          <w:szCs w:val="20"/>
          <w:lang w:val="es-ES_tradnl"/>
        </w:rPr>
      </w:pPr>
    </w:p>
    <w:p w:rsidR="00103E47" w:rsidRDefault="001F2211">
      <w:pPr>
        <w:pStyle w:val="TOC1"/>
        <w:rPr>
          <w:rFonts w:asciiTheme="minorHAnsi" w:eastAsiaTheme="minorEastAsia" w:hAnsiTheme="minorHAnsi" w:cstheme="minorBidi"/>
          <w:b w:val="0"/>
          <w:szCs w:val="22"/>
        </w:rPr>
      </w:pPr>
      <w:r w:rsidRPr="00FE709C">
        <w:rPr>
          <w:noProof w:val="0"/>
          <w:sz w:val="20"/>
          <w:szCs w:val="20"/>
          <w:lang w:val="es-ES_tradnl"/>
        </w:rPr>
        <w:fldChar w:fldCharType="begin"/>
      </w:r>
      <w:r w:rsidRPr="00FE709C">
        <w:rPr>
          <w:noProof w:val="0"/>
          <w:sz w:val="20"/>
          <w:szCs w:val="20"/>
          <w:lang w:val="es-ES_tradnl"/>
        </w:rPr>
        <w:instrText xml:space="preserve"> TOC \o "1-4" \h \z \u </w:instrText>
      </w:r>
      <w:r w:rsidRPr="00FE709C">
        <w:rPr>
          <w:noProof w:val="0"/>
          <w:sz w:val="20"/>
          <w:szCs w:val="20"/>
          <w:lang w:val="es-ES_tradnl"/>
        </w:rPr>
        <w:fldChar w:fldCharType="separate"/>
      </w:r>
      <w:hyperlink w:anchor="_Toc395279645" w:history="1">
        <w:r w:rsidR="00103E47" w:rsidRPr="00622903">
          <w:rPr>
            <w:rStyle w:val="Hyperlink"/>
            <w:lang w:val="es-ES_tradnl"/>
          </w:rPr>
          <w:t>I.</w:t>
        </w:r>
        <w:r w:rsidR="00103E47">
          <w:rPr>
            <w:rFonts w:asciiTheme="minorHAnsi" w:eastAsiaTheme="minorEastAsia" w:hAnsiTheme="minorHAnsi" w:cstheme="minorBidi"/>
            <w:b w:val="0"/>
            <w:szCs w:val="22"/>
          </w:rPr>
          <w:tab/>
        </w:r>
        <w:r w:rsidR="00103E47" w:rsidRPr="00622903">
          <w:rPr>
            <w:rStyle w:val="Hyperlink"/>
            <w:lang w:val="es-ES_tradnl"/>
          </w:rPr>
          <w:t>INTRODUCCIÓN</w:t>
        </w:r>
        <w:r w:rsidR="00103E47">
          <w:rPr>
            <w:webHidden/>
          </w:rPr>
          <w:tab/>
        </w:r>
        <w:r w:rsidR="00103E47">
          <w:rPr>
            <w:webHidden/>
          </w:rPr>
          <w:fldChar w:fldCharType="begin"/>
        </w:r>
        <w:r w:rsidR="00103E47">
          <w:rPr>
            <w:webHidden/>
          </w:rPr>
          <w:instrText xml:space="preserve"> PAGEREF _Toc395279645 \h </w:instrText>
        </w:r>
        <w:r w:rsidR="00103E47">
          <w:rPr>
            <w:webHidden/>
          </w:rPr>
        </w:r>
        <w:r w:rsidR="00103E47">
          <w:rPr>
            <w:webHidden/>
          </w:rPr>
          <w:fldChar w:fldCharType="separate"/>
        </w:r>
        <w:r w:rsidR="008B18BE">
          <w:rPr>
            <w:webHidden/>
          </w:rPr>
          <w:t>1</w:t>
        </w:r>
        <w:r w:rsidR="00103E47">
          <w:rPr>
            <w:webHidden/>
          </w:rPr>
          <w:fldChar w:fldCharType="end"/>
        </w:r>
      </w:hyperlink>
    </w:p>
    <w:p w:rsidR="00103E47" w:rsidRDefault="00527233">
      <w:pPr>
        <w:pStyle w:val="TOC1"/>
        <w:rPr>
          <w:rFonts w:asciiTheme="minorHAnsi" w:eastAsiaTheme="minorEastAsia" w:hAnsiTheme="minorHAnsi" w:cstheme="minorBidi"/>
          <w:b w:val="0"/>
          <w:szCs w:val="22"/>
        </w:rPr>
      </w:pPr>
      <w:hyperlink w:anchor="_Toc395279646" w:history="1">
        <w:r w:rsidR="00103E47" w:rsidRPr="00622903">
          <w:rPr>
            <w:rStyle w:val="Hyperlink"/>
            <w:lang w:val="es-ES_tradnl"/>
          </w:rPr>
          <w:t>II.</w:t>
        </w:r>
        <w:r w:rsidR="00103E47">
          <w:rPr>
            <w:rFonts w:asciiTheme="minorHAnsi" w:eastAsiaTheme="minorEastAsia" w:hAnsiTheme="minorHAnsi" w:cstheme="minorBidi"/>
            <w:b w:val="0"/>
            <w:szCs w:val="22"/>
          </w:rPr>
          <w:tab/>
        </w:r>
        <w:r w:rsidR="00103E47" w:rsidRPr="00622903">
          <w:rPr>
            <w:rStyle w:val="Hyperlink"/>
            <w:lang w:val="es-ES_tradnl"/>
          </w:rPr>
          <w:t>RESEÑA GENERAL DE LOS AVANCES LOGRADOS EN 2012/13</w:t>
        </w:r>
        <w:r w:rsidR="00103E47">
          <w:rPr>
            <w:webHidden/>
          </w:rPr>
          <w:tab/>
        </w:r>
        <w:r w:rsidR="00103E47">
          <w:rPr>
            <w:webHidden/>
          </w:rPr>
          <w:fldChar w:fldCharType="begin"/>
        </w:r>
        <w:r w:rsidR="00103E47">
          <w:rPr>
            <w:webHidden/>
          </w:rPr>
          <w:instrText xml:space="preserve"> PAGEREF _Toc395279646 \h </w:instrText>
        </w:r>
        <w:r w:rsidR="00103E47">
          <w:rPr>
            <w:webHidden/>
          </w:rPr>
        </w:r>
        <w:r w:rsidR="00103E47">
          <w:rPr>
            <w:webHidden/>
          </w:rPr>
          <w:fldChar w:fldCharType="separate"/>
        </w:r>
        <w:r w:rsidR="008B18BE">
          <w:rPr>
            <w:webHidden/>
          </w:rPr>
          <w:t>2</w:t>
        </w:r>
        <w:r w:rsidR="00103E47">
          <w:rPr>
            <w:webHidden/>
          </w:rPr>
          <w:fldChar w:fldCharType="end"/>
        </w:r>
      </w:hyperlink>
    </w:p>
    <w:p w:rsidR="00103E47" w:rsidRDefault="00527233">
      <w:pPr>
        <w:pStyle w:val="TOC1"/>
        <w:rPr>
          <w:rFonts w:asciiTheme="minorHAnsi" w:eastAsiaTheme="minorEastAsia" w:hAnsiTheme="minorHAnsi" w:cstheme="minorBidi"/>
          <w:b w:val="0"/>
          <w:szCs w:val="22"/>
        </w:rPr>
      </w:pPr>
      <w:hyperlink w:anchor="_Toc395279647" w:history="1">
        <w:r w:rsidR="00103E47" w:rsidRPr="00622903">
          <w:rPr>
            <w:rStyle w:val="Hyperlink"/>
            <w:lang w:val="es-ES_tradnl"/>
          </w:rPr>
          <w:t>III.</w:t>
        </w:r>
        <w:r w:rsidR="00103E47">
          <w:rPr>
            <w:rFonts w:asciiTheme="minorHAnsi" w:eastAsiaTheme="minorEastAsia" w:hAnsiTheme="minorHAnsi" w:cstheme="minorBidi"/>
            <w:b w:val="0"/>
            <w:szCs w:val="22"/>
          </w:rPr>
          <w:tab/>
        </w:r>
        <w:r w:rsidR="00103E47" w:rsidRPr="00622903">
          <w:rPr>
            <w:rStyle w:val="Hyperlink"/>
            <w:lang w:val="es-ES_tradnl"/>
          </w:rPr>
          <w:t>PRESUPUESTO CONSOLIDADO Y GASTO ACTUAL DEL BIENIO 2012/13</w:t>
        </w:r>
        <w:r w:rsidR="00103E47">
          <w:rPr>
            <w:webHidden/>
          </w:rPr>
          <w:tab/>
        </w:r>
        <w:r w:rsidR="00103E47">
          <w:rPr>
            <w:webHidden/>
          </w:rPr>
          <w:fldChar w:fldCharType="begin"/>
        </w:r>
        <w:r w:rsidR="00103E47">
          <w:rPr>
            <w:webHidden/>
          </w:rPr>
          <w:instrText xml:space="preserve"> PAGEREF _Toc395279647 \h </w:instrText>
        </w:r>
        <w:r w:rsidR="00103E47">
          <w:rPr>
            <w:webHidden/>
          </w:rPr>
        </w:r>
        <w:r w:rsidR="00103E47">
          <w:rPr>
            <w:webHidden/>
          </w:rPr>
          <w:fldChar w:fldCharType="separate"/>
        </w:r>
        <w:r w:rsidR="008B18BE">
          <w:rPr>
            <w:webHidden/>
          </w:rPr>
          <w:t>31</w:t>
        </w:r>
        <w:r w:rsidR="00103E47">
          <w:rPr>
            <w:webHidden/>
          </w:rPr>
          <w:fldChar w:fldCharType="end"/>
        </w:r>
      </w:hyperlink>
    </w:p>
    <w:p w:rsidR="00103E47" w:rsidRDefault="00527233">
      <w:pPr>
        <w:pStyle w:val="TOC1"/>
        <w:rPr>
          <w:rFonts w:asciiTheme="minorHAnsi" w:eastAsiaTheme="minorEastAsia" w:hAnsiTheme="minorHAnsi" w:cstheme="minorBidi"/>
          <w:b w:val="0"/>
          <w:szCs w:val="22"/>
        </w:rPr>
      </w:pPr>
      <w:hyperlink w:anchor="_Toc395279648" w:history="1">
        <w:r w:rsidR="00103E47" w:rsidRPr="00622903">
          <w:rPr>
            <w:rStyle w:val="Hyperlink"/>
            <w:lang w:val="es-ES_tradnl"/>
          </w:rPr>
          <w:t>IV.</w:t>
        </w:r>
        <w:r w:rsidR="00103E47">
          <w:rPr>
            <w:rFonts w:asciiTheme="minorHAnsi" w:eastAsiaTheme="minorEastAsia" w:hAnsiTheme="minorHAnsi" w:cstheme="minorBidi"/>
            <w:b w:val="0"/>
            <w:szCs w:val="22"/>
          </w:rPr>
          <w:tab/>
        </w:r>
        <w:r w:rsidR="00103E47" w:rsidRPr="00622903">
          <w:rPr>
            <w:rStyle w:val="Hyperlink"/>
            <w:lang w:val="es-ES_tradnl"/>
          </w:rPr>
          <w:t>INFORME SOBRE LOS GASTOS EN DESARROLLO DEL BIENIO 2012/13</w:t>
        </w:r>
        <w:r w:rsidR="00103E47">
          <w:rPr>
            <w:webHidden/>
          </w:rPr>
          <w:tab/>
        </w:r>
        <w:r w:rsidR="00103E47">
          <w:rPr>
            <w:webHidden/>
          </w:rPr>
          <w:fldChar w:fldCharType="begin"/>
        </w:r>
        <w:r w:rsidR="00103E47">
          <w:rPr>
            <w:webHidden/>
          </w:rPr>
          <w:instrText xml:space="preserve"> PAGEREF _Toc395279648 \h </w:instrText>
        </w:r>
        <w:r w:rsidR="00103E47">
          <w:rPr>
            <w:webHidden/>
          </w:rPr>
        </w:r>
        <w:r w:rsidR="00103E47">
          <w:rPr>
            <w:webHidden/>
          </w:rPr>
          <w:fldChar w:fldCharType="separate"/>
        </w:r>
        <w:r w:rsidR="008B18BE">
          <w:rPr>
            <w:webHidden/>
          </w:rPr>
          <w:t>34</w:t>
        </w:r>
        <w:r w:rsidR="00103E47">
          <w:rPr>
            <w:webHidden/>
          </w:rPr>
          <w:fldChar w:fldCharType="end"/>
        </w:r>
      </w:hyperlink>
    </w:p>
    <w:p w:rsidR="00103E47" w:rsidRDefault="00527233">
      <w:pPr>
        <w:pStyle w:val="TOC1"/>
        <w:rPr>
          <w:rFonts w:asciiTheme="minorHAnsi" w:eastAsiaTheme="minorEastAsia" w:hAnsiTheme="minorHAnsi" w:cstheme="minorBidi"/>
          <w:b w:val="0"/>
          <w:szCs w:val="22"/>
        </w:rPr>
      </w:pPr>
      <w:hyperlink w:anchor="_Toc395279649" w:history="1">
        <w:r w:rsidR="00103E47" w:rsidRPr="00622903">
          <w:rPr>
            <w:rStyle w:val="Hyperlink"/>
            <w:rFonts w:eastAsiaTheme="minorHAnsi"/>
            <w:lang w:val="es-ES_tradnl"/>
          </w:rPr>
          <w:t>V.</w:t>
        </w:r>
        <w:r w:rsidR="00103E47">
          <w:rPr>
            <w:rFonts w:asciiTheme="minorHAnsi" w:eastAsiaTheme="minorEastAsia" w:hAnsiTheme="minorHAnsi" w:cstheme="minorBidi"/>
            <w:b w:val="0"/>
            <w:szCs w:val="22"/>
          </w:rPr>
          <w:tab/>
        </w:r>
        <w:r w:rsidR="00103E47" w:rsidRPr="00622903">
          <w:rPr>
            <w:rStyle w:val="Hyperlink"/>
            <w:rFonts w:eastAsiaTheme="minorHAnsi"/>
            <w:lang w:val="es-ES_tradnl"/>
          </w:rPr>
          <w:t>INFORME FINAL SOBRE LA APLICACIÓN DE LAS MEDIDAS DESTINADAS A FOMENTAR LA EFICACIA EN FUNCIÓN DE LOS COSTOS EN EL BIENIO 2012/13</w:t>
        </w:r>
        <w:r w:rsidR="00103E47">
          <w:rPr>
            <w:webHidden/>
          </w:rPr>
          <w:tab/>
        </w:r>
        <w:r w:rsidR="00103E47">
          <w:rPr>
            <w:webHidden/>
          </w:rPr>
          <w:fldChar w:fldCharType="begin"/>
        </w:r>
        <w:r w:rsidR="00103E47">
          <w:rPr>
            <w:webHidden/>
          </w:rPr>
          <w:instrText xml:space="preserve"> PAGEREF _Toc395279649 \h </w:instrText>
        </w:r>
        <w:r w:rsidR="00103E47">
          <w:rPr>
            <w:webHidden/>
          </w:rPr>
        </w:r>
        <w:r w:rsidR="00103E47">
          <w:rPr>
            <w:webHidden/>
          </w:rPr>
          <w:fldChar w:fldCharType="separate"/>
        </w:r>
        <w:r w:rsidR="008B18BE">
          <w:rPr>
            <w:webHidden/>
          </w:rPr>
          <w:t>37</w:t>
        </w:r>
        <w:r w:rsidR="00103E47">
          <w:rPr>
            <w:webHidden/>
          </w:rPr>
          <w:fldChar w:fldCharType="end"/>
        </w:r>
      </w:hyperlink>
    </w:p>
    <w:p w:rsidR="00103E47" w:rsidRDefault="00527233">
      <w:pPr>
        <w:pStyle w:val="TOC1"/>
        <w:rPr>
          <w:rFonts w:asciiTheme="minorHAnsi" w:eastAsiaTheme="minorEastAsia" w:hAnsiTheme="minorHAnsi" w:cstheme="minorBidi"/>
          <w:b w:val="0"/>
          <w:szCs w:val="22"/>
        </w:rPr>
      </w:pPr>
      <w:hyperlink w:anchor="_Toc395279650" w:history="1">
        <w:r w:rsidR="00103E47" w:rsidRPr="00622903">
          <w:rPr>
            <w:rStyle w:val="Hyperlink"/>
            <w:lang w:val="es-ES_tradnl"/>
          </w:rPr>
          <w:t>VI.</w:t>
        </w:r>
        <w:r w:rsidR="00103E47">
          <w:rPr>
            <w:rFonts w:asciiTheme="minorHAnsi" w:eastAsiaTheme="minorEastAsia" w:hAnsiTheme="minorHAnsi" w:cstheme="minorBidi"/>
            <w:b w:val="0"/>
            <w:szCs w:val="22"/>
          </w:rPr>
          <w:tab/>
        </w:r>
        <w:r w:rsidR="00103E47" w:rsidRPr="00622903">
          <w:rPr>
            <w:rStyle w:val="Hyperlink"/>
            <w:lang w:val="es-ES_tradnl"/>
          </w:rPr>
          <w:t>LOGROS DE LOS PROGRAMAS, POR META ESTRATÉGICA</w:t>
        </w:r>
        <w:r w:rsidR="00103E47">
          <w:rPr>
            <w:webHidden/>
          </w:rPr>
          <w:tab/>
        </w:r>
        <w:r w:rsidR="00103E47">
          <w:rPr>
            <w:webHidden/>
          </w:rPr>
          <w:fldChar w:fldCharType="begin"/>
        </w:r>
        <w:r w:rsidR="00103E47">
          <w:rPr>
            <w:webHidden/>
          </w:rPr>
          <w:instrText xml:space="preserve"> PAGEREF _Toc395279650 \h </w:instrText>
        </w:r>
        <w:r w:rsidR="00103E47">
          <w:rPr>
            <w:webHidden/>
          </w:rPr>
        </w:r>
        <w:r w:rsidR="00103E47">
          <w:rPr>
            <w:webHidden/>
          </w:rPr>
          <w:fldChar w:fldCharType="separate"/>
        </w:r>
        <w:r w:rsidR="008B18BE">
          <w:rPr>
            <w:webHidden/>
          </w:rPr>
          <w:t>46</w:t>
        </w:r>
        <w:r w:rsidR="00103E47">
          <w:rPr>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51" w:history="1">
        <w:r w:rsidR="00103E47" w:rsidRPr="00622903">
          <w:rPr>
            <w:rStyle w:val="Hyperlink"/>
            <w:noProof/>
            <w:lang w:val="es-ES_tradnl"/>
          </w:rPr>
          <w:t>META ESTRATÉGICA I</w:t>
        </w:r>
        <w:r w:rsidR="00103E47">
          <w:rPr>
            <w:rStyle w:val="Hyperlink"/>
            <w:noProof/>
            <w:lang w:val="es-ES_tradnl"/>
          </w:rPr>
          <w:t xml:space="preserve">  </w:t>
        </w:r>
        <w:r w:rsidR="00103E47" w:rsidRPr="00622903">
          <w:rPr>
            <w:rStyle w:val="Hyperlink"/>
            <w:noProof/>
            <w:lang w:val="es-ES_tradnl"/>
          </w:rPr>
          <w:t xml:space="preserve"> Evolución equilibrada del marco normativo internacional de P.I.</w:t>
        </w:r>
        <w:r w:rsidR="00103E47">
          <w:rPr>
            <w:noProof/>
            <w:webHidden/>
          </w:rPr>
          <w:tab/>
        </w:r>
        <w:r w:rsidR="00103E47">
          <w:rPr>
            <w:noProof/>
            <w:webHidden/>
          </w:rPr>
          <w:fldChar w:fldCharType="begin"/>
        </w:r>
        <w:r w:rsidR="00103E47">
          <w:rPr>
            <w:noProof/>
            <w:webHidden/>
          </w:rPr>
          <w:instrText xml:space="preserve"> PAGEREF _Toc395279651 \h </w:instrText>
        </w:r>
        <w:r w:rsidR="00103E47">
          <w:rPr>
            <w:noProof/>
            <w:webHidden/>
          </w:rPr>
        </w:r>
        <w:r w:rsidR="00103E47">
          <w:rPr>
            <w:noProof/>
            <w:webHidden/>
          </w:rPr>
          <w:fldChar w:fldCharType="separate"/>
        </w:r>
        <w:r w:rsidR="008B18BE">
          <w:rPr>
            <w:noProof/>
            <w:webHidden/>
          </w:rPr>
          <w:t>46</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52" w:history="1">
        <w:r w:rsidR="00103E47" w:rsidRPr="00622903">
          <w:rPr>
            <w:rStyle w:val="Hyperlink"/>
            <w:noProof/>
            <w:lang w:val="es-ES"/>
          </w:rPr>
          <w:t>Programa 1</w:t>
        </w:r>
        <w:r w:rsidR="00103E47">
          <w:rPr>
            <w:rFonts w:asciiTheme="minorHAnsi" w:eastAsiaTheme="minorEastAsia" w:hAnsiTheme="minorHAnsi" w:cstheme="minorBidi"/>
            <w:noProof/>
            <w:sz w:val="22"/>
            <w:szCs w:val="22"/>
          </w:rPr>
          <w:tab/>
        </w:r>
        <w:r w:rsidR="00103E47" w:rsidRPr="00622903">
          <w:rPr>
            <w:rStyle w:val="Hyperlink"/>
            <w:noProof/>
            <w:lang w:val="es-ES"/>
          </w:rPr>
          <w:t>Derecho de patentes</w:t>
        </w:r>
        <w:r w:rsidR="00103E47">
          <w:rPr>
            <w:noProof/>
            <w:webHidden/>
          </w:rPr>
          <w:tab/>
        </w:r>
        <w:r w:rsidR="00103E47">
          <w:rPr>
            <w:noProof/>
            <w:webHidden/>
          </w:rPr>
          <w:fldChar w:fldCharType="begin"/>
        </w:r>
        <w:r w:rsidR="00103E47">
          <w:rPr>
            <w:noProof/>
            <w:webHidden/>
          </w:rPr>
          <w:instrText xml:space="preserve"> PAGEREF _Toc395279652 \h </w:instrText>
        </w:r>
        <w:r w:rsidR="00103E47">
          <w:rPr>
            <w:noProof/>
            <w:webHidden/>
          </w:rPr>
        </w:r>
        <w:r w:rsidR="00103E47">
          <w:rPr>
            <w:noProof/>
            <w:webHidden/>
          </w:rPr>
          <w:fldChar w:fldCharType="separate"/>
        </w:r>
        <w:r w:rsidR="008B18BE">
          <w:rPr>
            <w:noProof/>
            <w:webHidden/>
          </w:rPr>
          <w:t>48</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53" w:history="1">
        <w:r w:rsidR="00103E47" w:rsidRPr="00622903">
          <w:rPr>
            <w:rStyle w:val="Hyperlink"/>
            <w:noProof/>
            <w:lang w:val="es-ES"/>
          </w:rPr>
          <w:t>Programa 2</w:t>
        </w:r>
        <w:r w:rsidR="00103E47">
          <w:rPr>
            <w:rFonts w:asciiTheme="minorHAnsi" w:eastAsiaTheme="minorEastAsia" w:hAnsiTheme="minorHAnsi" w:cstheme="minorBidi"/>
            <w:noProof/>
            <w:sz w:val="22"/>
            <w:szCs w:val="22"/>
          </w:rPr>
          <w:tab/>
        </w:r>
        <w:r w:rsidR="00103E47" w:rsidRPr="00622903">
          <w:rPr>
            <w:rStyle w:val="Hyperlink"/>
            <w:noProof/>
            <w:lang w:val="es-ES"/>
          </w:rPr>
          <w:t>Marcas, dibujos y modelos industriales e indicaciones geográficas</w:t>
        </w:r>
        <w:r w:rsidR="00103E47">
          <w:rPr>
            <w:noProof/>
            <w:webHidden/>
          </w:rPr>
          <w:tab/>
        </w:r>
        <w:r w:rsidR="00103E47">
          <w:rPr>
            <w:noProof/>
            <w:webHidden/>
          </w:rPr>
          <w:fldChar w:fldCharType="begin"/>
        </w:r>
        <w:r w:rsidR="00103E47">
          <w:rPr>
            <w:noProof/>
            <w:webHidden/>
          </w:rPr>
          <w:instrText xml:space="preserve"> PAGEREF _Toc395279653 \h </w:instrText>
        </w:r>
        <w:r w:rsidR="00103E47">
          <w:rPr>
            <w:noProof/>
            <w:webHidden/>
          </w:rPr>
        </w:r>
        <w:r w:rsidR="00103E47">
          <w:rPr>
            <w:noProof/>
            <w:webHidden/>
          </w:rPr>
          <w:fldChar w:fldCharType="separate"/>
        </w:r>
        <w:r w:rsidR="008B18BE">
          <w:rPr>
            <w:noProof/>
            <w:webHidden/>
          </w:rPr>
          <w:t>53</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54" w:history="1">
        <w:r w:rsidR="00103E47" w:rsidRPr="00622903">
          <w:rPr>
            <w:rStyle w:val="Hyperlink"/>
            <w:noProof/>
            <w:lang w:val="es-ES"/>
          </w:rPr>
          <w:t>Programa 3</w:t>
        </w:r>
        <w:r w:rsidR="00103E47">
          <w:rPr>
            <w:rFonts w:asciiTheme="minorHAnsi" w:eastAsiaTheme="minorEastAsia" w:hAnsiTheme="minorHAnsi" w:cstheme="minorBidi"/>
            <w:noProof/>
            <w:sz w:val="22"/>
            <w:szCs w:val="22"/>
          </w:rPr>
          <w:tab/>
        </w:r>
        <w:r w:rsidR="00103E47" w:rsidRPr="00622903">
          <w:rPr>
            <w:rStyle w:val="Hyperlink"/>
            <w:noProof/>
            <w:lang w:val="es-ES"/>
          </w:rPr>
          <w:t>Derecho de autor y derechos conexos</w:t>
        </w:r>
        <w:r w:rsidR="00103E47">
          <w:rPr>
            <w:noProof/>
            <w:webHidden/>
          </w:rPr>
          <w:tab/>
        </w:r>
        <w:r w:rsidR="00103E47">
          <w:rPr>
            <w:noProof/>
            <w:webHidden/>
          </w:rPr>
          <w:fldChar w:fldCharType="begin"/>
        </w:r>
        <w:r w:rsidR="00103E47">
          <w:rPr>
            <w:noProof/>
            <w:webHidden/>
          </w:rPr>
          <w:instrText xml:space="preserve"> PAGEREF _Toc395279654 \h </w:instrText>
        </w:r>
        <w:r w:rsidR="00103E47">
          <w:rPr>
            <w:noProof/>
            <w:webHidden/>
          </w:rPr>
        </w:r>
        <w:r w:rsidR="00103E47">
          <w:rPr>
            <w:noProof/>
            <w:webHidden/>
          </w:rPr>
          <w:fldChar w:fldCharType="separate"/>
        </w:r>
        <w:r w:rsidR="008B18BE">
          <w:rPr>
            <w:noProof/>
            <w:webHidden/>
          </w:rPr>
          <w:t>58</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55" w:history="1">
        <w:r w:rsidR="00103E47" w:rsidRPr="00622903">
          <w:rPr>
            <w:rStyle w:val="Hyperlink"/>
            <w:noProof/>
            <w:lang w:val="es-ES"/>
          </w:rPr>
          <w:t>Programa 4</w:t>
        </w:r>
        <w:r w:rsidR="00103E47">
          <w:rPr>
            <w:rFonts w:asciiTheme="minorHAnsi" w:eastAsiaTheme="minorEastAsia" w:hAnsiTheme="minorHAnsi" w:cstheme="minorBidi"/>
            <w:noProof/>
            <w:sz w:val="22"/>
            <w:szCs w:val="22"/>
          </w:rPr>
          <w:tab/>
        </w:r>
        <w:r w:rsidR="00103E47" w:rsidRPr="00622903">
          <w:rPr>
            <w:rStyle w:val="Hyperlink"/>
            <w:noProof/>
            <w:lang w:val="es-ES"/>
          </w:rPr>
          <w:t>Conocimientos tradicionales, expresiones culturales tradicionales y recursos genéticos</w:t>
        </w:r>
        <w:r w:rsidR="00103E47">
          <w:rPr>
            <w:noProof/>
            <w:webHidden/>
          </w:rPr>
          <w:tab/>
        </w:r>
        <w:r w:rsidR="00103E47">
          <w:rPr>
            <w:noProof/>
            <w:webHidden/>
          </w:rPr>
          <w:fldChar w:fldCharType="begin"/>
        </w:r>
        <w:r w:rsidR="00103E47">
          <w:rPr>
            <w:noProof/>
            <w:webHidden/>
          </w:rPr>
          <w:instrText xml:space="preserve"> PAGEREF _Toc395279655 \h </w:instrText>
        </w:r>
        <w:r w:rsidR="00103E47">
          <w:rPr>
            <w:noProof/>
            <w:webHidden/>
          </w:rPr>
        </w:r>
        <w:r w:rsidR="00103E47">
          <w:rPr>
            <w:noProof/>
            <w:webHidden/>
          </w:rPr>
          <w:fldChar w:fldCharType="separate"/>
        </w:r>
        <w:r w:rsidR="008B18BE">
          <w:rPr>
            <w:noProof/>
            <w:webHidden/>
          </w:rPr>
          <w:t>66</w:t>
        </w:r>
        <w:r w:rsidR="00103E47">
          <w:rPr>
            <w:noProof/>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56" w:history="1">
        <w:r w:rsidR="00103E47" w:rsidRPr="00622903">
          <w:rPr>
            <w:rStyle w:val="Hyperlink"/>
            <w:noProof/>
            <w:lang w:val="es-ES_tradnl"/>
          </w:rPr>
          <w:t xml:space="preserve">META ESTRATÉGICA II  </w:t>
        </w:r>
        <w:r w:rsidR="00103E47">
          <w:rPr>
            <w:rStyle w:val="Hyperlink"/>
            <w:noProof/>
            <w:lang w:val="es-ES_tradnl"/>
          </w:rPr>
          <w:t xml:space="preserve"> </w:t>
        </w:r>
        <w:r w:rsidR="00103E47" w:rsidRPr="00622903">
          <w:rPr>
            <w:rStyle w:val="Hyperlink"/>
            <w:noProof/>
            <w:lang w:val="es-ES_tradnl"/>
          </w:rPr>
          <w:t>Prestación de servicios mundiales de P.I. de calidad</w:t>
        </w:r>
        <w:r w:rsidR="00103E47">
          <w:rPr>
            <w:noProof/>
            <w:webHidden/>
          </w:rPr>
          <w:tab/>
        </w:r>
        <w:r w:rsidR="00103E47">
          <w:rPr>
            <w:noProof/>
            <w:webHidden/>
          </w:rPr>
          <w:fldChar w:fldCharType="begin"/>
        </w:r>
        <w:r w:rsidR="00103E47">
          <w:rPr>
            <w:noProof/>
            <w:webHidden/>
          </w:rPr>
          <w:instrText xml:space="preserve"> PAGEREF _Toc395279656 \h </w:instrText>
        </w:r>
        <w:r w:rsidR="00103E47">
          <w:rPr>
            <w:noProof/>
            <w:webHidden/>
          </w:rPr>
        </w:r>
        <w:r w:rsidR="00103E47">
          <w:rPr>
            <w:noProof/>
            <w:webHidden/>
          </w:rPr>
          <w:fldChar w:fldCharType="separate"/>
        </w:r>
        <w:r w:rsidR="008B18BE">
          <w:rPr>
            <w:noProof/>
            <w:webHidden/>
          </w:rPr>
          <w:t>71</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57" w:history="1">
        <w:r w:rsidR="00103E47" w:rsidRPr="00622903">
          <w:rPr>
            <w:rStyle w:val="Hyperlink"/>
            <w:noProof/>
            <w:lang w:val="es-ES"/>
          </w:rPr>
          <w:t>Programa 5</w:t>
        </w:r>
        <w:r w:rsidR="00103E47">
          <w:rPr>
            <w:rFonts w:asciiTheme="minorHAnsi" w:eastAsiaTheme="minorEastAsia" w:hAnsiTheme="minorHAnsi" w:cstheme="minorBidi"/>
            <w:noProof/>
            <w:sz w:val="22"/>
            <w:szCs w:val="22"/>
          </w:rPr>
          <w:tab/>
        </w:r>
        <w:r w:rsidR="00103E47" w:rsidRPr="00622903">
          <w:rPr>
            <w:rStyle w:val="Hyperlink"/>
            <w:noProof/>
            <w:lang w:val="es-ES"/>
          </w:rPr>
          <w:t>Sistema del PCT</w:t>
        </w:r>
        <w:r w:rsidR="00103E47">
          <w:rPr>
            <w:noProof/>
            <w:webHidden/>
          </w:rPr>
          <w:tab/>
        </w:r>
        <w:r w:rsidR="00103E47">
          <w:rPr>
            <w:noProof/>
            <w:webHidden/>
          </w:rPr>
          <w:fldChar w:fldCharType="begin"/>
        </w:r>
        <w:r w:rsidR="00103E47">
          <w:rPr>
            <w:noProof/>
            <w:webHidden/>
          </w:rPr>
          <w:instrText xml:space="preserve"> PAGEREF _Toc395279657 \h </w:instrText>
        </w:r>
        <w:r w:rsidR="00103E47">
          <w:rPr>
            <w:noProof/>
            <w:webHidden/>
          </w:rPr>
        </w:r>
        <w:r w:rsidR="00103E47">
          <w:rPr>
            <w:noProof/>
            <w:webHidden/>
          </w:rPr>
          <w:fldChar w:fldCharType="separate"/>
        </w:r>
        <w:r w:rsidR="008B18BE">
          <w:rPr>
            <w:noProof/>
            <w:webHidden/>
          </w:rPr>
          <w:t>74</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58" w:history="1">
        <w:r w:rsidR="00103E47" w:rsidRPr="00622903">
          <w:rPr>
            <w:rStyle w:val="Hyperlink"/>
            <w:noProof/>
            <w:lang w:val="es-ES"/>
          </w:rPr>
          <w:t>Programa 6</w:t>
        </w:r>
        <w:r w:rsidR="00103E47">
          <w:rPr>
            <w:rFonts w:asciiTheme="minorHAnsi" w:eastAsiaTheme="minorEastAsia" w:hAnsiTheme="minorHAnsi" w:cstheme="minorBidi"/>
            <w:noProof/>
            <w:sz w:val="22"/>
            <w:szCs w:val="22"/>
          </w:rPr>
          <w:tab/>
        </w:r>
        <w:r w:rsidR="00103E47" w:rsidRPr="00622903">
          <w:rPr>
            <w:rStyle w:val="Hyperlink"/>
            <w:noProof/>
            <w:lang w:val="es-ES"/>
          </w:rPr>
          <w:t>Sistemas de Madrid y de Lisboa</w:t>
        </w:r>
        <w:r w:rsidR="00103E47">
          <w:rPr>
            <w:noProof/>
            <w:webHidden/>
          </w:rPr>
          <w:tab/>
        </w:r>
        <w:r w:rsidR="00103E47">
          <w:rPr>
            <w:noProof/>
            <w:webHidden/>
          </w:rPr>
          <w:fldChar w:fldCharType="begin"/>
        </w:r>
        <w:r w:rsidR="00103E47">
          <w:rPr>
            <w:noProof/>
            <w:webHidden/>
          </w:rPr>
          <w:instrText xml:space="preserve"> PAGEREF _Toc395279658 \h </w:instrText>
        </w:r>
        <w:r w:rsidR="00103E47">
          <w:rPr>
            <w:noProof/>
            <w:webHidden/>
          </w:rPr>
        </w:r>
        <w:r w:rsidR="00103E47">
          <w:rPr>
            <w:noProof/>
            <w:webHidden/>
          </w:rPr>
          <w:fldChar w:fldCharType="separate"/>
        </w:r>
        <w:r w:rsidR="008B18BE">
          <w:rPr>
            <w:noProof/>
            <w:webHidden/>
          </w:rPr>
          <w:t>89</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59" w:history="1">
        <w:r w:rsidR="00103E47" w:rsidRPr="00622903">
          <w:rPr>
            <w:rStyle w:val="Hyperlink"/>
            <w:noProof/>
            <w:lang w:val="es-ES"/>
          </w:rPr>
          <w:t>Programa 31</w:t>
        </w:r>
        <w:r w:rsidR="00103E47">
          <w:rPr>
            <w:rFonts w:asciiTheme="minorHAnsi" w:eastAsiaTheme="minorEastAsia" w:hAnsiTheme="minorHAnsi" w:cstheme="minorBidi"/>
            <w:noProof/>
            <w:sz w:val="22"/>
            <w:szCs w:val="22"/>
          </w:rPr>
          <w:tab/>
        </w:r>
        <w:r w:rsidR="00103E47" w:rsidRPr="00622903">
          <w:rPr>
            <w:rStyle w:val="Hyperlink"/>
            <w:noProof/>
            <w:lang w:val="es-ES"/>
          </w:rPr>
          <w:t>Sistema de La Haya</w:t>
        </w:r>
        <w:r w:rsidR="00103E47">
          <w:rPr>
            <w:noProof/>
            <w:webHidden/>
          </w:rPr>
          <w:tab/>
        </w:r>
        <w:r w:rsidR="00103E47">
          <w:rPr>
            <w:noProof/>
            <w:webHidden/>
          </w:rPr>
          <w:fldChar w:fldCharType="begin"/>
        </w:r>
        <w:r w:rsidR="00103E47">
          <w:rPr>
            <w:noProof/>
            <w:webHidden/>
          </w:rPr>
          <w:instrText xml:space="preserve"> PAGEREF _Toc395279659 \h </w:instrText>
        </w:r>
        <w:r w:rsidR="00103E47">
          <w:rPr>
            <w:noProof/>
            <w:webHidden/>
          </w:rPr>
        </w:r>
        <w:r w:rsidR="00103E47">
          <w:rPr>
            <w:noProof/>
            <w:webHidden/>
          </w:rPr>
          <w:fldChar w:fldCharType="separate"/>
        </w:r>
        <w:r w:rsidR="008B18BE">
          <w:rPr>
            <w:noProof/>
            <w:webHidden/>
          </w:rPr>
          <w:t>96</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60" w:history="1">
        <w:r w:rsidR="00103E47" w:rsidRPr="00622903">
          <w:rPr>
            <w:rStyle w:val="Hyperlink"/>
            <w:noProof/>
            <w:lang w:val="es-ES"/>
          </w:rPr>
          <w:t>Programa 7</w:t>
        </w:r>
        <w:r w:rsidR="00103E47">
          <w:rPr>
            <w:rFonts w:asciiTheme="minorHAnsi" w:eastAsiaTheme="minorEastAsia" w:hAnsiTheme="minorHAnsi" w:cstheme="minorBidi"/>
            <w:noProof/>
            <w:sz w:val="22"/>
            <w:szCs w:val="22"/>
          </w:rPr>
          <w:tab/>
        </w:r>
        <w:r w:rsidR="00103E47" w:rsidRPr="00622903">
          <w:rPr>
            <w:rStyle w:val="Hyperlink"/>
            <w:noProof/>
            <w:lang w:val="es-ES"/>
          </w:rPr>
          <w:t>Arbitraje, mediación y nombres de dominio</w:t>
        </w:r>
        <w:r w:rsidR="00103E47">
          <w:rPr>
            <w:noProof/>
            <w:webHidden/>
          </w:rPr>
          <w:tab/>
        </w:r>
        <w:r w:rsidR="00103E47">
          <w:rPr>
            <w:noProof/>
            <w:webHidden/>
          </w:rPr>
          <w:fldChar w:fldCharType="begin"/>
        </w:r>
        <w:r w:rsidR="00103E47">
          <w:rPr>
            <w:noProof/>
            <w:webHidden/>
          </w:rPr>
          <w:instrText xml:space="preserve"> PAGEREF _Toc395279660 \h </w:instrText>
        </w:r>
        <w:r w:rsidR="00103E47">
          <w:rPr>
            <w:noProof/>
            <w:webHidden/>
          </w:rPr>
        </w:r>
        <w:r w:rsidR="00103E47">
          <w:rPr>
            <w:noProof/>
            <w:webHidden/>
          </w:rPr>
          <w:fldChar w:fldCharType="separate"/>
        </w:r>
        <w:r w:rsidR="008B18BE">
          <w:rPr>
            <w:noProof/>
            <w:webHidden/>
          </w:rPr>
          <w:t>101</w:t>
        </w:r>
        <w:r w:rsidR="00103E47">
          <w:rPr>
            <w:noProof/>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61" w:history="1">
        <w:r w:rsidR="00103E47" w:rsidRPr="00622903">
          <w:rPr>
            <w:rStyle w:val="Hyperlink"/>
            <w:noProof/>
            <w:lang w:val="es-ES_tradnl"/>
          </w:rPr>
          <w:t xml:space="preserve">META ESTRATÉGICA III  </w:t>
        </w:r>
        <w:r w:rsidR="00103E47">
          <w:rPr>
            <w:rStyle w:val="Hyperlink"/>
            <w:noProof/>
            <w:lang w:val="es-ES_tradnl"/>
          </w:rPr>
          <w:t xml:space="preserve"> </w:t>
        </w:r>
        <w:r w:rsidR="00103E47" w:rsidRPr="00622903">
          <w:rPr>
            <w:rStyle w:val="Hyperlink"/>
            <w:noProof/>
            <w:lang w:val="es-ES_tradnl"/>
          </w:rPr>
          <w:t>Facilitar el uso de la P.I. en aras del desarrollo</w:t>
        </w:r>
        <w:r w:rsidR="00103E47">
          <w:rPr>
            <w:noProof/>
            <w:webHidden/>
          </w:rPr>
          <w:tab/>
        </w:r>
        <w:r w:rsidR="00103E47">
          <w:rPr>
            <w:noProof/>
            <w:webHidden/>
          </w:rPr>
          <w:fldChar w:fldCharType="begin"/>
        </w:r>
        <w:r w:rsidR="00103E47">
          <w:rPr>
            <w:noProof/>
            <w:webHidden/>
          </w:rPr>
          <w:instrText xml:space="preserve"> PAGEREF _Toc395279661 \h </w:instrText>
        </w:r>
        <w:r w:rsidR="00103E47">
          <w:rPr>
            <w:noProof/>
            <w:webHidden/>
          </w:rPr>
        </w:r>
        <w:r w:rsidR="00103E47">
          <w:rPr>
            <w:noProof/>
            <w:webHidden/>
          </w:rPr>
          <w:fldChar w:fldCharType="separate"/>
        </w:r>
        <w:r w:rsidR="008B18BE">
          <w:rPr>
            <w:noProof/>
            <w:webHidden/>
          </w:rPr>
          <w:t>106</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62" w:history="1">
        <w:r w:rsidR="00103E47" w:rsidRPr="00622903">
          <w:rPr>
            <w:rStyle w:val="Hyperlink"/>
            <w:noProof/>
            <w:lang w:val="es-ES"/>
          </w:rPr>
          <w:t>Programa 8</w:t>
        </w:r>
        <w:r w:rsidR="00103E47">
          <w:rPr>
            <w:rFonts w:asciiTheme="minorHAnsi" w:eastAsiaTheme="minorEastAsia" w:hAnsiTheme="minorHAnsi" w:cstheme="minorBidi"/>
            <w:noProof/>
            <w:sz w:val="22"/>
            <w:szCs w:val="22"/>
          </w:rPr>
          <w:tab/>
        </w:r>
        <w:r w:rsidR="00103E47" w:rsidRPr="00622903">
          <w:rPr>
            <w:rStyle w:val="Hyperlink"/>
            <w:noProof/>
            <w:lang w:val="es-ES"/>
          </w:rPr>
          <w:t>Coordinación de la Agenda para el Desarrollo</w:t>
        </w:r>
        <w:r w:rsidR="00103E47">
          <w:rPr>
            <w:noProof/>
            <w:webHidden/>
          </w:rPr>
          <w:tab/>
        </w:r>
        <w:r w:rsidR="00103E47">
          <w:rPr>
            <w:noProof/>
            <w:webHidden/>
          </w:rPr>
          <w:fldChar w:fldCharType="begin"/>
        </w:r>
        <w:r w:rsidR="00103E47">
          <w:rPr>
            <w:noProof/>
            <w:webHidden/>
          </w:rPr>
          <w:instrText xml:space="preserve"> PAGEREF _Toc395279662 \h </w:instrText>
        </w:r>
        <w:r w:rsidR="00103E47">
          <w:rPr>
            <w:noProof/>
            <w:webHidden/>
          </w:rPr>
        </w:r>
        <w:r w:rsidR="00103E47">
          <w:rPr>
            <w:noProof/>
            <w:webHidden/>
          </w:rPr>
          <w:fldChar w:fldCharType="separate"/>
        </w:r>
        <w:r w:rsidR="008B18BE">
          <w:rPr>
            <w:noProof/>
            <w:webHidden/>
          </w:rPr>
          <w:t>109</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63" w:history="1">
        <w:r w:rsidR="00103E47" w:rsidRPr="00622903">
          <w:rPr>
            <w:rStyle w:val="Hyperlink"/>
            <w:noProof/>
            <w:lang w:val="es-ES"/>
          </w:rPr>
          <w:t>Programa 9</w:t>
        </w:r>
        <w:r w:rsidR="00103E47">
          <w:rPr>
            <w:rFonts w:asciiTheme="minorHAnsi" w:eastAsiaTheme="minorEastAsia" w:hAnsiTheme="minorHAnsi" w:cstheme="minorBidi"/>
            <w:noProof/>
            <w:sz w:val="22"/>
            <w:szCs w:val="22"/>
          </w:rPr>
          <w:tab/>
        </w:r>
        <w:r w:rsidR="00103E47" w:rsidRPr="00622903">
          <w:rPr>
            <w:rStyle w:val="Hyperlink"/>
            <w:noProof/>
            <w:lang w:val="es-ES"/>
          </w:rPr>
          <w:t>Países africanos, árabes, de América Latina y el Caribe, de Asia y el Pacífico y países menos adelantados</w:t>
        </w:r>
        <w:r w:rsidR="00103E47">
          <w:rPr>
            <w:noProof/>
            <w:webHidden/>
          </w:rPr>
          <w:tab/>
        </w:r>
        <w:r w:rsidR="00103E47">
          <w:rPr>
            <w:noProof/>
            <w:webHidden/>
          </w:rPr>
          <w:fldChar w:fldCharType="begin"/>
        </w:r>
        <w:r w:rsidR="00103E47">
          <w:rPr>
            <w:noProof/>
            <w:webHidden/>
          </w:rPr>
          <w:instrText xml:space="preserve"> PAGEREF _Toc395279663 \h </w:instrText>
        </w:r>
        <w:r w:rsidR="00103E47">
          <w:rPr>
            <w:noProof/>
            <w:webHidden/>
          </w:rPr>
        </w:r>
        <w:r w:rsidR="00103E47">
          <w:rPr>
            <w:noProof/>
            <w:webHidden/>
          </w:rPr>
          <w:fldChar w:fldCharType="separate"/>
        </w:r>
        <w:r w:rsidR="008B18BE">
          <w:rPr>
            <w:noProof/>
            <w:webHidden/>
          </w:rPr>
          <w:t>114</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64" w:history="1">
        <w:r w:rsidR="00103E47" w:rsidRPr="00622903">
          <w:rPr>
            <w:rStyle w:val="Hyperlink"/>
            <w:noProof/>
            <w:lang w:val="es-ES"/>
          </w:rPr>
          <w:t>Programa 10</w:t>
        </w:r>
        <w:r w:rsidR="00103E47">
          <w:rPr>
            <w:rFonts w:asciiTheme="minorHAnsi" w:eastAsiaTheme="minorEastAsia" w:hAnsiTheme="minorHAnsi" w:cstheme="minorBidi"/>
            <w:noProof/>
            <w:sz w:val="22"/>
            <w:szCs w:val="22"/>
          </w:rPr>
          <w:tab/>
        </w:r>
        <w:r w:rsidR="00103E47" w:rsidRPr="00622903">
          <w:rPr>
            <w:rStyle w:val="Hyperlink"/>
            <w:noProof/>
            <w:lang w:val="es-ES"/>
          </w:rPr>
          <w:t>Cooperación con determinados países de Europa y Asia</w:t>
        </w:r>
        <w:r w:rsidR="00103E47">
          <w:rPr>
            <w:noProof/>
            <w:webHidden/>
          </w:rPr>
          <w:tab/>
        </w:r>
        <w:r w:rsidR="00103E47">
          <w:rPr>
            <w:noProof/>
            <w:webHidden/>
          </w:rPr>
          <w:fldChar w:fldCharType="begin"/>
        </w:r>
        <w:r w:rsidR="00103E47">
          <w:rPr>
            <w:noProof/>
            <w:webHidden/>
          </w:rPr>
          <w:instrText xml:space="preserve"> PAGEREF _Toc395279664 \h </w:instrText>
        </w:r>
        <w:r w:rsidR="00103E47">
          <w:rPr>
            <w:noProof/>
            <w:webHidden/>
          </w:rPr>
        </w:r>
        <w:r w:rsidR="00103E47">
          <w:rPr>
            <w:noProof/>
            <w:webHidden/>
          </w:rPr>
          <w:fldChar w:fldCharType="separate"/>
        </w:r>
        <w:r w:rsidR="008B18BE">
          <w:rPr>
            <w:noProof/>
            <w:webHidden/>
          </w:rPr>
          <w:t>128</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65" w:history="1">
        <w:r w:rsidR="00103E47" w:rsidRPr="00622903">
          <w:rPr>
            <w:rStyle w:val="Hyperlink"/>
            <w:noProof/>
            <w:lang w:val="es-ES"/>
          </w:rPr>
          <w:t>Programa 11</w:t>
        </w:r>
        <w:r w:rsidR="00103E47">
          <w:rPr>
            <w:rFonts w:asciiTheme="minorHAnsi" w:eastAsiaTheme="minorEastAsia" w:hAnsiTheme="minorHAnsi" w:cstheme="minorBidi"/>
            <w:noProof/>
            <w:sz w:val="22"/>
            <w:szCs w:val="22"/>
          </w:rPr>
          <w:tab/>
        </w:r>
        <w:r w:rsidR="00103E47" w:rsidRPr="00622903">
          <w:rPr>
            <w:rStyle w:val="Hyperlink"/>
            <w:noProof/>
            <w:lang w:val="es-ES"/>
          </w:rPr>
          <w:t>Academia de la OMPI</w:t>
        </w:r>
        <w:r w:rsidR="00103E47">
          <w:rPr>
            <w:noProof/>
            <w:webHidden/>
          </w:rPr>
          <w:tab/>
        </w:r>
        <w:r w:rsidR="00103E47">
          <w:rPr>
            <w:noProof/>
            <w:webHidden/>
          </w:rPr>
          <w:fldChar w:fldCharType="begin"/>
        </w:r>
        <w:r w:rsidR="00103E47">
          <w:rPr>
            <w:noProof/>
            <w:webHidden/>
          </w:rPr>
          <w:instrText xml:space="preserve"> PAGEREF _Toc395279665 \h </w:instrText>
        </w:r>
        <w:r w:rsidR="00103E47">
          <w:rPr>
            <w:noProof/>
            <w:webHidden/>
          </w:rPr>
        </w:r>
        <w:r w:rsidR="00103E47">
          <w:rPr>
            <w:noProof/>
            <w:webHidden/>
          </w:rPr>
          <w:fldChar w:fldCharType="separate"/>
        </w:r>
        <w:r w:rsidR="008B18BE">
          <w:rPr>
            <w:noProof/>
            <w:webHidden/>
          </w:rPr>
          <w:t>134</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66" w:history="1">
        <w:r w:rsidR="00103E47" w:rsidRPr="00622903">
          <w:rPr>
            <w:rStyle w:val="Hyperlink"/>
            <w:noProof/>
            <w:lang w:val="es-ES"/>
          </w:rPr>
          <w:t>Programa 30</w:t>
        </w:r>
        <w:r w:rsidR="00103E47">
          <w:rPr>
            <w:rFonts w:asciiTheme="minorHAnsi" w:eastAsiaTheme="minorEastAsia" w:hAnsiTheme="minorHAnsi" w:cstheme="minorBidi"/>
            <w:noProof/>
            <w:sz w:val="22"/>
            <w:szCs w:val="22"/>
          </w:rPr>
          <w:tab/>
        </w:r>
        <w:r w:rsidR="00103E47" w:rsidRPr="00622903">
          <w:rPr>
            <w:rStyle w:val="Hyperlink"/>
            <w:noProof/>
            <w:lang w:val="es-ES"/>
          </w:rPr>
          <w:t>Las pequeñas y medianas empresas (pymes) y la innovación</w:t>
        </w:r>
        <w:r w:rsidR="00103E47">
          <w:rPr>
            <w:noProof/>
            <w:webHidden/>
          </w:rPr>
          <w:tab/>
        </w:r>
        <w:r w:rsidR="00103E47">
          <w:rPr>
            <w:noProof/>
            <w:webHidden/>
          </w:rPr>
          <w:fldChar w:fldCharType="begin"/>
        </w:r>
        <w:r w:rsidR="00103E47">
          <w:rPr>
            <w:noProof/>
            <w:webHidden/>
          </w:rPr>
          <w:instrText xml:space="preserve"> PAGEREF _Toc395279666 \h </w:instrText>
        </w:r>
        <w:r w:rsidR="00103E47">
          <w:rPr>
            <w:noProof/>
            <w:webHidden/>
          </w:rPr>
        </w:r>
        <w:r w:rsidR="00103E47">
          <w:rPr>
            <w:noProof/>
            <w:webHidden/>
          </w:rPr>
          <w:fldChar w:fldCharType="separate"/>
        </w:r>
        <w:r w:rsidR="008B18BE">
          <w:rPr>
            <w:noProof/>
            <w:webHidden/>
          </w:rPr>
          <w:t>141</w:t>
        </w:r>
        <w:r w:rsidR="00103E47">
          <w:rPr>
            <w:noProof/>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67" w:history="1">
        <w:r w:rsidR="00103E47" w:rsidRPr="00622903">
          <w:rPr>
            <w:rStyle w:val="Hyperlink"/>
            <w:noProof/>
            <w:lang w:val="es-ES_tradnl"/>
          </w:rPr>
          <w:t xml:space="preserve">META ESTRATÉGICA IV  </w:t>
        </w:r>
        <w:r w:rsidR="00103E47">
          <w:rPr>
            <w:rStyle w:val="Hyperlink"/>
            <w:noProof/>
            <w:lang w:val="es-ES_tradnl"/>
          </w:rPr>
          <w:t xml:space="preserve"> </w:t>
        </w:r>
        <w:r w:rsidR="00103E47" w:rsidRPr="00622903">
          <w:rPr>
            <w:rStyle w:val="Hyperlink"/>
            <w:noProof/>
            <w:lang w:val="es-ES_tradnl"/>
          </w:rPr>
          <w:t>Coordinación y desarrollo de la infraestructura mundial de P.I.</w:t>
        </w:r>
        <w:r w:rsidR="00103E47">
          <w:rPr>
            <w:noProof/>
            <w:webHidden/>
          </w:rPr>
          <w:tab/>
        </w:r>
        <w:r w:rsidR="00103E47">
          <w:rPr>
            <w:noProof/>
            <w:webHidden/>
          </w:rPr>
          <w:fldChar w:fldCharType="begin"/>
        </w:r>
        <w:r w:rsidR="00103E47">
          <w:rPr>
            <w:noProof/>
            <w:webHidden/>
          </w:rPr>
          <w:instrText xml:space="preserve"> PAGEREF _Toc395279667 \h </w:instrText>
        </w:r>
        <w:r w:rsidR="00103E47">
          <w:rPr>
            <w:noProof/>
            <w:webHidden/>
          </w:rPr>
        </w:r>
        <w:r w:rsidR="00103E47">
          <w:rPr>
            <w:noProof/>
            <w:webHidden/>
          </w:rPr>
          <w:fldChar w:fldCharType="separate"/>
        </w:r>
        <w:r w:rsidR="008B18BE">
          <w:rPr>
            <w:noProof/>
            <w:webHidden/>
          </w:rPr>
          <w:t>147</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68" w:history="1">
        <w:r w:rsidR="00103E47" w:rsidRPr="00622903">
          <w:rPr>
            <w:rStyle w:val="Hyperlink"/>
            <w:noProof/>
            <w:lang w:val="es-ES"/>
          </w:rPr>
          <w:t>Programa 12</w:t>
        </w:r>
        <w:r w:rsidR="00103E47">
          <w:rPr>
            <w:rFonts w:asciiTheme="minorHAnsi" w:eastAsiaTheme="minorEastAsia" w:hAnsiTheme="minorHAnsi" w:cstheme="minorBidi"/>
            <w:noProof/>
            <w:sz w:val="22"/>
            <w:szCs w:val="22"/>
          </w:rPr>
          <w:tab/>
        </w:r>
        <w:r w:rsidR="00103E47" w:rsidRPr="00622903">
          <w:rPr>
            <w:rStyle w:val="Hyperlink"/>
            <w:noProof/>
            <w:lang w:val="es-ES"/>
          </w:rPr>
          <w:t>Clasificaciones internacionales y normas técnicas de la OMPI</w:t>
        </w:r>
        <w:r w:rsidR="00103E47">
          <w:rPr>
            <w:noProof/>
            <w:webHidden/>
          </w:rPr>
          <w:tab/>
        </w:r>
        <w:r w:rsidR="00103E47">
          <w:rPr>
            <w:noProof/>
            <w:webHidden/>
          </w:rPr>
          <w:fldChar w:fldCharType="begin"/>
        </w:r>
        <w:r w:rsidR="00103E47">
          <w:rPr>
            <w:noProof/>
            <w:webHidden/>
          </w:rPr>
          <w:instrText xml:space="preserve"> PAGEREF _Toc395279668 \h </w:instrText>
        </w:r>
        <w:r w:rsidR="00103E47">
          <w:rPr>
            <w:noProof/>
            <w:webHidden/>
          </w:rPr>
        </w:r>
        <w:r w:rsidR="00103E47">
          <w:rPr>
            <w:noProof/>
            <w:webHidden/>
          </w:rPr>
          <w:fldChar w:fldCharType="separate"/>
        </w:r>
        <w:r w:rsidR="008B18BE">
          <w:rPr>
            <w:noProof/>
            <w:webHidden/>
          </w:rPr>
          <w:t>149</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69" w:history="1">
        <w:r w:rsidR="00103E47" w:rsidRPr="00622903">
          <w:rPr>
            <w:rStyle w:val="Hyperlink"/>
            <w:noProof/>
            <w:lang w:val="es-ES"/>
          </w:rPr>
          <w:t>Programa 13</w:t>
        </w:r>
        <w:r w:rsidR="00103E47">
          <w:rPr>
            <w:rFonts w:asciiTheme="minorHAnsi" w:eastAsiaTheme="minorEastAsia" w:hAnsiTheme="minorHAnsi" w:cstheme="minorBidi"/>
            <w:noProof/>
            <w:sz w:val="22"/>
            <w:szCs w:val="22"/>
          </w:rPr>
          <w:tab/>
        </w:r>
        <w:r w:rsidR="00103E47" w:rsidRPr="00622903">
          <w:rPr>
            <w:rStyle w:val="Hyperlink"/>
            <w:noProof/>
            <w:lang w:val="es-ES"/>
          </w:rPr>
          <w:t>Bases de datos mundiales</w:t>
        </w:r>
        <w:r w:rsidR="00103E47">
          <w:rPr>
            <w:noProof/>
            <w:webHidden/>
          </w:rPr>
          <w:tab/>
        </w:r>
        <w:r w:rsidR="00103E47">
          <w:rPr>
            <w:noProof/>
            <w:webHidden/>
          </w:rPr>
          <w:fldChar w:fldCharType="begin"/>
        </w:r>
        <w:r w:rsidR="00103E47">
          <w:rPr>
            <w:noProof/>
            <w:webHidden/>
          </w:rPr>
          <w:instrText xml:space="preserve"> PAGEREF _Toc395279669 \h </w:instrText>
        </w:r>
        <w:r w:rsidR="00103E47">
          <w:rPr>
            <w:noProof/>
            <w:webHidden/>
          </w:rPr>
        </w:r>
        <w:r w:rsidR="00103E47">
          <w:rPr>
            <w:noProof/>
            <w:webHidden/>
          </w:rPr>
          <w:fldChar w:fldCharType="separate"/>
        </w:r>
        <w:r w:rsidR="008B18BE">
          <w:rPr>
            <w:noProof/>
            <w:webHidden/>
          </w:rPr>
          <w:t>153</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70" w:history="1">
        <w:r w:rsidR="00103E47" w:rsidRPr="00622903">
          <w:rPr>
            <w:rStyle w:val="Hyperlink"/>
            <w:noProof/>
            <w:lang w:val="es-ES"/>
          </w:rPr>
          <w:t>Programa 14</w:t>
        </w:r>
        <w:r w:rsidR="00103E47">
          <w:rPr>
            <w:rFonts w:asciiTheme="minorHAnsi" w:eastAsiaTheme="minorEastAsia" w:hAnsiTheme="minorHAnsi" w:cstheme="minorBidi"/>
            <w:noProof/>
            <w:sz w:val="22"/>
            <w:szCs w:val="22"/>
          </w:rPr>
          <w:tab/>
        </w:r>
        <w:r w:rsidR="00103E47" w:rsidRPr="00622903">
          <w:rPr>
            <w:rStyle w:val="Hyperlink"/>
            <w:noProof/>
            <w:lang w:val="es-ES"/>
          </w:rPr>
          <w:t>Servicios de acceso a la información y a los conocimientos</w:t>
        </w:r>
        <w:r w:rsidR="00103E47">
          <w:rPr>
            <w:noProof/>
            <w:webHidden/>
          </w:rPr>
          <w:tab/>
        </w:r>
        <w:r w:rsidR="00103E47">
          <w:rPr>
            <w:noProof/>
            <w:webHidden/>
          </w:rPr>
          <w:fldChar w:fldCharType="begin"/>
        </w:r>
        <w:r w:rsidR="00103E47">
          <w:rPr>
            <w:noProof/>
            <w:webHidden/>
          </w:rPr>
          <w:instrText xml:space="preserve"> PAGEREF _Toc395279670 \h </w:instrText>
        </w:r>
        <w:r w:rsidR="00103E47">
          <w:rPr>
            <w:noProof/>
            <w:webHidden/>
          </w:rPr>
        </w:r>
        <w:r w:rsidR="00103E47">
          <w:rPr>
            <w:noProof/>
            <w:webHidden/>
          </w:rPr>
          <w:fldChar w:fldCharType="separate"/>
        </w:r>
        <w:r w:rsidR="008B18BE">
          <w:rPr>
            <w:noProof/>
            <w:webHidden/>
          </w:rPr>
          <w:t>158</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71" w:history="1">
        <w:r w:rsidR="00103E47" w:rsidRPr="00622903">
          <w:rPr>
            <w:rStyle w:val="Hyperlink"/>
            <w:noProof/>
            <w:lang w:val="es-ES"/>
          </w:rPr>
          <w:t>Programa 15</w:t>
        </w:r>
        <w:r w:rsidR="00103E47">
          <w:rPr>
            <w:rFonts w:asciiTheme="minorHAnsi" w:eastAsiaTheme="minorEastAsia" w:hAnsiTheme="minorHAnsi" w:cstheme="minorBidi"/>
            <w:noProof/>
            <w:sz w:val="22"/>
            <w:szCs w:val="22"/>
          </w:rPr>
          <w:tab/>
        </w:r>
        <w:r w:rsidR="00103E47" w:rsidRPr="00622903">
          <w:rPr>
            <w:rStyle w:val="Hyperlink"/>
            <w:noProof/>
            <w:lang w:val="es-ES"/>
          </w:rPr>
          <w:t>Soluciones operativas para las oficinas de P.I.</w:t>
        </w:r>
        <w:r w:rsidR="00103E47">
          <w:rPr>
            <w:noProof/>
            <w:webHidden/>
          </w:rPr>
          <w:tab/>
        </w:r>
        <w:r w:rsidR="00103E47">
          <w:rPr>
            <w:noProof/>
            <w:webHidden/>
          </w:rPr>
          <w:fldChar w:fldCharType="begin"/>
        </w:r>
        <w:r w:rsidR="00103E47">
          <w:rPr>
            <w:noProof/>
            <w:webHidden/>
          </w:rPr>
          <w:instrText xml:space="preserve"> PAGEREF _Toc395279671 \h </w:instrText>
        </w:r>
        <w:r w:rsidR="00103E47">
          <w:rPr>
            <w:noProof/>
            <w:webHidden/>
          </w:rPr>
        </w:r>
        <w:r w:rsidR="00103E47">
          <w:rPr>
            <w:noProof/>
            <w:webHidden/>
          </w:rPr>
          <w:fldChar w:fldCharType="separate"/>
        </w:r>
        <w:r w:rsidR="008B18BE">
          <w:rPr>
            <w:noProof/>
            <w:webHidden/>
          </w:rPr>
          <w:t>163</w:t>
        </w:r>
        <w:r w:rsidR="00103E47">
          <w:rPr>
            <w:noProof/>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72" w:history="1">
        <w:r w:rsidR="00103E47" w:rsidRPr="00622903">
          <w:rPr>
            <w:rStyle w:val="Hyperlink"/>
            <w:noProof/>
            <w:lang w:val="es-ES_tradnl"/>
          </w:rPr>
          <w:t xml:space="preserve">META ESTRATÉGICA V  </w:t>
        </w:r>
        <w:r w:rsidR="00103E47">
          <w:rPr>
            <w:rStyle w:val="Hyperlink"/>
            <w:noProof/>
            <w:lang w:val="es-ES_tradnl"/>
          </w:rPr>
          <w:t xml:space="preserve"> </w:t>
        </w:r>
        <w:r w:rsidR="00103E47" w:rsidRPr="00622903">
          <w:rPr>
            <w:rStyle w:val="Hyperlink"/>
            <w:noProof/>
            <w:lang w:val="es-ES_tradnl"/>
          </w:rPr>
          <w:t>Fuente de referencia en el mundo de información y análisis en materia de P.I.</w:t>
        </w:r>
        <w:r w:rsidR="00103E47">
          <w:rPr>
            <w:noProof/>
            <w:webHidden/>
          </w:rPr>
          <w:tab/>
        </w:r>
        <w:r w:rsidR="00103E47">
          <w:rPr>
            <w:noProof/>
            <w:webHidden/>
          </w:rPr>
          <w:fldChar w:fldCharType="begin"/>
        </w:r>
        <w:r w:rsidR="00103E47">
          <w:rPr>
            <w:noProof/>
            <w:webHidden/>
          </w:rPr>
          <w:instrText xml:space="preserve"> PAGEREF _Toc395279672 \h </w:instrText>
        </w:r>
        <w:r w:rsidR="00103E47">
          <w:rPr>
            <w:noProof/>
            <w:webHidden/>
          </w:rPr>
        </w:r>
        <w:r w:rsidR="00103E47">
          <w:rPr>
            <w:noProof/>
            <w:webHidden/>
          </w:rPr>
          <w:fldChar w:fldCharType="separate"/>
        </w:r>
        <w:r w:rsidR="008B18BE">
          <w:rPr>
            <w:noProof/>
            <w:webHidden/>
          </w:rPr>
          <w:t>168</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73" w:history="1">
        <w:r w:rsidR="00103E47" w:rsidRPr="00622903">
          <w:rPr>
            <w:rStyle w:val="Hyperlink"/>
            <w:noProof/>
            <w:lang w:val="es-ES"/>
          </w:rPr>
          <w:t>Programa 16</w:t>
        </w:r>
        <w:r w:rsidR="00103E47">
          <w:rPr>
            <w:rFonts w:asciiTheme="minorHAnsi" w:eastAsiaTheme="minorEastAsia" w:hAnsiTheme="minorHAnsi" w:cstheme="minorBidi"/>
            <w:noProof/>
            <w:sz w:val="22"/>
            <w:szCs w:val="22"/>
          </w:rPr>
          <w:tab/>
        </w:r>
        <w:r w:rsidR="00103E47" w:rsidRPr="00622903">
          <w:rPr>
            <w:rStyle w:val="Hyperlink"/>
            <w:noProof/>
            <w:lang w:val="es-ES"/>
          </w:rPr>
          <w:t>Economía y estadística</w:t>
        </w:r>
        <w:r w:rsidR="00103E47">
          <w:rPr>
            <w:noProof/>
            <w:webHidden/>
          </w:rPr>
          <w:tab/>
        </w:r>
        <w:r w:rsidR="00103E47">
          <w:rPr>
            <w:noProof/>
            <w:webHidden/>
          </w:rPr>
          <w:fldChar w:fldCharType="begin"/>
        </w:r>
        <w:r w:rsidR="00103E47">
          <w:rPr>
            <w:noProof/>
            <w:webHidden/>
          </w:rPr>
          <w:instrText xml:space="preserve"> PAGEREF _Toc395279673 \h </w:instrText>
        </w:r>
        <w:r w:rsidR="00103E47">
          <w:rPr>
            <w:noProof/>
            <w:webHidden/>
          </w:rPr>
        </w:r>
        <w:r w:rsidR="00103E47">
          <w:rPr>
            <w:noProof/>
            <w:webHidden/>
          </w:rPr>
          <w:fldChar w:fldCharType="separate"/>
        </w:r>
        <w:r w:rsidR="008B18BE">
          <w:rPr>
            <w:noProof/>
            <w:webHidden/>
          </w:rPr>
          <w:t>169</w:t>
        </w:r>
        <w:r w:rsidR="00103E47">
          <w:rPr>
            <w:noProof/>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74" w:history="1">
        <w:r w:rsidR="00103E47" w:rsidRPr="00622903">
          <w:rPr>
            <w:rStyle w:val="Hyperlink"/>
            <w:noProof/>
            <w:lang w:val="es-ES_tradnl"/>
          </w:rPr>
          <w:t xml:space="preserve">META ESTRATÉGICA VI </w:t>
        </w:r>
        <w:r w:rsidR="00103E47">
          <w:rPr>
            <w:rStyle w:val="Hyperlink"/>
            <w:noProof/>
            <w:lang w:val="es-ES_tradnl"/>
          </w:rPr>
          <w:t xml:space="preserve"> </w:t>
        </w:r>
        <w:r w:rsidR="00103E47" w:rsidRPr="00622903">
          <w:rPr>
            <w:rStyle w:val="Hyperlink"/>
            <w:noProof/>
            <w:lang w:val="es-ES_tradnl"/>
          </w:rPr>
          <w:t xml:space="preserve"> </w:t>
        </w:r>
        <w:r w:rsidR="00103E47" w:rsidRPr="00622903">
          <w:rPr>
            <w:rStyle w:val="Hyperlink"/>
            <w:noProof/>
            <w:lang w:val="es-ES"/>
          </w:rPr>
          <w:t>Cooperación internacional para fomentar el respeto por la P.I.</w:t>
        </w:r>
        <w:r w:rsidR="00103E47">
          <w:rPr>
            <w:noProof/>
            <w:webHidden/>
          </w:rPr>
          <w:tab/>
        </w:r>
        <w:r w:rsidR="00103E47">
          <w:rPr>
            <w:noProof/>
            <w:webHidden/>
          </w:rPr>
          <w:fldChar w:fldCharType="begin"/>
        </w:r>
        <w:r w:rsidR="00103E47">
          <w:rPr>
            <w:noProof/>
            <w:webHidden/>
          </w:rPr>
          <w:instrText xml:space="preserve"> PAGEREF _Toc395279674 \h </w:instrText>
        </w:r>
        <w:r w:rsidR="00103E47">
          <w:rPr>
            <w:noProof/>
            <w:webHidden/>
          </w:rPr>
        </w:r>
        <w:r w:rsidR="00103E47">
          <w:rPr>
            <w:noProof/>
            <w:webHidden/>
          </w:rPr>
          <w:fldChar w:fldCharType="separate"/>
        </w:r>
        <w:r w:rsidR="008B18BE">
          <w:rPr>
            <w:noProof/>
            <w:webHidden/>
          </w:rPr>
          <w:t>173</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75" w:history="1">
        <w:r w:rsidR="00103E47" w:rsidRPr="00622903">
          <w:rPr>
            <w:rStyle w:val="Hyperlink"/>
            <w:noProof/>
            <w:lang w:val="es-ES"/>
          </w:rPr>
          <w:t>Programa 17</w:t>
        </w:r>
        <w:r w:rsidR="00103E47">
          <w:rPr>
            <w:rFonts w:asciiTheme="minorHAnsi" w:eastAsiaTheme="minorEastAsia" w:hAnsiTheme="minorHAnsi" w:cstheme="minorBidi"/>
            <w:noProof/>
            <w:sz w:val="22"/>
            <w:szCs w:val="22"/>
          </w:rPr>
          <w:tab/>
        </w:r>
        <w:r w:rsidR="00103E47" w:rsidRPr="00622903">
          <w:rPr>
            <w:rStyle w:val="Hyperlink"/>
            <w:noProof/>
            <w:lang w:val="es-ES"/>
          </w:rPr>
          <w:t>Fomentar el respeto por la P.I.</w:t>
        </w:r>
        <w:r w:rsidR="00103E47">
          <w:rPr>
            <w:noProof/>
            <w:webHidden/>
          </w:rPr>
          <w:tab/>
        </w:r>
        <w:r w:rsidR="00103E47">
          <w:rPr>
            <w:noProof/>
            <w:webHidden/>
          </w:rPr>
          <w:fldChar w:fldCharType="begin"/>
        </w:r>
        <w:r w:rsidR="00103E47">
          <w:rPr>
            <w:noProof/>
            <w:webHidden/>
          </w:rPr>
          <w:instrText xml:space="preserve"> PAGEREF _Toc395279675 \h </w:instrText>
        </w:r>
        <w:r w:rsidR="00103E47">
          <w:rPr>
            <w:noProof/>
            <w:webHidden/>
          </w:rPr>
        </w:r>
        <w:r w:rsidR="00103E47">
          <w:rPr>
            <w:noProof/>
            <w:webHidden/>
          </w:rPr>
          <w:fldChar w:fldCharType="separate"/>
        </w:r>
        <w:r w:rsidR="008B18BE">
          <w:rPr>
            <w:noProof/>
            <w:webHidden/>
          </w:rPr>
          <w:t>174</w:t>
        </w:r>
        <w:r w:rsidR="00103E47">
          <w:rPr>
            <w:noProof/>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76" w:history="1">
        <w:r w:rsidR="00103E47" w:rsidRPr="00622903">
          <w:rPr>
            <w:rStyle w:val="Hyperlink"/>
            <w:noProof/>
            <w:lang w:val="es-ES_tradnl"/>
          </w:rPr>
          <w:t xml:space="preserve">META ESTRATÉGICA VII  </w:t>
        </w:r>
        <w:r w:rsidR="00103E47">
          <w:rPr>
            <w:rStyle w:val="Hyperlink"/>
            <w:noProof/>
            <w:lang w:val="es-ES_tradnl"/>
          </w:rPr>
          <w:t xml:space="preserve"> </w:t>
        </w:r>
        <w:r w:rsidR="00103E47" w:rsidRPr="00622903">
          <w:rPr>
            <w:rStyle w:val="Hyperlink"/>
            <w:noProof/>
            <w:lang w:val="es-ES_tradnl"/>
          </w:rPr>
          <w:t>Vínculos entre la P.I. y los problemas mundiales de política pública</w:t>
        </w:r>
        <w:r w:rsidR="00103E47">
          <w:rPr>
            <w:noProof/>
            <w:webHidden/>
          </w:rPr>
          <w:tab/>
        </w:r>
        <w:r w:rsidR="00103E47">
          <w:rPr>
            <w:noProof/>
            <w:webHidden/>
          </w:rPr>
          <w:fldChar w:fldCharType="begin"/>
        </w:r>
        <w:r w:rsidR="00103E47">
          <w:rPr>
            <w:noProof/>
            <w:webHidden/>
          </w:rPr>
          <w:instrText xml:space="preserve"> PAGEREF _Toc395279676 \h </w:instrText>
        </w:r>
        <w:r w:rsidR="00103E47">
          <w:rPr>
            <w:noProof/>
            <w:webHidden/>
          </w:rPr>
        </w:r>
        <w:r w:rsidR="00103E47">
          <w:rPr>
            <w:noProof/>
            <w:webHidden/>
          </w:rPr>
          <w:fldChar w:fldCharType="separate"/>
        </w:r>
        <w:r w:rsidR="008B18BE">
          <w:rPr>
            <w:noProof/>
            <w:webHidden/>
          </w:rPr>
          <w:t>179</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77" w:history="1">
        <w:r w:rsidR="00103E47" w:rsidRPr="00622903">
          <w:rPr>
            <w:rStyle w:val="Hyperlink"/>
            <w:noProof/>
            <w:lang w:val="es-ES"/>
          </w:rPr>
          <w:t>Programa 18</w:t>
        </w:r>
        <w:r w:rsidR="00103E47">
          <w:rPr>
            <w:rFonts w:asciiTheme="minorHAnsi" w:eastAsiaTheme="minorEastAsia" w:hAnsiTheme="minorHAnsi" w:cstheme="minorBidi"/>
            <w:noProof/>
            <w:sz w:val="22"/>
            <w:szCs w:val="22"/>
          </w:rPr>
          <w:tab/>
        </w:r>
        <w:r w:rsidR="00103E47" w:rsidRPr="00622903">
          <w:rPr>
            <w:rStyle w:val="Hyperlink"/>
            <w:noProof/>
            <w:lang w:val="es-ES"/>
          </w:rPr>
          <w:t>La P.I. y los desafíos mundiales</w:t>
        </w:r>
        <w:r w:rsidR="00103E47">
          <w:rPr>
            <w:noProof/>
            <w:webHidden/>
          </w:rPr>
          <w:tab/>
        </w:r>
        <w:r w:rsidR="00103E47">
          <w:rPr>
            <w:noProof/>
            <w:webHidden/>
          </w:rPr>
          <w:fldChar w:fldCharType="begin"/>
        </w:r>
        <w:r w:rsidR="00103E47">
          <w:rPr>
            <w:noProof/>
            <w:webHidden/>
          </w:rPr>
          <w:instrText xml:space="preserve"> PAGEREF _Toc395279677 \h </w:instrText>
        </w:r>
        <w:r w:rsidR="00103E47">
          <w:rPr>
            <w:noProof/>
            <w:webHidden/>
          </w:rPr>
        </w:r>
        <w:r w:rsidR="00103E47">
          <w:rPr>
            <w:noProof/>
            <w:webHidden/>
          </w:rPr>
          <w:fldChar w:fldCharType="separate"/>
        </w:r>
        <w:r w:rsidR="008B18BE">
          <w:rPr>
            <w:noProof/>
            <w:webHidden/>
          </w:rPr>
          <w:t>180</w:t>
        </w:r>
        <w:r w:rsidR="00103E47">
          <w:rPr>
            <w:noProof/>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78" w:history="1">
        <w:r w:rsidR="00103E47" w:rsidRPr="00622903">
          <w:rPr>
            <w:rStyle w:val="Hyperlink"/>
            <w:noProof/>
            <w:lang w:val="es-ES_tradnl"/>
          </w:rPr>
          <w:t>META ESTRATÉGICA VIII</w:t>
        </w:r>
        <w:r w:rsidR="00103E47">
          <w:rPr>
            <w:rStyle w:val="Hyperlink"/>
            <w:noProof/>
            <w:lang w:val="es-ES_tradnl"/>
          </w:rPr>
          <w:t xml:space="preserve"> </w:t>
        </w:r>
        <w:r w:rsidR="00103E47" w:rsidRPr="00622903">
          <w:rPr>
            <w:rStyle w:val="Hyperlink"/>
            <w:noProof/>
            <w:lang w:val="es-ES_tradnl"/>
          </w:rPr>
          <w:t xml:space="preserve">  </w:t>
        </w:r>
        <w:r w:rsidR="00103E47" w:rsidRPr="00622903">
          <w:rPr>
            <w:rStyle w:val="Hyperlink"/>
            <w:noProof/>
            <w:lang w:val="es-ES"/>
          </w:rPr>
          <w:t>Comunicación eficaz entre la OMPI, sus Estados miembros y todas las partes interesadas</w:t>
        </w:r>
        <w:r w:rsidR="00103E47">
          <w:rPr>
            <w:noProof/>
            <w:webHidden/>
          </w:rPr>
          <w:tab/>
        </w:r>
        <w:r w:rsidR="00103E47">
          <w:rPr>
            <w:noProof/>
            <w:webHidden/>
          </w:rPr>
          <w:fldChar w:fldCharType="begin"/>
        </w:r>
        <w:r w:rsidR="00103E47">
          <w:rPr>
            <w:noProof/>
            <w:webHidden/>
          </w:rPr>
          <w:instrText xml:space="preserve"> PAGEREF _Toc395279678 \h </w:instrText>
        </w:r>
        <w:r w:rsidR="00103E47">
          <w:rPr>
            <w:noProof/>
            <w:webHidden/>
          </w:rPr>
        </w:r>
        <w:r w:rsidR="00103E47">
          <w:rPr>
            <w:noProof/>
            <w:webHidden/>
          </w:rPr>
          <w:fldChar w:fldCharType="separate"/>
        </w:r>
        <w:r w:rsidR="008B18BE">
          <w:rPr>
            <w:noProof/>
            <w:webHidden/>
          </w:rPr>
          <w:t>187</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79" w:history="1">
        <w:r w:rsidR="00103E47" w:rsidRPr="00622903">
          <w:rPr>
            <w:rStyle w:val="Hyperlink"/>
            <w:noProof/>
            <w:lang w:val="es-ES"/>
          </w:rPr>
          <w:t>Programa 19</w:t>
        </w:r>
        <w:r w:rsidR="00103E47">
          <w:rPr>
            <w:rFonts w:asciiTheme="minorHAnsi" w:eastAsiaTheme="minorEastAsia" w:hAnsiTheme="minorHAnsi" w:cstheme="minorBidi"/>
            <w:noProof/>
            <w:sz w:val="22"/>
            <w:szCs w:val="22"/>
          </w:rPr>
          <w:tab/>
        </w:r>
        <w:r w:rsidR="00103E47" w:rsidRPr="00622903">
          <w:rPr>
            <w:rStyle w:val="Hyperlink"/>
            <w:noProof/>
            <w:lang w:val="es-ES"/>
          </w:rPr>
          <w:t>Comunicaciones</w:t>
        </w:r>
        <w:r w:rsidR="00103E47">
          <w:rPr>
            <w:noProof/>
            <w:webHidden/>
          </w:rPr>
          <w:tab/>
        </w:r>
        <w:r w:rsidR="00103E47">
          <w:rPr>
            <w:noProof/>
            <w:webHidden/>
          </w:rPr>
          <w:fldChar w:fldCharType="begin"/>
        </w:r>
        <w:r w:rsidR="00103E47">
          <w:rPr>
            <w:noProof/>
            <w:webHidden/>
          </w:rPr>
          <w:instrText xml:space="preserve"> PAGEREF _Toc395279679 \h </w:instrText>
        </w:r>
        <w:r w:rsidR="00103E47">
          <w:rPr>
            <w:noProof/>
            <w:webHidden/>
          </w:rPr>
        </w:r>
        <w:r w:rsidR="00103E47">
          <w:rPr>
            <w:noProof/>
            <w:webHidden/>
          </w:rPr>
          <w:fldChar w:fldCharType="separate"/>
        </w:r>
        <w:r w:rsidR="008B18BE">
          <w:rPr>
            <w:noProof/>
            <w:webHidden/>
          </w:rPr>
          <w:t>189</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0" w:history="1">
        <w:r w:rsidR="00103E47" w:rsidRPr="00622903">
          <w:rPr>
            <w:rStyle w:val="Hyperlink"/>
            <w:noProof/>
            <w:lang w:val="es-ES"/>
          </w:rPr>
          <w:t>Programa 20</w:t>
        </w:r>
        <w:r w:rsidR="00103E47">
          <w:rPr>
            <w:rFonts w:asciiTheme="minorHAnsi" w:eastAsiaTheme="minorEastAsia" w:hAnsiTheme="minorHAnsi" w:cstheme="minorBidi"/>
            <w:noProof/>
            <w:sz w:val="22"/>
            <w:szCs w:val="22"/>
          </w:rPr>
          <w:tab/>
        </w:r>
        <w:r w:rsidR="00103E47" w:rsidRPr="00622903">
          <w:rPr>
            <w:rStyle w:val="Hyperlink"/>
            <w:noProof/>
            <w:lang w:val="es-ES"/>
          </w:rPr>
          <w:t>Relaciones exteriores, alianzas y oficinas en el exterior</w:t>
        </w:r>
        <w:r w:rsidR="00103E47">
          <w:rPr>
            <w:noProof/>
            <w:webHidden/>
          </w:rPr>
          <w:tab/>
        </w:r>
        <w:r w:rsidR="00103E47">
          <w:rPr>
            <w:noProof/>
            <w:webHidden/>
          </w:rPr>
          <w:fldChar w:fldCharType="begin"/>
        </w:r>
        <w:r w:rsidR="00103E47">
          <w:rPr>
            <w:noProof/>
            <w:webHidden/>
          </w:rPr>
          <w:instrText xml:space="preserve"> PAGEREF _Toc395279680 \h </w:instrText>
        </w:r>
        <w:r w:rsidR="00103E47">
          <w:rPr>
            <w:noProof/>
            <w:webHidden/>
          </w:rPr>
        </w:r>
        <w:r w:rsidR="00103E47">
          <w:rPr>
            <w:noProof/>
            <w:webHidden/>
          </w:rPr>
          <w:fldChar w:fldCharType="separate"/>
        </w:r>
        <w:r w:rsidR="008B18BE">
          <w:rPr>
            <w:noProof/>
            <w:webHidden/>
          </w:rPr>
          <w:t>194</w:t>
        </w:r>
        <w:r w:rsidR="00103E47">
          <w:rPr>
            <w:noProof/>
            <w:webHidden/>
          </w:rPr>
          <w:fldChar w:fldCharType="end"/>
        </w:r>
      </w:hyperlink>
    </w:p>
    <w:p w:rsidR="00103E47" w:rsidRDefault="00527233">
      <w:pPr>
        <w:pStyle w:val="TOC2"/>
        <w:rPr>
          <w:rFonts w:asciiTheme="minorHAnsi" w:eastAsiaTheme="minorEastAsia" w:hAnsiTheme="minorHAnsi" w:cstheme="minorBidi"/>
          <w:b w:val="0"/>
          <w:noProof/>
          <w:sz w:val="22"/>
          <w:szCs w:val="22"/>
        </w:rPr>
      </w:pPr>
      <w:hyperlink w:anchor="_Toc395279681" w:history="1">
        <w:r w:rsidR="00103E47" w:rsidRPr="00622903">
          <w:rPr>
            <w:rStyle w:val="Hyperlink"/>
            <w:noProof/>
            <w:lang w:val="es-ES_tradnl"/>
          </w:rPr>
          <w:t xml:space="preserve">META ESTRATÉGICA IX </w:t>
        </w:r>
        <w:r w:rsidR="00103E47">
          <w:rPr>
            <w:rStyle w:val="Hyperlink"/>
            <w:noProof/>
            <w:lang w:val="es-ES_tradnl"/>
          </w:rPr>
          <w:t xml:space="preserve"> </w:t>
        </w:r>
        <w:r w:rsidR="00103E47" w:rsidRPr="00622903">
          <w:rPr>
            <w:rStyle w:val="Hyperlink"/>
            <w:noProof/>
            <w:lang w:val="es-ES_tradnl"/>
          </w:rPr>
          <w:t xml:space="preserve"> </w:t>
        </w:r>
        <w:r w:rsidR="00103E47" w:rsidRPr="00622903">
          <w:rPr>
            <w:rStyle w:val="Hyperlink"/>
            <w:noProof/>
            <w:lang w:val="es-ES"/>
          </w:rPr>
          <w:t>Apoyo administrativo y financiero eficiente</w:t>
        </w:r>
        <w:r w:rsidR="00103E47">
          <w:rPr>
            <w:noProof/>
            <w:webHidden/>
          </w:rPr>
          <w:tab/>
        </w:r>
        <w:r w:rsidR="00103E47">
          <w:rPr>
            <w:noProof/>
            <w:webHidden/>
          </w:rPr>
          <w:fldChar w:fldCharType="begin"/>
        </w:r>
        <w:r w:rsidR="00103E47">
          <w:rPr>
            <w:noProof/>
            <w:webHidden/>
          </w:rPr>
          <w:instrText xml:space="preserve"> PAGEREF _Toc395279681 \h </w:instrText>
        </w:r>
        <w:r w:rsidR="00103E47">
          <w:rPr>
            <w:noProof/>
            <w:webHidden/>
          </w:rPr>
        </w:r>
        <w:r w:rsidR="00103E47">
          <w:rPr>
            <w:noProof/>
            <w:webHidden/>
          </w:rPr>
          <w:fldChar w:fldCharType="separate"/>
        </w:r>
        <w:r w:rsidR="008B18BE">
          <w:rPr>
            <w:noProof/>
            <w:webHidden/>
          </w:rPr>
          <w:t>202</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2" w:history="1">
        <w:r w:rsidR="00103E47" w:rsidRPr="00622903">
          <w:rPr>
            <w:rStyle w:val="Hyperlink"/>
            <w:noProof/>
            <w:lang w:val="es-ES"/>
          </w:rPr>
          <w:t>Programa 21</w:t>
        </w:r>
        <w:r w:rsidR="00103E47">
          <w:rPr>
            <w:rFonts w:asciiTheme="minorHAnsi" w:eastAsiaTheme="minorEastAsia" w:hAnsiTheme="minorHAnsi" w:cstheme="minorBidi"/>
            <w:noProof/>
            <w:sz w:val="22"/>
            <w:szCs w:val="22"/>
          </w:rPr>
          <w:tab/>
        </w:r>
        <w:r w:rsidR="00103E47" w:rsidRPr="00622903">
          <w:rPr>
            <w:rStyle w:val="Hyperlink"/>
            <w:noProof/>
            <w:lang w:val="es-ES"/>
          </w:rPr>
          <w:t>Gestión ejecutiva</w:t>
        </w:r>
        <w:r w:rsidR="00103E47">
          <w:rPr>
            <w:noProof/>
            <w:webHidden/>
          </w:rPr>
          <w:tab/>
        </w:r>
        <w:r w:rsidR="00103E47">
          <w:rPr>
            <w:noProof/>
            <w:webHidden/>
          </w:rPr>
          <w:fldChar w:fldCharType="begin"/>
        </w:r>
        <w:r w:rsidR="00103E47">
          <w:rPr>
            <w:noProof/>
            <w:webHidden/>
          </w:rPr>
          <w:instrText xml:space="preserve"> PAGEREF _Toc395279682 \h </w:instrText>
        </w:r>
        <w:r w:rsidR="00103E47">
          <w:rPr>
            <w:noProof/>
            <w:webHidden/>
          </w:rPr>
        </w:r>
        <w:r w:rsidR="00103E47">
          <w:rPr>
            <w:noProof/>
            <w:webHidden/>
          </w:rPr>
          <w:fldChar w:fldCharType="separate"/>
        </w:r>
        <w:r w:rsidR="008B18BE">
          <w:rPr>
            <w:noProof/>
            <w:webHidden/>
          </w:rPr>
          <w:t>205</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3" w:history="1">
        <w:r w:rsidR="00103E47" w:rsidRPr="00622903">
          <w:rPr>
            <w:rStyle w:val="Hyperlink"/>
            <w:noProof/>
            <w:lang w:val="es-ES"/>
          </w:rPr>
          <w:t>Programa 22</w:t>
        </w:r>
        <w:r w:rsidR="00103E47">
          <w:rPr>
            <w:rFonts w:asciiTheme="minorHAnsi" w:eastAsiaTheme="minorEastAsia" w:hAnsiTheme="minorHAnsi" w:cstheme="minorBidi"/>
            <w:noProof/>
            <w:sz w:val="22"/>
            <w:szCs w:val="22"/>
          </w:rPr>
          <w:tab/>
        </w:r>
        <w:r w:rsidR="00103E47" w:rsidRPr="00622903">
          <w:rPr>
            <w:rStyle w:val="Hyperlink"/>
            <w:noProof/>
            <w:lang w:val="es-ES"/>
          </w:rPr>
          <w:t>Gestión de programas y recursos</w:t>
        </w:r>
        <w:r w:rsidR="00103E47">
          <w:rPr>
            <w:noProof/>
            <w:webHidden/>
          </w:rPr>
          <w:tab/>
        </w:r>
        <w:r w:rsidR="00103E47">
          <w:rPr>
            <w:noProof/>
            <w:webHidden/>
          </w:rPr>
          <w:fldChar w:fldCharType="begin"/>
        </w:r>
        <w:r w:rsidR="00103E47">
          <w:rPr>
            <w:noProof/>
            <w:webHidden/>
          </w:rPr>
          <w:instrText xml:space="preserve"> PAGEREF _Toc395279683 \h </w:instrText>
        </w:r>
        <w:r w:rsidR="00103E47">
          <w:rPr>
            <w:noProof/>
            <w:webHidden/>
          </w:rPr>
        </w:r>
        <w:r w:rsidR="00103E47">
          <w:rPr>
            <w:noProof/>
            <w:webHidden/>
          </w:rPr>
          <w:fldChar w:fldCharType="separate"/>
        </w:r>
        <w:r w:rsidR="008B18BE">
          <w:rPr>
            <w:noProof/>
            <w:webHidden/>
          </w:rPr>
          <w:t>212</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4" w:history="1">
        <w:r w:rsidR="00103E47" w:rsidRPr="00622903">
          <w:rPr>
            <w:rStyle w:val="Hyperlink"/>
            <w:noProof/>
            <w:lang w:val="es-ES"/>
          </w:rPr>
          <w:t>Programa 23</w:t>
        </w:r>
        <w:r w:rsidR="00103E47">
          <w:rPr>
            <w:rFonts w:asciiTheme="minorHAnsi" w:eastAsiaTheme="minorEastAsia" w:hAnsiTheme="minorHAnsi" w:cstheme="minorBidi"/>
            <w:noProof/>
            <w:sz w:val="22"/>
            <w:szCs w:val="22"/>
          </w:rPr>
          <w:tab/>
        </w:r>
        <w:r w:rsidR="00103E47" w:rsidRPr="00622903">
          <w:rPr>
            <w:rStyle w:val="Hyperlink"/>
            <w:noProof/>
            <w:lang w:val="es-ES"/>
          </w:rPr>
          <w:t>Gestión y desarrollo de los recursos humanos</w:t>
        </w:r>
        <w:r w:rsidR="00103E47">
          <w:rPr>
            <w:noProof/>
            <w:webHidden/>
          </w:rPr>
          <w:tab/>
        </w:r>
        <w:r w:rsidR="00103E47">
          <w:rPr>
            <w:noProof/>
            <w:webHidden/>
          </w:rPr>
          <w:fldChar w:fldCharType="begin"/>
        </w:r>
        <w:r w:rsidR="00103E47">
          <w:rPr>
            <w:noProof/>
            <w:webHidden/>
          </w:rPr>
          <w:instrText xml:space="preserve"> PAGEREF _Toc395279684 \h </w:instrText>
        </w:r>
        <w:r w:rsidR="00103E47">
          <w:rPr>
            <w:noProof/>
            <w:webHidden/>
          </w:rPr>
        </w:r>
        <w:r w:rsidR="00103E47">
          <w:rPr>
            <w:noProof/>
            <w:webHidden/>
          </w:rPr>
          <w:fldChar w:fldCharType="separate"/>
        </w:r>
        <w:r w:rsidR="008B18BE">
          <w:rPr>
            <w:noProof/>
            <w:webHidden/>
          </w:rPr>
          <w:t>216</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5" w:history="1">
        <w:r w:rsidR="00103E47" w:rsidRPr="00622903">
          <w:rPr>
            <w:rStyle w:val="Hyperlink"/>
            <w:noProof/>
            <w:lang w:val="es-ES"/>
          </w:rPr>
          <w:t>Programa 24</w:t>
        </w:r>
        <w:r w:rsidR="00103E47">
          <w:rPr>
            <w:rFonts w:asciiTheme="minorHAnsi" w:eastAsiaTheme="minorEastAsia" w:hAnsiTheme="minorHAnsi" w:cstheme="minorBidi"/>
            <w:noProof/>
            <w:sz w:val="22"/>
            <w:szCs w:val="22"/>
          </w:rPr>
          <w:tab/>
        </w:r>
        <w:r w:rsidR="00103E47" w:rsidRPr="00622903">
          <w:rPr>
            <w:rStyle w:val="Hyperlink"/>
            <w:noProof/>
            <w:lang w:val="es-ES"/>
          </w:rPr>
          <w:t>Servicios de apoyo generales</w:t>
        </w:r>
        <w:r w:rsidR="00103E47">
          <w:rPr>
            <w:noProof/>
            <w:webHidden/>
          </w:rPr>
          <w:tab/>
        </w:r>
        <w:r w:rsidR="00103E47">
          <w:rPr>
            <w:noProof/>
            <w:webHidden/>
          </w:rPr>
          <w:fldChar w:fldCharType="begin"/>
        </w:r>
        <w:r w:rsidR="00103E47">
          <w:rPr>
            <w:noProof/>
            <w:webHidden/>
          </w:rPr>
          <w:instrText xml:space="preserve"> PAGEREF _Toc395279685 \h </w:instrText>
        </w:r>
        <w:r w:rsidR="00103E47">
          <w:rPr>
            <w:noProof/>
            <w:webHidden/>
          </w:rPr>
        </w:r>
        <w:r w:rsidR="00103E47">
          <w:rPr>
            <w:noProof/>
            <w:webHidden/>
          </w:rPr>
          <w:fldChar w:fldCharType="separate"/>
        </w:r>
        <w:r w:rsidR="008B18BE">
          <w:rPr>
            <w:noProof/>
            <w:webHidden/>
          </w:rPr>
          <w:t>222</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6" w:history="1">
        <w:r w:rsidR="00103E47" w:rsidRPr="00622903">
          <w:rPr>
            <w:rStyle w:val="Hyperlink"/>
            <w:noProof/>
            <w:lang w:val="es-ES"/>
          </w:rPr>
          <w:t>Programa 25</w:t>
        </w:r>
        <w:r w:rsidR="00103E47">
          <w:rPr>
            <w:rFonts w:asciiTheme="minorHAnsi" w:eastAsiaTheme="minorEastAsia" w:hAnsiTheme="minorHAnsi" w:cstheme="minorBidi"/>
            <w:noProof/>
            <w:sz w:val="22"/>
            <w:szCs w:val="22"/>
          </w:rPr>
          <w:tab/>
        </w:r>
        <w:r w:rsidR="00103E47" w:rsidRPr="00622903">
          <w:rPr>
            <w:rStyle w:val="Hyperlink"/>
            <w:noProof/>
            <w:lang w:val="es-ES"/>
          </w:rPr>
          <w:t>Tecnologías de la información y de las comunicaciones</w:t>
        </w:r>
        <w:r w:rsidR="00103E47">
          <w:rPr>
            <w:noProof/>
            <w:webHidden/>
          </w:rPr>
          <w:tab/>
        </w:r>
        <w:r w:rsidR="00103E47">
          <w:rPr>
            <w:noProof/>
            <w:webHidden/>
          </w:rPr>
          <w:fldChar w:fldCharType="begin"/>
        </w:r>
        <w:r w:rsidR="00103E47">
          <w:rPr>
            <w:noProof/>
            <w:webHidden/>
          </w:rPr>
          <w:instrText xml:space="preserve"> PAGEREF _Toc395279686 \h </w:instrText>
        </w:r>
        <w:r w:rsidR="00103E47">
          <w:rPr>
            <w:noProof/>
            <w:webHidden/>
          </w:rPr>
        </w:r>
        <w:r w:rsidR="00103E47">
          <w:rPr>
            <w:noProof/>
            <w:webHidden/>
          </w:rPr>
          <w:fldChar w:fldCharType="separate"/>
        </w:r>
        <w:r w:rsidR="008B18BE">
          <w:rPr>
            <w:noProof/>
            <w:webHidden/>
          </w:rPr>
          <w:t>230</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7" w:history="1">
        <w:r w:rsidR="00103E47" w:rsidRPr="00622903">
          <w:rPr>
            <w:rStyle w:val="Hyperlink"/>
            <w:noProof/>
            <w:lang w:val="es-ES"/>
          </w:rPr>
          <w:t>Programa 26</w:t>
        </w:r>
        <w:r w:rsidR="00103E47">
          <w:rPr>
            <w:rFonts w:asciiTheme="minorHAnsi" w:eastAsiaTheme="minorEastAsia" w:hAnsiTheme="minorHAnsi" w:cstheme="minorBidi"/>
            <w:noProof/>
            <w:sz w:val="22"/>
            <w:szCs w:val="22"/>
          </w:rPr>
          <w:tab/>
        </w:r>
        <w:r w:rsidR="00103E47" w:rsidRPr="00622903">
          <w:rPr>
            <w:rStyle w:val="Hyperlink"/>
            <w:noProof/>
            <w:lang w:val="es-ES"/>
          </w:rPr>
          <w:t>Supervisión interna</w:t>
        </w:r>
        <w:r w:rsidR="00103E47">
          <w:rPr>
            <w:noProof/>
            <w:webHidden/>
          </w:rPr>
          <w:tab/>
        </w:r>
        <w:r w:rsidR="00103E47">
          <w:rPr>
            <w:noProof/>
            <w:webHidden/>
          </w:rPr>
          <w:fldChar w:fldCharType="begin"/>
        </w:r>
        <w:r w:rsidR="00103E47">
          <w:rPr>
            <w:noProof/>
            <w:webHidden/>
          </w:rPr>
          <w:instrText xml:space="preserve"> PAGEREF _Toc395279687 \h </w:instrText>
        </w:r>
        <w:r w:rsidR="00103E47">
          <w:rPr>
            <w:noProof/>
            <w:webHidden/>
          </w:rPr>
        </w:r>
        <w:r w:rsidR="00103E47">
          <w:rPr>
            <w:noProof/>
            <w:webHidden/>
          </w:rPr>
          <w:fldChar w:fldCharType="separate"/>
        </w:r>
        <w:r w:rsidR="008B18BE">
          <w:rPr>
            <w:noProof/>
            <w:webHidden/>
          </w:rPr>
          <w:t>235</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8" w:history="1">
        <w:r w:rsidR="00103E47" w:rsidRPr="00622903">
          <w:rPr>
            <w:rStyle w:val="Hyperlink"/>
            <w:noProof/>
            <w:lang w:val="es-ES"/>
          </w:rPr>
          <w:t>Programa 27</w:t>
        </w:r>
        <w:r w:rsidR="00103E47">
          <w:rPr>
            <w:rFonts w:asciiTheme="minorHAnsi" w:eastAsiaTheme="minorEastAsia" w:hAnsiTheme="minorHAnsi" w:cstheme="minorBidi"/>
            <w:noProof/>
            <w:sz w:val="22"/>
            <w:szCs w:val="22"/>
          </w:rPr>
          <w:tab/>
        </w:r>
        <w:r w:rsidR="00103E47" w:rsidRPr="00622903">
          <w:rPr>
            <w:rStyle w:val="Hyperlink"/>
            <w:noProof/>
            <w:lang w:val="es-ES"/>
          </w:rPr>
          <w:t>Servicios de conferencia y lingüísticos</w:t>
        </w:r>
        <w:r w:rsidR="00103E47">
          <w:rPr>
            <w:noProof/>
            <w:webHidden/>
          </w:rPr>
          <w:tab/>
        </w:r>
        <w:r w:rsidR="00103E47">
          <w:rPr>
            <w:noProof/>
            <w:webHidden/>
          </w:rPr>
          <w:fldChar w:fldCharType="begin"/>
        </w:r>
        <w:r w:rsidR="00103E47">
          <w:rPr>
            <w:noProof/>
            <w:webHidden/>
          </w:rPr>
          <w:instrText xml:space="preserve"> PAGEREF _Toc395279688 \h </w:instrText>
        </w:r>
        <w:r w:rsidR="00103E47">
          <w:rPr>
            <w:noProof/>
            <w:webHidden/>
          </w:rPr>
        </w:r>
        <w:r w:rsidR="00103E47">
          <w:rPr>
            <w:noProof/>
            <w:webHidden/>
          </w:rPr>
          <w:fldChar w:fldCharType="separate"/>
        </w:r>
        <w:r w:rsidR="008B18BE">
          <w:rPr>
            <w:noProof/>
            <w:webHidden/>
          </w:rPr>
          <w:t>240</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89" w:history="1">
        <w:r w:rsidR="00103E47" w:rsidRPr="00622903">
          <w:rPr>
            <w:rStyle w:val="Hyperlink"/>
            <w:noProof/>
            <w:lang w:val="es-ES"/>
          </w:rPr>
          <w:t>Programa 28</w:t>
        </w:r>
        <w:r w:rsidR="00103E47">
          <w:rPr>
            <w:rFonts w:asciiTheme="minorHAnsi" w:eastAsiaTheme="minorEastAsia" w:hAnsiTheme="minorHAnsi" w:cstheme="minorBidi"/>
            <w:noProof/>
            <w:sz w:val="22"/>
            <w:szCs w:val="22"/>
          </w:rPr>
          <w:tab/>
        </w:r>
        <w:r w:rsidR="00103E47" w:rsidRPr="00622903">
          <w:rPr>
            <w:rStyle w:val="Hyperlink"/>
            <w:noProof/>
            <w:lang w:val="es-ES"/>
          </w:rPr>
          <w:t>Seguridad</w:t>
        </w:r>
        <w:r w:rsidR="00103E47">
          <w:rPr>
            <w:noProof/>
            <w:webHidden/>
          </w:rPr>
          <w:tab/>
        </w:r>
        <w:r w:rsidR="00103E47">
          <w:rPr>
            <w:noProof/>
            <w:webHidden/>
          </w:rPr>
          <w:fldChar w:fldCharType="begin"/>
        </w:r>
        <w:r w:rsidR="00103E47">
          <w:rPr>
            <w:noProof/>
            <w:webHidden/>
          </w:rPr>
          <w:instrText xml:space="preserve"> PAGEREF _Toc395279689 \h </w:instrText>
        </w:r>
        <w:r w:rsidR="00103E47">
          <w:rPr>
            <w:noProof/>
            <w:webHidden/>
          </w:rPr>
        </w:r>
        <w:r w:rsidR="00103E47">
          <w:rPr>
            <w:noProof/>
            <w:webHidden/>
          </w:rPr>
          <w:fldChar w:fldCharType="separate"/>
        </w:r>
        <w:r w:rsidR="008B18BE">
          <w:rPr>
            <w:noProof/>
            <w:webHidden/>
          </w:rPr>
          <w:t>245</w:t>
        </w:r>
        <w:r w:rsidR="00103E47">
          <w:rPr>
            <w:noProof/>
            <w:webHidden/>
          </w:rPr>
          <w:fldChar w:fldCharType="end"/>
        </w:r>
      </w:hyperlink>
    </w:p>
    <w:p w:rsidR="00103E47" w:rsidRDefault="00527233">
      <w:pPr>
        <w:pStyle w:val="TOC3"/>
        <w:rPr>
          <w:rFonts w:asciiTheme="minorHAnsi" w:eastAsiaTheme="minorEastAsia" w:hAnsiTheme="minorHAnsi" w:cstheme="minorBidi"/>
          <w:noProof/>
          <w:sz w:val="22"/>
          <w:szCs w:val="22"/>
        </w:rPr>
      </w:pPr>
      <w:hyperlink w:anchor="_Toc395279690" w:history="1">
        <w:r w:rsidR="00103E47" w:rsidRPr="00622903">
          <w:rPr>
            <w:rStyle w:val="Hyperlink"/>
            <w:noProof/>
            <w:lang w:val="es-ES"/>
          </w:rPr>
          <w:t>Programa 29</w:t>
        </w:r>
        <w:r w:rsidR="00103E47">
          <w:rPr>
            <w:rFonts w:asciiTheme="minorHAnsi" w:eastAsiaTheme="minorEastAsia" w:hAnsiTheme="minorHAnsi" w:cstheme="minorBidi"/>
            <w:noProof/>
            <w:sz w:val="22"/>
            <w:szCs w:val="22"/>
          </w:rPr>
          <w:tab/>
        </w:r>
        <w:r w:rsidR="00103E47" w:rsidRPr="00622903">
          <w:rPr>
            <w:rStyle w:val="Hyperlink"/>
            <w:noProof/>
            <w:lang w:val="es-ES"/>
          </w:rPr>
          <w:t>Proyectos de construcción</w:t>
        </w:r>
        <w:r w:rsidR="00103E47">
          <w:rPr>
            <w:noProof/>
            <w:webHidden/>
          </w:rPr>
          <w:tab/>
        </w:r>
        <w:r w:rsidR="00103E47">
          <w:rPr>
            <w:noProof/>
            <w:webHidden/>
          </w:rPr>
          <w:fldChar w:fldCharType="begin"/>
        </w:r>
        <w:r w:rsidR="00103E47">
          <w:rPr>
            <w:noProof/>
            <w:webHidden/>
          </w:rPr>
          <w:instrText xml:space="preserve"> PAGEREF _Toc395279690 \h </w:instrText>
        </w:r>
        <w:r w:rsidR="00103E47">
          <w:rPr>
            <w:noProof/>
            <w:webHidden/>
          </w:rPr>
        </w:r>
        <w:r w:rsidR="00103E47">
          <w:rPr>
            <w:noProof/>
            <w:webHidden/>
          </w:rPr>
          <w:fldChar w:fldCharType="separate"/>
        </w:r>
        <w:r w:rsidR="008B18BE">
          <w:rPr>
            <w:noProof/>
            <w:webHidden/>
          </w:rPr>
          <w:t>248</w:t>
        </w:r>
        <w:r w:rsidR="00103E47">
          <w:rPr>
            <w:noProof/>
            <w:webHidden/>
          </w:rPr>
          <w:fldChar w:fldCharType="end"/>
        </w:r>
      </w:hyperlink>
    </w:p>
    <w:p w:rsidR="00103E47" w:rsidRDefault="00527233">
      <w:pPr>
        <w:pStyle w:val="TOC1"/>
        <w:rPr>
          <w:rFonts w:asciiTheme="minorHAnsi" w:eastAsiaTheme="minorEastAsia" w:hAnsiTheme="minorHAnsi" w:cstheme="minorBidi"/>
          <w:b w:val="0"/>
          <w:szCs w:val="22"/>
        </w:rPr>
      </w:pPr>
      <w:hyperlink w:anchor="_Toc395279691" w:history="1">
        <w:r w:rsidR="00103E47" w:rsidRPr="00622903">
          <w:rPr>
            <w:rStyle w:val="Hyperlink"/>
            <w:lang w:val="es-ES_tradnl"/>
          </w:rPr>
          <w:t>VII.</w:t>
        </w:r>
        <w:r w:rsidR="00103E47">
          <w:rPr>
            <w:rFonts w:asciiTheme="minorHAnsi" w:eastAsiaTheme="minorEastAsia" w:hAnsiTheme="minorHAnsi" w:cstheme="minorBidi"/>
            <w:b w:val="0"/>
            <w:szCs w:val="22"/>
          </w:rPr>
          <w:tab/>
        </w:r>
        <w:r w:rsidR="00103E47" w:rsidRPr="00622903">
          <w:rPr>
            <w:rStyle w:val="Hyperlink"/>
            <w:lang w:val="es-ES_tradnl"/>
          </w:rPr>
          <w:t>APÉNDICES</w:t>
        </w:r>
        <w:r w:rsidR="00103E47">
          <w:rPr>
            <w:webHidden/>
          </w:rPr>
          <w:tab/>
        </w:r>
        <w:r w:rsidR="00103E47">
          <w:rPr>
            <w:webHidden/>
          </w:rPr>
          <w:fldChar w:fldCharType="begin"/>
        </w:r>
        <w:r w:rsidR="00103E47">
          <w:rPr>
            <w:webHidden/>
          </w:rPr>
          <w:instrText xml:space="preserve"> PAGEREF _Toc395279691 \h </w:instrText>
        </w:r>
        <w:r w:rsidR="00103E47">
          <w:rPr>
            <w:webHidden/>
          </w:rPr>
        </w:r>
        <w:r w:rsidR="00103E47">
          <w:rPr>
            <w:webHidden/>
          </w:rPr>
          <w:fldChar w:fldCharType="separate"/>
        </w:r>
        <w:r w:rsidR="008B18BE">
          <w:rPr>
            <w:webHidden/>
          </w:rPr>
          <w:t>251</w:t>
        </w:r>
        <w:r w:rsidR="00103E47">
          <w:rPr>
            <w:webHidden/>
          </w:rPr>
          <w:fldChar w:fldCharType="end"/>
        </w:r>
      </w:hyperlink>
    </w:p>
    <w:p w:rsidR="00103E47" w:rsidRDefault="00527233">
      <w:pPr>
        <w:pStyle w:val="TOC4"/>
        <w:rPr>
          <w:rFonts w:asciiTheme="minorHAnsi" w:eastAsiaTheme="minorEastAsia" w:hAnsiTheme="minorHAnsi" w:cstheme="minorBidi"/>
          <w:sz w:val="22"/>
          <w:szCs w:val="22"/>
        </w:rPr>
      </w:pPr>
      <w:hyperlink w:anchor="_Toc395279692" w:history="1">
        <w:r w:rsidR="00103E47" w:rsidRPr="00622903">
          <w:rPr>
            <w:rStyle w:val="Hyperlink"/>
            <w:lang w:val="es-ES"/>
          </w:rPr>
          <w:t xml:space="preserve">Apéndice I  </w:t>
        </w:r>
        <w:r w:rsidR="00103E47">
          <w:rPr>
            <w:rStyle w:val="Hyperlink"/>
            <w:lang w:val="es-ES"/>
          </w:rPr>
          <w:t xml:space="preserve">   </w:t>
        </w:r>
        <w:r w:rsidR="00103E47" w:rsidRPr="00622903">
          <w:rPr>
            <w:rStyle w:val="Hyperlink"/>
            <w:lang w:val="es-ES"/>
          </w:rPr>
          <w:t>Desglose de la evaluación del rendimiento de cada programa</w:t>
        </w:r>
        <w:r w:rsidR="00103E47">
          <w:rPr>
            <w:webHidden/>
          </w:rPr>
          <w:tab/>
        </w:r>
        <w:r w:rsidR="00103E47">
          <w:rPr>
            <w:webHidden/>
          </w:rPr>
          <w:fldChar w:fldCharType="begin"/>
        </w:r>
        <w:r w:rsidR="00103E47">
          <w:rPr>
            <w:webHidden/>
          </w:rPr>
          <w:instrText xml:space="preserve"> PAGEREF _Toc395279692 \h </w:instrText>
        </w:r>
        <w:r w:rsidR="00103E47">
          <w:rPr>
            <w:webHidden/>
          </w:rPr>
        </w:r>
        <w:r w:rsidR="00103E47">
          <w:rPr>
            <w:webHidden/>
          </w:rPr>
          <w:fldChar w:fldCharType="separate"/>
        </w:r>
        <w:r w:rsidR="008B18BE">
          <w:rPr>
            <w:webHidden/>
          </w:rPr>
          <w:t>251</w:t>
        </w:r>
        <w:r w:rsidR="00103E47">
          <w:rPr>
            <w:webHidden/>
          </w:rPr>
          <w:fldChar w:fldCharType="end"/>
        </w:r>
      </w:hyperlink>
    </w:p>
    <w:p w:rsidR="00103E47" w:rsidRDefault="00527233">
      <w:pPr>
        <w:pStyle w:val="TOC4"/>
        <w:rPr>
          <w:rFonts w:asciiTheme="minorHAnsi" w:eastAsiaTheme="minorEastAsia" w:hAnsiTheme="minorHAnsi" w:cstheme="minorBidi"/>
          <w:sz w:val="22"/>
          <w:szCs w:val="22"/>
        </w:rPr>
      </w:pPr>
      <w:hyperlink w:anchor="_Toc395279693" w:history="1">
        <w:r w:rsidR="00103E47" w:rsidRPr="00622903">
          <w:rPr>
            <w:rStyle w:val="Hyperlink"/>
            <w:lang w:val="es-ES"/>
          </w:rPr>
          <w:t xml:space="preserve">Apéndice II  </w:t>
        </w:r>
        <w:r w:rsidR="00103E47">
          <w:rPr>
            <w:rStyle w:val="Hyperlink"/>
            <w:lang w:val="es-ES"/>
          </w:rPr>
          <w:t xml:space="preserve">  </w:t>
        </w:r>
        <w:r w:rsidR="00103E47" w:rsidRPr="00622903">
          <w:rPr>
            <w:rStyle w:val="Hyperlink"/>
            <w:lang w:val="es-ES"/>
          </w:rPr>
          <w:t>Actividades realizadas con cargo a los fondos fiduciarios en 2013</w:t>
        </w:r>
        <w:r w:rsidR="00103E47">
          <w:rPr>
            <w:webHidden/>
          </w:rPr>
          <w:tab/>
        </w:r>
        <w:r w:rsidR="00103E47">
          <w:rPr>
            <w:webHidden/>
          </w:rPr>
          <w:fldChar w:fldCharType="begin"/>
        </w:r>
        <w:r w:rsidR="00103E47">
          <w:rPr>
            <w:webHidden/>
          </w:rPr>
          <w:instrText xml:space="preserve"> PAGEREF _Toc395279693 \h </w:instrText>
        </w:r>
        <w:r w:rsidR="00103E47">
          <w:rPr>
            <w:webHidden/>
          </w:rPr>
        </w:r>
        <w:r w:rsidR="00103E47">
          <w:rPr>
            <w:webHidden/>
          </w:rPr>
          <w:fldChar w:fldCharType="separate"/>
        </w:r>
        <w:r w:rsidR="008B18BE">
          <w:rPr>
            <w:webHidden/>
          </w:rPr>
          <w:t>252</w:t>
        </w:r>
        <w:r w:rsidR="00103E47">
          <w:rPr>
            <w:webHidden/>
          </w:rPr>
          <w:fldChar w:fldCharType="end"/>
        </w:r>
      </w:hyperlink>
    </w:p>
    <w:p w:rsidR="00103E47" w:rsidRDefault="00527233">
      <w:pPr>
        <w:pStyle w:val="TOC4"/>
        <w:rPr>
          <w:rFonts w:asciiTheme="minorHAnsi" w:eastAsiaTheme="minorEastAsia" w:hAnsiTheme="minorHAnsi" w:cstheme="minorBidi"/>
          <w:sz w:val="22"/>
          <w:szCs w:val="22"/>
        </w:rPr>
      </w:pPr>
      <w:hyperlink w:anchor="_Toc395279694" w:history="1">
        <w:r w:rsidR="00103E47" w:rsidRPr="00622903">
          <w:rPr>
            <w:rStyle w:val="Hyperlink"/>
            <w:lang w:val="es-ES_tradnl"/>
          </w:rPr>
          <w:t xml:space="preserve">Apéndice III </w:t>
        </w:r>
        <w:r w:rsidR="00103E47">
          <w:rPr>
            <w:rStyle w:val="Hyperlink"/>
            <w:lang w:val="es-ES_tradnl"/>
          </w:rPr>
          <w:t xml:space="preserve"> </w:t>
        </w:r>
        <w:r w:rsidR="00103E47" w:rsidRPr="00622903">
          <w:rPr>
            <w:rStyle w:val="Hyperlink"/>
            <w:lang w:val="es-ES_tradnl"/>
          </w:rPr>
          <w:t xml:space="preserve"> Siglas y abreviaturas empleadas en el presente documento</w:t>
        </w:r>
        <w:r w:rsidR="00103E47">
          <w:rPr>
            <w:webHidden/>
          </w:rPr>
          <w:tab/>
        </w:r>
        <w:r w:rsidR="00103E47">
          <w:rPr>
            <w:webHidden/>
          </w:rPr>
          <w:fldChar w:fldCharType="begin"/>
        </w:r>
        <w:r w:rsidR="00103E47">
          <w:rPr>
            <w:webHidden/>
          </w:rPr>
          <w:instrText xml:space="preserve"> PAGEREF _Toc395279694 \h </w:instrText>
        </w:r>
        <w:r w:rsidR="00103E47">
          <w:rPr>
            <w:webHidden/>
          </w:rPr>
        </w:r>
        <w:r w:rsidR="00103E47">
          <w:rPr>
            <w:webHidden/>
          </w:rPr>
          <w:fldChar w:fldCharType="separate"/>
        </w:r>
        <w:r w:rsidR="008B18BE">
          <w:rPr>
            <w:webHidden/>
          </w:rPr>
          <w:t>281</w:t>
        </w:r>
        <w:r w:rsidR="00103E47">
          <w:rPr>
            <w:webHidden/>
          </w:rPr>
          <w:fldChar w:fldCharType="end"/>
        </w:r>
      </w:hyperlink>
    </w:p>
    <w:p w:rsidR="00197073" w:rsidRPr="00A34388" w:rsidRDefault="001F2211" w:rsidP="001F2211">
      <w:pPr>
        <w:rPr>
          <w:lang w:val="es-ES_tradnl"/>
        </w:rPr>
      </w:pPr>
      <w:r w:rsidRPr="00FE709C">
        <w:rPr>
          <w:b/>
          <w:szCs w:val="20"/>
          <w:lang w:val="es-ES_tradnl"/>
        </w:rPr>
        <w:fldChar w:fldCharType="end"/>
      </w:r>
    </w:p>
    <w:p w:rsidR="00197073" w:rsidRPr="00A34388" w:rsidRDefault="00197073">
      <w:pPr>
        <w:rPr>
          <w:lang w:val="es-ES_tradnl"/>
        </w:rPr>
        <w:sectPr w:rsidR="00197073" w:rsidRPr="00A34388" w:rsidSect="002E2C9D">
          <w:headerReference w:type="even" r:id="rId17"/>
          <w:headerReference w:type="default" r:id="rId18"/>
          <w:footerReference w:type="even" r:id="rId19"/>
          <w:footerReference w:type="default" r:id="rId20"/>
          <w:pgSz w:w="11907" w:h="16840" w:code="9"/>
          <w:pgMar w:top="567" w:right="1134" w:bottom="1418" w:left="1418" w:header="510" w:footer="1021" w:gutter="0"/>
          <w:pgNumType w:fmt="lowerRoman" w:start="1"/>
          <w:cols w:space="720"/>
          <w:docGrid w:linePitch="272"/>
        </w:sectPr>
      </w:pPr>
    </w:p>
    <w:p w:rsidR="006277CA" w:rsidRPr="00D350A8" w:rsidRDefault="006277CA" w:rsidP="006277CA">
      <w:pPr>
        <w:pStyle w:val="Heading1"/>
        <w:rPr>
          <w:szCs w:val="22"/>
          <w:lang w:val="es-ES_tradnl"/>
        </w:rPr>
      </w:pPr>
      <w:bookmarkStart w:id="8" w:name="_Toc395277587"/>
      <w:bookmarkStart w:id="9" w:name="_Toc395279645"/>
      <w:r w:rsidRPr="00D350A8">
        <w:rPr>
          <w:szCs w:val="22"/>
          <w:lang w:val="es-ES_tradnl"/>
        </w:rPr>
        <w:lastRenderedPageBreak/>
        <w:t>INTRODUCCIÓN</w:t>
      </w:r>
      <w:bookmarkEnd w:id="8"/>
      <w:bookmarkEnd w:id="9"/>
    </w:p>
    <w:p w:rsidR="006277CA" w:rsidRPr="00D350A8" w:rsidRDefault="006277CA" w:rsidP="006277CA">
      <w:pPr>
        <w:jc w:val="both"/>
        <w:rPr>
          <w:lang w:val="es-ES_tradnl"/>
        </w:rPr>
      </w:pPr>
    </w:p>
    <w:p w:rsidR="006277CA" w:rsidRPr="00D350A8" w:rsidRDefault="006277CA" w:rsidP="006277CA">
      <w:pPr>
        <w:jc w:val="both"/>
        <w:rPr>
          <w:lang w:val="es-ES_tradnl"/>
        </w:rPr>
      </w:pPr>
      <w:r w:rsidRPr="00D350A8">
        <w:rPr>
          <w:lang w:val="es-ES_tradnl"/>
        </w:rPr>
        <w:t xml:space="preserve">El Informe sobre el rendimiento de los programas (informe PPR) es el principal mecanismo de rendición de cuentas que se utiliza para informar a los Estados miembros sobre el rendimiento de la Organización, y un elemento esencial del marco de la OMPI de gestión por resultados.  El Informe constituye asimismo una importante herramienta de aprendizaje que garantiza la asimilación de las lecciones que se desprenden del rendimiento logrado en el pasado y su debida incorporación a la aplicación futura de las actividades de la OMPI.  El informe PPR </w:t>
      </w:r>
      <w:r w:rsidR="00DE04D6" w:rsidRPr="00D350A8">
        <w:rPr>
          <w:lang w:val="es-ES_tradnl"/>
        </w:rPr>
        <w:t xml:space="preserve">constituye </w:t>
      </w:r>
      <w:r w:rsidRPr="00D350A8">
        <w:rPr>
          <w:lang w:val="es-ES_tradnl"/>
        </w:rPr>
        <w:t xml:space="preserve">una autoevaluación a cargo de los </w:t>
      </w:r>
      <w:r w:rsidR="008064DB" w:rsidRPr="00D350A8">
        <w:rPr>
          <w:lang w:val="es-ES_tradnl"/>
        </w:rPr>
        <w:t>d</w:t>
      </w:r>
      <w:r w:rsidRPr="00D350A8">
        <w:rPr>
          <w:lang w:val="es-ES_tradnl"/>
        </w:rPr>
        <w:t xml:space="preserve">irectores de </w:t>
      </w:r>
      <w:r w:rsidR="008064DB" w:rsidRPr="00D350A8">
        <w:rPr>
          <w:lang w:val="es-ES_tradnl"/>
        </w:rPr>
        <w:t>p</w:t>
      </w:r>
      <w:r w:rsidRPr="00D350A8">
        <w:rPr>
          <w:lang w:val="es-ES_tradnl"/>
        </w:rPr>
        <w:t xml:space="preserve">rograma basada en el marco de resultados aprobado por los Estados miembros.  Para reforzar la validez de la información contenida en el informe PPR, la División de Auditoría y Supervisión Internas (DASI) realiza cada dos años una validación de los datos sobre el rendimiento.  La validación del informe PPR 2012/13 </w:t>
      </w:r>
      <w:r w:rsidR="008471D5" w:rsidRPr="00D350A8">
        <w:rPr>
          <w:lang w:val="es-ES_tradnl"/>
        </w:rPr>
        <w:t xml:space="preserve">se recoge </w:t>
      </w:r>
      <w:r w:rsidRPr="00D350A8">
        <w:rPr>
          <w:lang w:val="es-ES_tradnl"/>
        </w:rPr>
        <w:t>en el documento WO/PBC/22/9.</w:t>
      </w:r>
    </w:p>
    <w:p w:rsidR="006277CA" w:rsidRPr="00D350A8" w:rsidRDefault="006277CA" w:rsidP="006277CA">
      <w:pPr>
        <w:jc w:val="both"/>
        <w:rPr>
          <w:lang w:val="es-ES_tradnl"/>
        </w:rPr>
      </w:pPr>
    </w:p>
    <w:p w:rsidR="006277CA" w:rsidRPr="00D350A8" w:rsidRDefault="006277CA" w:rsidP="006277CA">
      <w:pPr>
        <w:jc w:val="both"/>
        <w:rPr>
          <w:lang w:val="es-ES_tradnl"/>
        </w:rPr>
      </w:pPr>
      <w:r w:rsidRPr="00D350A8">
        <w:rPr>
          <w:lang w:val="es-ES_tradnl"/>
        </w:rPr>
        <w:t xml:space="preserve">El </w:t>
      </w:r>
      <w:r w:rsidR="00A75BD1" w:rsidRPr="00D350A8">
        <w:rPr>
          <w:lang w:val="es-ES_tradnl"/>
        </w:rPr>
        <w:t xml:space="preserve">informe </w:t>
      </w:r>
      <w:r w:rsidRPr="00D350A8">
        <w:rPr>
          <w:lang w:val="es-ES_tradnl"/>
        </w:rPr>
        <w:t xml:space="preserve">PPR 2012/13 </w:t>
      </w:r>
      <w:r w:rsidR="00C3506C" w:rsidRPr="00D350A8">
        <w:rPr>
          <w:lang w:val="es-ES_tradnl"/>
        </w:rPr>
        <w:t xml:space="preserve">es un informe </w:t>
      </w:r>
      <w:r w:rsidR="00DE04D6" w:rsidRPr="00D350A8">
        <w:rPr>
          <w:lang w:val="es-ES_tradnl"/>
        </w:rPr>
        <w:t xml:space="preserve">que se elabora </w:t>
      </w:r>
      <w:r w:rsidR="003A0F05" w:rsidRPr="00D350A8">
        <w:rPr>
          <w:lang w:val="es-ES_tradnl"/>
        </w:rPr>
        <w:t xml:space="preserve">al </w:t>
      </w:r>
      <w:r w:rsidR="008471D5" w:rsidRPr="00D350A8">
        <w:rPr>
          <w:lang w:val="es-ES_tradnl"/>
        </w:rPr>
        <w:t xml:space="preserve">final </w:t>
      </w:r>
      <w:r w:rsidR="008064DB" w:rsidRPr="00D350A8">
        <w:rPr>
          <w:lang w:val="es-ES_tradnl"/>
        </w:rPr>
        <w:t xml:space="preserve">del bienio para valorar los avances </w:t>
      </w:r>
      <w:r w:rsidR="00A75BD1" w:rsidRPr="00D350A8">
        <w:rPr>
          <w:lang w:val="es-ES_tradnl"/>
        </w:rPr>
        <w:t xml:space="preserve">logrados </w:t>
      </w:r>
      <w:r w:rsidR="008064DB" w:rsidRPr="00D350A8">
        <w:rPr>
          <w:lang w:val="es-ES_tradnl"/>
        </w:rPr>
        <w:t xml:space="preserve">y </w:t>
      </w:r>
      <w:r w:rsidR="00A75BD1" w:rsidRPr="00D350A8">
        <w:rPr>
          <w:lang w:val="es-ES_tradnl"/>
        </w:rPr>
        <w:t xml:space="preserve">la </w:t>
      </w:r>
      <w:r w:rsidR="008064DB" w:rsidRPr="00D350A8">
        <w:rPr>
          <w:lang w:val="es-ES_tradnl"/>
        </w:rPr>
        <w:t>consecución de los resultados previstos, medidos éstos a través de los indicadores de rendimiento y teniendo en cuenta los recursos aprobados en el presu</w:t>
      </w:r>
      <w:r w:rsidR="008B7A55">
        <w:rPr>
          <w:lang w:val="es-ES_tradnl"/>
        </w:rPr>
        <w:t>puesto por programas del bienio </w:t>
      </w:r>
      <w:r w:rsidR="008064DB" w:rsidRPr="00D350A8">
        <w:rPr>
          <w:lang w:val="es-ES_tradnl"/>
        </w:rPr>
        <w:t>2012/13</w:t>
      </w:r>
      <w:r w:rsidRPr="00D350A8">
        <w:rPr>
          <w:lang w:val="es-ES_tradnl"/>
        </w:rPr>
        <w:t xml:space="preserve">.  </w:t>
      </w:r>
      <w:r w:rsidR="00304B72" w:rsidRPr="00D350A8">
        <w:rPr>
          <w:lang w:val="es-ES_tradnl"/>
        </w:rPr>
        <w:t>La medición de u</w:t>
      </w:r>
      <w:r w:rsidR="003A0F05" w:rsidRPr="00D350A8">
        <w:rPr>
          <w:lang w:val="es-ES_tradnl"/>
        </w:rPr>
        <w:t xml:space="preserve">n </w:t>
      </w:r>
      <w:r w:rsidR="00304B72" w:rsidRPr="00D350A8">
        <w:rPr>
          <w:lang w:val="es-ES_tradnl"/>
        </w:rPr>
        <w:t xml:space="preserve">mismo </w:t>
      </w:r>
      <w:r w:rsidR="003A0F05" w:rsidRPr="00D350A8">
        <w:rPr>
          <w:lang w:val="es-ES_tradnl"/>
        </w:rPr>
        <w:t xml:space="preserve">indicador de rendimiento puede </w:t>
      </w:r>
      <w:r w:rsidR="00304B72" w:rsidRPr="00D350A8">
        <w:rPr>
          <w:lang w:val="es-ES_tradnl"/>
        </w:rPr>
        <w:t xml:space="preserve">hacerse </w:t>
      </w:r>
      <w:r w:rsidR="00FB5722" w:rsidRPr="00D350A8">
        <w:rPr>
          <w:lang w:val="es-ES_tradnl"/>
        </w:rPr>
        <w:t xml:space="preserve">por medio de </w:t>
      </w:r>
      <w:r w:rsidR="00304B72" w:rsidRPr="00D350A8">
        <w:rPr>
          <w:lang w:val="es-ES_tradnl"/>
        </w:rPr>
        <w:t>más de un objetivo</w:t>
      </w:r>
      <w:r w:rsidRPr="00D350A8">
        <w:rPr>
          <w:lang w:val="es-ES_tradnl"/>
        </w:rPr>
        <w:t>.  En es</w:t>
      </w:r>
      <w:r w:rsidR="00DE04D6" w:rsidRPr="00D350A8">
        <w:rPr>
          <w:lang w:val="es-ES_tradnl"/>
        </w:rPr>
        <w:t>t</w:t>
      </w:r>
      <w:r w:rsidRPr="00D350A8">
        <w:rPr>
          <w:lang w:val="es-ES_tradnl"/>
        </w:rPr>
        <w:t xml:space="preserve">os casos, se </w:t>
      </w:r>
      <w:r w:rsidR="00304B72" w:rsidRPr="00D350A8">
        <w:rPr>
          <w:lang w:val="es-ES_tradnl"/>
        </w:rPr>
        <w:t xml:space="preserve">proporciona la calificación de </w:t>
      </w:r>
      <w:r w:rsidRPr="00D350A8">
        <w:rPr>
          <w:lang w:val="es-ES_tradnl"/>
        </w:rPr>
        <w:t xml:space="preserve">cada objetivo, </w:t>
      </w:r>
      <w:r w:rsidR="00F6170D" w:rsidRPr="00D350A8">
        <w:rPr>
          <w:lang w:val="es-ES_tradnl"/>
        </w:rPr>
        <w:t>dándose con ello lugar a múltiples calificaciones.</w:t>
      </w:r>
      <w:r w:rsidRPr="00D350A8">
        <w:rPr>
          <w:lang w:val="es-ES_tradnl"/>
        </w:rPr>
        <w:t xml:space="preserve">  En el informe PPR 2012/13 se han utilizado los siguientes criterios de evaluación:</w:t>
      </w:r>
    </w:p>
    <w:p w:rsidR="006277CA" w:rsidRPr="00D350A8" w:rsidRDefault="006277CA" w:rsidP="006277CA">
      <w:pPr>
        <w:jc w:val="both"/>
        <w:rPr>
          <w:lang w:val="es-ES_tradnl"/>
        </w:rPr>
      </w:pPr>
    </w:p>
    <w:p w:rsidR="006277CA" w:rsidRPr="00D350A8" w:rsidRDefault="006277CA" w:rsidP="006277CA">
      <w:pPr>
        <w:pStyle w:val="BodyText"/>
        <w:widowControl w:val="0"/>
        <w:autoSpaceDE w:val="0"/>
        <w:autoSpaceDN w:val="0"/>
        <w:adjustRightInd w:val="0"/>
        <w:jc w:val="both"/>
        <w:rPr>
          <w:lang w:val="es-ES_tradnl"/>
        </w:rPr>
      </w:pPr>
      <w:r w:rsidRPr="00D350A8">
        <w:rPr>
          <w:lang w:val="es-ES_tradnl"/>
        </w:rPr>
        <w:t>Clave de los colores:</w:t>
      </w:r>
    </w:p>
    <w:p w:rsidR="006277CA" w:rsidRPr="00D350A8" w:rsidRDefault="006277CA" w:rsidP="006277CA">
      <w:pPr>
        <w:pStyle w:val="BodyText"/>
        <w:widowControl w:val="0"/>
        <w:autoSpaceDE w:val="0"/>
        <w:autoSpaceDN w:val="0"/>
        <w:adjustRightInd w:val="0"/>
        <w:jc w:val="both"/>
        <w:rPr>
          <w:lang w:val="es-ES_tradnl"/>
        </w:rPr>
      </w:pPr>
    </w:p>
    <w:p w:rsidR="006277CA" w:rsidRPr="00A34388" w:rsidRDefault="006277CA" w:rsidP="0053316D">
      <w:pPr>
        <w:numPr>
          <w:ilvl w:val="0"/>
          <w:numId w:val="73"/>
        </w:numPr>
        <w:jc w:val="both"/>
        <w:rPr>
          <w:lang w:val="es-ES_tradnl"/>
        </w:rPr>
      </w:pPr>
      <w:r w:rsidRPr="00A34388">
        <w:rPr>
          <w:b/>
          <w:bCs/>
          <w:color w:val="008000"/>
          <w:lang w:val="es-ES_tradnl"/>
        </w:rPr>
        <w:t>Plenamente logrado</w:t>
      </w:r>
      <w:r w:rsidRPr="00A34388">
        <w:rPr>
          <w:lang w:val="es-ES_tradnl"/>
        </w:rPr>
        <w:t xml:space="preserve"> se aplica cuando los datos </w:t>
      </w:r>
      <w:r w:rsidR="00A75BD1" w:rsidRPr="00A34388">
        <w:rPr>
          <w:lang w:val="es-ES_tradnl"/>
        </w:rPr>
        <w:t xml:space="preserve">de </w:t>
      </w:r>
      <w:r w:rsidRPr="00A34388">
        <w:rPr>
          <w:lang w:val="es-ES_tradnl"/>
        </w:rPr>
        <w:t xml:space="preserve">rendimiento </w:t>
      </w:r>
      <w:r w:rsidR="00A75BD1" w:rsidRPr="00A34388">
        <w:rPr>
          <w:lang w:val="es-ES_tradnl"/>
        </w:rPr>
        <w:t xml:space="preserve">correspondientes al </w:t>
      </w:r>
      <w:r w:rsidRPr="00A34388">
        <w:rPr>
          <w:lang w:val="es-ES_tradnl"/>
        </w:rPr>
        <w:t xml:space="preserve">bienio 2012/13 </w:t>
      </w:r>
      <w:r w:rsidR="00304B72" w:rsidRPr="00A34388">
        <w:rPr>
          <w:lang w:val="es-ES_tradnl"/>
        </w:rPr>
        <w:t xml:space="preserve">señalan </w:t>
      </w:r>
      <w:r w:rsidRPr="00A34388">
        <w:rPr>
          <w:lang w:val="es-ES_tradnl"/>
        </w:rPr>
        <w:t>un</w:t>
      </w:r>
      <w:r w:rsidR="00392DEF" w:rsidRPr="00A34388">
        <w:rPr>
          <w:lang w:val="es-ES_tradnl"/>
        </w:rPr>
        <w:t>a consecución del</w:t>
      </w:r>
      <w:r w:rsidRPr="00A34388">
        <w:rPr>
          <w:lang w:val="es-ES_tradnl"/>
        </w:rPr>
        <w:t xml:space="preserve"> 80</w:t>
      </w:r>
      <w:r w:rsidR="00392DEF" w:rsidRPr="00A34388">
        <w:rPr>
          <w:lang w:val="es-ES_tradnl"/>
        </w:rPr>
        <w:t>%</w:t>
      </w:r>
      <w:r w:rsidRPr="00A34388">
        <w:rPr>
          <w:lang w:val="es-ES_tradnl"/>
        </w:rPr>
        <w:t xml:space="preserve"> o más de</w:t>
      </w:r>
      <w:r w:rsidR="00392DEF" w:rsidRPr="00A34388">
        <w:rPr>
          <w:lang w:val="es-ES_tradnl"/>
        </w:rPr>
        <w:t xml:space="preserve">l </w:t>
      </w:r>
      <w:r w:rsidRPr="00A34388">
        <w:rPr>
          <w:lang w:val="es-ES_tradnl"/>
        </w:rPr>
        <w:t>objetivo del indicador</w:t>
      </w:r>
      <w:r w:rsidR="009D2D32" w:rsidRPr="00A34388">
        <w:rPr>
          <w:lang w:val="es-ES_tradnl"/>
        </w:rPr>
        <w:t xml:space="preserve"> de rendimiento</w:t>
      </w:r>
      <w:r w:rsidRPr="00A34388">
        <w:rPr>
          <w:lang w:val="es-ES_tradnl"/>
        </w:rPr>
        <w:t xml:space="preserve">. </w:t>
      </w:r>
    </w:p>
    <w:p w:rsidR="006277CA" w:rsidRPr="00A34388" w:rsidRDefault="006277CA" w:rsidP="006277CA">
      <w:pPr>
        <w:ind w:left="964"/>
        <w:jc w:val="both"/>
        <w:rPr>
          <w:sz w:val="12"/>
          <w:szCs w:val="12"/>
          <w:lang w:val="es-ES_tradnl"/>
        </w:rPr>
      </w:pPr>
    </w:p>
    <w:p w:rsidR="006277CA" w:rsidRPr="00A34388" w:rsidRDefault="006277CA" w:rsidP="0053316D">
      <w:pPr>
        <w:numPr>
          <w:ilvl w:val="0"/>
          <w:numId w:val="73"/>
        </w:numPr>
        <w:jc w:val="both"/>
        <w:rPr>
          <w:lang w:val="es-ES_tradnl"/>
        </w:rPr>
      </w:pPr>
      <w:r w:rsidRPr="00A34388">
        <w:rPr>
          <w:b/>
          <w:bCs/>
          <w:color w:val="E36C0A" w:themeColor="accent6" w:themeShade="BF"/>
          <w:lang w:val="es-ES_tradnl"/>
        </w:rPr>
        <w:t>Parcialmente logrado</w:t>
      </w:r>
      <w:r w:rsidRPr="00A34388">
        <w:rPr>
          <w:color w:val="E36C0A" w:themeColor="accent6" w:themeShade="BF"/>
          <w:lang w:val="es-ES_tradnl"/>
        </w:rPr>
        <w:t xml:space="preserve"> </w:t>
      </w:r>
      <w:r w:rsidRPr="00A34388">
        <w:rPr>
          <w:lang w:val="es-ES_tradnl"/>
        </w:rPr>
        <w:t xml:space="preserve">se aplica cuando los datos </w:t>
      </w:r>
      <w:r w:rsidR="00A75BD1" w:rsidRPr="00A34388">
        <w:rPr>
          <w:lang w:val="es-ES_tradnl"/>
        </w:rPr>
        <w:t xml:space="preserve">de </w:t>
      </w:r>
      <w:r w:rsidRPr="00A34388">
        <w:rPr>
          <w:lang w:val="es-ES_tradnl"/>
        </w:rPr>
        <w:t xml:space="preserve">rendimiento </w:t>
      </w:r>
      <w:r w:rsidR="00A75BD1" w:rsidRPr="00A34388">
        <w:rPr>
          <w:lang w:val="es-ES_tradnl"/>
        </w:rPr>
        <w:t xml:space="preserve">correspondientes al </w:t>
      </w:r>
      <w:r w:rsidRPr="00A34388">
        <w:rPr>
          <w:lang w:val="es-ES_tradnl"/>
        </w:rPr>
        <w:t xml:space="preserve">bienio 2012/13 </w:t>
      </w:r>
      <w:r w:rsidR="00304B72" w:rsidRPr="00A34388">
        <w:rPr>
          <w:lang w:val="es-ES_tradnl"/>
        </w:rPr>
        <w:t xml:space="preserve">señalan </w:t>
      </w:r>
      <w:r w:rsidRPr="00A34388">
        <w:rPr>
          <w:lang w:val="es-ES_tradnl"/>
        </w:rPr>
        <w:t>un</w:t>
      </w:r>
      <w:r w:rsidR="00392DEF" w:rsidRPr="00A34388">
        <w:rPr>
          <w:lang w:val="es-ES_tradnl"/>
        </w:rPr>
        <w:t>a consecución de entre e</w:t>
      </w:r>
      <w:r w:rsidRPr="00A34388">
        <w:rPr>
          <w:lang w:val="es-ES_tradnl"/>
        </w:rPr>
        <w:t>l 30</w:t>
      </w:r>
      <w:r w:rsidR="00392DEF" w:rsidRPr="00A34388">
        <w:rPr>
          <w:lang w:val="es-ES_tradnl"/>
        </w:rPr>
        <w:t>%</w:t>
      </w:r>
      <w:r w:rsidRPr="00A34388">
        <w:rPr>
          <w:lang w:val="es-ES_tradnl"/>
        </w:rPr>
        <w:t xml:space="preserve"> y el 80</w:t>
      </w:r>
      <w:r w:rsidR="00392DEF" w:rsidRPr="00A34388">
        <w:rPr>
          <w:lang w:val="es-ES_tradnl"/>
        </w:rPr>
        <w:t>%</w:t>
      </w:r>
      <w:r w:rsidRPr="00A34388">
        <w:rPr>
          <w:lang w:val="es-ES_tradnl"/>
        </w:rPr>
        <w:t xml:space="preserve"> del objetivo del indicador </w:t>
      </w:r>
      <w:r w:rsidR="00392DEF" w:rsidRPr="00A34388">
        <w:rPr>
          <w:lang w:val="es-ES_tradnl"/>
        </w:rPr>
        <w:t>de rendimiento</w:t>
      </w:r>
      <w:r w:rsidRPr="00A34388">
        <w:rPr>
          <w:lang w:val="es-ES_tradnl"/>
        </w:rPr>
        <w:t xml:space="preserve">. </w:t>
      </w:r>
    </w:p>
    <w:p w:rsidR="006277CA" w:rsidRPr="00A34388" w:rsidRDefault="006277CA" w:rsidP="006277CA">
      <w:pPr>
        <w:ind w:left="964"/>
        <w:jc w:val="both"/>
        <w:rPr>
          <w:sz w:val="12"/>
          <w:szCs w:val="12"/>
          <w:lang w:val="es-ES_tradnl"/>
        </w:rPr>
      </w:pPr>
    </w:p>
    <w:p w:rsidR="006277CA" w:rsidRPr="00A34388" w:rsidRDefault="006277CA" w:rsidP="0053316D">
      <w:pPr>
        <w:numPr>
          <w:ilvl w:val="0"/>
          <w:numId w:val="73"/>
        </w:numPr>
        <w:jc w:val="both"/>
        <w:rPr>
          <w:lang w:val="es-ES_tradnl"/>
        </w:rPr>
      </w:pPr>
      <w:r w:rsidRPr="00A34388">
        <w:rPr>
          <w:b/>
          <w:bCs/>
          <w:color w:val="FF0000"/>
          <w:lang w:val="es-ES_tradnl"/>
        </w:rPr>
        <w:t>No logrado</w:t>
      </w:r>
      <w:r w:rsidRPr="00A34388">
        <w:rPr>
          <w:color w:val="FF0000"/>
          <w:lang w:val="es-ES_tradnl"/>
        </w:rPr>
        <w:t xml:space="preserve"> </w:t>
      </w:r>
      <w:r w:rsidRPr="00A34388">
        <w:rPr>
          <w:lang w:val="es-ES_tradnl"/>
        </w:rPr>
        <w:t xml:space="preserve">se aplica cuando los datos </w:t>
      </w:r>
      <w:r w:rsidR="00A75BD1" w:rsidRPr="00A34388">
        <w:rPr>
          <w:lang w:val="es-ES_tradnl"/>
        </w:rPr>
        <w:t xml:space="preserve">de </w:t>
      </w:r>
      <w:r w:rsidRPr="00A34388">
        <w:rPr>
          <w:lang w:val="es-ES_tradnl"/>
        </w:rPr>
        <w:t xml:space="preserve">rendimiento </w:t>
      </w:r>
      <w:r w:rsidR="00A75BD1" w:rsidRPr="00A34388">
        <w:rPr>
          <w:lang w:val="es-ES_tradnl"/>
        </w:rPr>
        <w:t xml:space="preserve">correspondientes al </w:t>
      </w:r>
      <w:r w:rsidRPr="00A34388">
        <w:rPr>
          <w:lang w:val="es-ES_tradnl"/>
        </w:rPr>
        <w:t xml:space="preserve">bienio 2012/13 </w:t>
      </w:r>
      <w:r w:rsidR="00304B72" w:rsidRPr="00A34388">
        <w:rPr>
          <w:lang w:val="es-ES_tradnl"/>
        </w:rPr>
        <w:t xml:space="preserve">señalan </w:t>
      </w:r>
      <w:r w:rsidRPr="00A34388">
        <w:rPr>
          <w:lang w:val="es-ES_tradnl"/>
        </w:rPr>
        <w:t>un</w:t>
      </w:r>
      <w:r w:rsidR="00392DEF" w:rsidRPr="00A34388">
        <w:rPr>
          <w:lang w:val="es-ES_tradnl"/>
        </w:rPr>
        <w:t>a consecución inferior al</w:t>
      </w:r>
      <w:r w:rsidRPr="00A34388">
        <w:rPr>
          <w:lang w:val="es-ES_tradnl"/>
        </w:rPr>
        <w:t xml:space="preserve"> 30</w:t>
      </w:r>
      <w:r w:rsidR="00392DEF" w:rsidRPr="00A34388">
        <w:rPr>
          <w:lang w:val="es-ES_tradnl"/>
        </w:rPr>
        <w:t>%</w:t>
      </w:r>
      <w:r w:rsidRPr="00A34388">
        <w:rPr>
          <w:lang w:val="es-ES_tradnl"/>
        </w:rPr>
        <w:t xml:space="preserve"> del objetivo del indicador </w:t>
      </w:r>
      <w:r w:rsidR="00392DEF" w:rsidRPr="00A34388">
        <w:rPr>
          <w:lang w:val="es-ES_tradnl"/>
        </w:rPr>
        <w:t>de rendimiento</w:t>
      </w:r>
      <w:r w:rsidRPr="00A34388">
        <w:rPr>
          <w:lang w:val="es-ES_tradnl"/>
        </w:rPr>
        <w:t xml:space="preserve">. </w:t>
      </w:r>
    </w:p>
    <w:p w:rsidR="006277CA" w:rsidRPr="00A34388" w:rsidRDefault="006277CA" w:rsidP="006277CA">
      <w:pPr>
        <w:ind w:left="964"/>
        <w:jc w:val="both"/>
        <w:rPr>
          <w:sz w:val="8"/>
          <w:szCs w:val="8"/>
          <w:lang w:val="es-ES_tradnl"/>
        </w:rPr>
      </w:pPr>
    </w:p>
    <w:p w:rsidR="006277CA" w:rsidRPr="00A34388" w:rsidRDefault="006277CA" w:rsidP="0053316D">
      <w:pPr>
        <w:numPr>
          <w:ilvl w:val="0"/>
          <w:numId w:val="73"/>
        </w:numPr>
        <w:jc w:val="both"/>
        <w:rPr>
          <w:lang w:val="es-ES_tradnl"/>
        </w:rPr>
      </w:pPr>
      <w:r w:rsidRPr="00A34388">
        <w:rPr>
          <w:b/>
          <w:bCs/>
          <w:lang w:val="es-ES_tradnl"/>
        </w:rPr>
        <w:t xml:space="preserve">Interrumpido </w:t>
      </w:r>
      <w:r w:rsidRPr="00A34388">
        <w:rPr>
          <w:bCs/>
          <w:lang w:val="es-ES_tradnl"/>
        </w:rPr>
        <w:t xml:space="preserve">se aplica cuando </w:t>
      </w:r>
      <w:r w:rsidR="003871F4" w:rsidRPr="00A34388">
        <w:rPr>
          <w:bCs/>
          <w:lang w:val="es-ES_tradnl"/>
        </w:rPr>
        <w:t xml:space="preserve">ha dejado de </w:t>
      </w:r>
      <w:r w:rsidRPr="00A34388">
        <w:rPr>
          <w:bCs/>
          <w:lang w:val="es-ES_tradnl"/>
        </w:rPr>
        <w:t xml:space="preserve">utilizarse un indicador de rendimiento para medir la </w:t>
      </w:r>
      <w:r w:rsidR="00A75BD1" w:rsidRPr="00A34388">
        <w:rPr>
          <w:bCs/>
          <w:lang w:val="es-ES_tradnl"/>
        </w:rPr>
        <w:t xml:space="preserve">contribución </w:t>
      </w:r>
      <w:r w:rsidRPr="00A34388">
        <w:rPr>
          <w:bCs/>
          <w:lang w:val="es-ES_tradnl"/>
        </w:rPr>
        <w:t xml:space="preserve">del </w:t>
      </w:r>
      <w:r w:rsidR="00392DEF" w:rsidRPr="00A34388">
        <w:rPr>
          <w:bCs/>
          <w:lang w:val="es-ES_tradnl"/>
        </w:rPr>
        <w:t>p</w:t>
      </w:r>
      <w:r w:rsidRPr="00A34388">
        <w:rPr>
          <w:bCs/>
          <w:lang w:val="es-ES_tradnl"/>
        </w:rPr>
        <w:t>rograma a los</w:t>
      </w:r>
      <w:r w:rsidRPr="00A34388">
        <w:rPr>
          <w:b/>
          <w:bCs/>
          <w:lang w:val="es-ES_tradnl"/>
        </w:rPr>
        <w:t xml:space="preserve"> </w:t>
      </w:r>
      <w:r w:rsidRPr="00A34388">
        <w:rPr>
          <w:bCs/>
          <w:lang w:val="es-ES_tradnl"/>
        </w:rPr>
        <w:t>resultados previstos</w:t>
      </w:r>
      <w:r w:rsidRPr="00A34388">
        <w:rPr>
          <w:lang w:val="es-ES_tradnl"/>
        </w:rPr>
        <w:t>.</w:t>
      </w:r>
    </w:p>
    <w:p w:rsidR="006277CA" w:rsidRPr="00A34388" w:rsidRDefault="006277CA" w:rsidP="006277CA">
      <w:pPr>
        <w:ind w:left="964"/>
        <w:jc w:val="both"/>
        <w:rPr>
          <w:sz w:val="12"/>
          <w:szCs w:val="12"/>
          <w:lang w:val="es-ES_tradnl"/>
        </w:rPr>
      </w:pPr>
    </w:p>
    <w:p w:rsidR="006277CA" w:rsidRPr="00A34388" w:rsidRDefault="006277CA" w:rsidP="0053316D">
      <w:pPr>
        <w:numPr>
          <w:ilvl w:val="0"/>
          <w:numId w:val="73"/>
        </w:numPr>
        <w:jc w:val="both"/>
        <w:rPr>
          <w:lang w:val="es-ES_tradnl"/>
        </w:rPr>
      </w:pPr>
      <w:r w:rsidRPr="00A34388">
        <w:rPr>
          <w:b/>
          <w:bCs/>
          <w:color w:val="7F7F7F" w:themeColor="text1" w:themeTint="80"/>
          <w:lang w:val="es-ES_tradnl"/>
        </w:rPr>
        <w:t xml:space="preserve">No mensurable </w:t>
      </w:r>
      <w:r w:rsidR="00392DEF" w:rsidRPr="00A34388">
        <w:rPr>
          <w:lang w:val="es-ES_tradnl"/>
        </w:rPr>
        <w:t xml:space="preserve">se aplica cuando </w:t>
      </w:r>
      <w:r w:rsidRPr="00A34388">
        <w:rPr>
          <w:lang w:val="es-ES_tradnl"/>
        </w:rPr>
        <w:t xml:space="preserve">no </w:t>
      </w:r>
      <w:r w:rsidR="00AF14AE" w:rsidRPr="00A34388">
        <w:rPr>
          <w:lang w:val="es-ES_tradnl"/>
        </w:rPr>
        <w:t xml:space="preserve">resulta </w:t>
      </w:r>
      <w:r w:rsidRPr="00A34388">
        <w:rPr>
          <w:lang w:val="es-ES_tradnl"/>
        </w:rPr>
        <w:t xml:space="preserve">viable </w:t>
      </w:r>
      <w:r w:rsidR="00AF14AE" w:rsidRPr="00A34388">
        <w:rPr>
          <w:lang w:val="es-ES_tradnl"/>
        </w:rPr>
        <w:t xml:space="preserve">evaluar el </w:t>
      </w:r>
      <w:r w:rsidRPr="00A34388">
        <w:rPr>
          <w:lang w:val="es-ES_tradnl"/>
        </w:rPr>
        <w:t xml:space="preserve">rendimiento por no haberse definido adecuadamente los datos objetivo o </w:t>
      </w:r>
      <w:r w:rsidR="00F6170D" w:rsidRPr="00A34388">
        <w:rPr>
          <w:lang w:val="es-ES_tradnl"/>
        </w:rPr>
        <w:t xml:space="preserve">cuando </w:t>
      </w:r>
      <w:r w:rsidRPr="00A34388">
        <w:rPr>
          <w:lang w:val="es-ES_tradnl"/>
        </w:rPr>
        <w:t>los datos de rendimiento son insuficientes para determinar la clave de colores.</w:t>
      </w:r>
    </w:p>
    <w:p w:rsidR="006277CA" w:rsidRPr="00D350A8" w:rsidRDefault="006277CA" w:rsidP="006277CA">
      <w:pPr>
        <w:jc w:val="both"/>
        <w:rPr>
          <w:lang w:val="es-ES_tradnl"/>
        </w:rPr>
      </w:pPr>
    </w:p>
    <w:p w:rsidR="006277CA" w:rsidRPr="00A34388" w:rsidRDefault="006277CA" w:rsidP="006277CA">
      <w:pPr>
        <w:jc w:val="both"/>
        <w:rPr>
          <w:lang w:val="es-ES_tradnl"/>
        </w:rPr>
      </w:pPr>
      <w:r w:rsidRPr="00D350A8">
        <w:rPr>
          <w:lang w:val="es-ES_tradnl"/>
        </w:rPr>
        <w:t>Del total de 299 indicadores de rendimiento previstos en el presu</w:t>
      </w:r>
      <w:r w:rsidR="002B1855" w:rsidRPr="00D350A8">
        <w:rPr>
          <w:lang w:val="es-ES_tradnl"/>
        </w:rPr>
        <w:t>puesto por programas del bienio </w:t>
      </w:r>
      <w:r w:rsidRPr="00D350A8">
        <w:rPr>
          <w:lang w:val="es-ES_tradnl"/>
        </w:rPr>
        <w:t>2012/13, 2</w:t>
      </w:r>
      <w:r w:rsidR="002F7C6E" w:rsidRPr="00D350A8">
        <w:rPr>
          <w:lang w:val="es-ES_tradnl"/>
        </w:rPr>
        <w:t>1</w:t>
      </w:r>
      <w:r w:rsidR="005A0711">
        <w:rPr>
          <w:lang w:val="es-ES_tradnl"/>
        </w:rPr>
        <w:t>4</w:t>
      </w:r>
      <w:r w:rsidRPr="00D350A8">
        <w:rPr>
          <w:lang w:val="es-ES_tradnl"/>
        </w:rPr>
        <w:t xml:space="preserve"> indicadores (el 72%) recibieron la calificación “Plenamente logrado”.  </w:t>
      </w:r>
      <w:r w:rsidR="00304B72" w:rsidRPr="00D350A8">
        <w:rPr>
          <w:lang w:val="es-ES_tradnl"/>
        </w:rPr>
        <w:t xml:space="preserve">A un total </w:t>
      </w:r>
      <w:r w:rsidR="002B1855" w:rsidRPr="00D350A8">
        <w:rPr>
          <w:lang w:val="es-ES_tradnl"/>
        </w:rPr>
        <w:t>de </w:t>
      </w:r>
      <w:r w:rsidRPr="00D350A8">
        <w:rPr>
          <w:lang w:val="es-ES_tradnl"/>
        </w:rPr>
        <w:t>2</w:t>
      </w:r>
      <w:r w:rsidR="005A0711">
        <w:rPr>
          <w:lang w:val="es-ES_tradnl"/>
        </w:rPr>
        <w:t>9</w:t>
      </w:r>
      <w:r w:rsidRPr="00D350A8">
        <w:rPr>
          <w:lang w:val="es-ES_tradnl"/>
        </w:rPr>
        <w:t xml:space="preserve"> indicadores </w:t>
      </w:r>
      <w:r w:rsidR="00AF14AE" w:rsidRPr="00D350A8">
        <w:rPr>
          <w:lang w:val="es-ES_tradnl"/>
        </w:rPr>
        <w:t xml:space="preserve">(el </w:t>
      </w:r>
      <w:r w:rsidRPr="00D350A8">
        <w:rPr>
          <w:lang w:val="es-ES_tradnl"/>
        </w:rPr>
        <w:t>9</w:t>
      </w:r>
      <w:r w:rsidR="00392DEF" w:rsidRPr="00D350A8">
        <w:rPr>
          <w:lang w:val="es-ES_tradnl"/>
        </w:rPr>
        <w:t>%</w:t>
      </w:r>
      <w:r w:rsidR="00AF14AE" w:rsidRPr="00D350A8">
        <w:rPr>
          <w:lang w:val="es-ES_tradnl"/>
        </w:rPr>
        <w:t>)</w:t>
      </w:r>
      <w:r w:rsidRPr="00D350A8">
        <w:rPr>
          <w:lang w:val="es-ES_tradnl"/>
        </w:rPr>
        <w:t xml:space="preserve"> </w:t>
      </w:r>
      <w:r w:rsidR="00304B72" w:rsidRPr="00D350A8">
        <w:rPr>
          <w:lang w:val="es-ES_tradnl"/>
        </w:rPr>
        <w:t xml:space="preserve">se les aplicó la calificación </w:t>
      </w:r>
      <w:r w:rsidRPr="00D350A8">
        <w:rPr>
          <w:lang w:val="es-ES_tradnl"/>
        </w:rPr>
        <w:t xml:space="preserve">“Parcialmente logrado” y </w:t>
      </w:r>
      <w:r w:rsidR="00304B72" w:rsidRPr="00D350A8">
        <w:rPr>
          <w:lang w:val="es-ES_tradnl"/>
        </w:rPr>
        <w:t xml:space="preserve">a </w:t>
      </w:r>
      <w:r w:rsidRPr="00D350A8">
        <w:rPr>
          <w:lang w:val="es-ES_tradnl"/>
        </w:rPr>
        <w:t xml:space="preserve">23 indicadores </w:t>
      </w:r>
      <w:r w:rsidR="002B1855">
        <w:rPr>
          <w:lang w:val="es-ES_tradnl"/>
        </w:rPr>
        <w:t xml:space="preserve">(alrededor del </w:t>
      </w:r>
      <w:r w:rsidRPr="00A34388">
        <w:rPr>
          <w:lang w:val="es-ES_tradnl"/>
        </w:rPr>
        <w:t>8</w:t>
      </w:r>
      <w:r w:rsidR="00392DEF" w:rsidRPr="00A34388">
        <w:rPr>
          <w:lang w:val="es-ES_tradnl"/>
        </w:rPr>
        <w:t>%</w:t>
      </w:r>
      <w:r w:rsidR="00AF14AE" w:rsidRPr="00A34388">
        <w:rPr>
          <w:lang w:val="es-ES_tradnl"/>
        </w:rPr>
        <w:t>)</w:t>
      </w:r>
      <w:r w:rsidRPr="00A34388">
        <w:rPr>
          <w:lang w:val="es-ES_tradnl"/>
        </w:rPr>
        <w:t xml:space="preserve"> </w:t>
      </w:r>
      <w:r w:rsidR="00304B72" w:rsidRPr="00A34388">
        <w:rPr>
          <w:lang w:val="es-ES_tradnl"/>
        </w:rPr>
        <w:t xml:space="preserve">la de </w:t>
      </w:r>
      <w:r w:rsidRPr="00A34388">
        <w:rPr>
          <w:lang w:val="es-ES_tradnl"/>
        </w:rPr>
        <w:t xml:space="preserve">“No logrado”.  Aproximadamente 26 indicadores </w:t>
      </w:r>
      <w:r w:rsidR="00AF14AE" w:rsidRPr="00A34388">
        <w:rPr>
          <w:lang w:val="es-ES_tradnl"/>
        </w:rPr>
        <w:t>(</w:t>
      </w:r>
      <w:r w:rsidRPr="00A34388">
        <w:rPr>
          <w:lang w:val="es-ES_tradnl"/>
        </w:rPr>
        <w:t>el 9</w:t>
      </w:r>
      <w:r w:rsidR="00392DEF" w:rsidRPr="00A34388">
        <w:rPr>
          <w:lang w:val="es-ES_tradnl"/>
        </w:rPr>
        <w:t>%</w:t>
      </w:r>
      <w:r w:rsidR="00AF14AE" w:rsidRPr="00A34388">
        <w:rPr>
          <w:lang w:val="es-ES_tradnl"/>
        </w:rPr>
        <w:t>)</w:t>
      </w:r>
      <w:r w:rsidRPr="00A34388">
        <w:rPr>
          <w:lang w:val="es-ES_tradnl"/>
        </w:rPr>
        <w:t xml:space="preserve"> </w:t>
      </w:r>
      <w:r w:rsidR="00304B72" w:rsidRPr="00A34388">
        <w:rPr>
          <w:lang w:val="es-ES_tradnl"/>
        </w:rPr>
        <w:t xml:space="preserve">fueron calificados como </w:t>
      </w:r>
      <w:r w:rsidRPr="00A34388">
        <w:rPr>
          <w:lang w:val="es-ES_tradnl"/>
        </w:rPr>
        <w:t>“No mensurable</w:t>
      </w:r>
      <w:r w:rsidR="00304B72" w:rsidRPr="00A34388">
        <w:rPr>
          <w:lang w:val="es-ES_tradnl"/>
        </w:rPr>
        <w:t>s</w:t>
      </w:r>
      <w:r w:rsidRPr="00A34388">
        <w:rPr>
          <w:lang w:val="es-ES_tradnl"/>
        </w:rPr>
        <w:t xml:space="preserve">” </w:t>
      </w:r>
      <w:r w:rsidR="00304B72" w:rsidRPr="00A34388">
        <w:rPr>
          <w:lang w:val="es-ES_tradnl"/>
        </w:rPr>
        <w:t xml:space="preserve">y otros </w:t>
      </w:r>
      <w:r w:rsidRPr="00A34388">
        <w:rPr>
          <w:lang w:val="es-ES_tradnl"/>
        </w:rPr>
        <w:t xml:space="preserve">7 </w:t>
      </w:r>
      <w:r w:rsidR="00AF14AE" w:rsidRPr="00A34388">
        <w:rPr>
          <w:lang w:val="es-ES_tradnl"/>
        </w:rPr>
        <w:t>(</w:t>
      </w:r>
      <w:r w:rsidRPr="00A34388">
        <w:rPr>
          <w:lang w:val="es-ES_tradnl"/>
        </w:rPr>
        <w:t>el 2</w:t>
      </w:r>
      <w:r w:rsidR="00392DEF" w:rsidRPr="00A34388">
        <w:rPr>
          <w:lang w:val="es-ES_tradnl"/>
        </w:rPr>
        <w:t>%</w:t>
      </w:r>
      <w:r w:rsidR="00AF14AE" w:rsidRPr="00A34388">
        <w:rPr>
          <w:lang w:val="es-ES_tradnl"/>
        </w:rPr>
        <w:t>)</w:t>
      </w:r>
      <w:r w:rsidRPr="00A34388">
        <w:rPr>
          <w:lang w:val="es-ES_tradnl"/>
        </w:rPr>
        <w:t xml:space="preserve"> </w:t>
      </w:r>
      <w:r w:rsidR="00763631" w:rsidRPr="00A34388">
        <w:rPr>
          <w:lang w:val="es-ES_tradnl"/>
        </w:rPr>
        <w:t xml:space="preserve">recibieron </w:t>
      </w:r>
      <w:r w:rsidR="003871F4" w:rsidRPr="00A34388">
        <w:rPr>
          <w:lang w:val="es-ES_tradnl"/>
        </w:rPr>
        <w:t xml:space="preserve">la calificación </w:t>
      </w:r>
      <w:r w:rsidRPr="00A34388">
        <w:rPr>
          <w:lang w:val="es-ES_tradnl"/>
        </w:rPr>
        <w:t xml:space="preserve">“Interrumpido”.   </w:t>
      </w:r>
    </w:p>
    <w:p w:rsidR="006277CA" w:rsidRPr="00A34388" w:rsidRDefault="006277CA" w:rsidP="006277CA">
      <w:pPr>
        <w:jc w:val="both"/>
        <w:rPr>
          <w:lang w:val="es-ES_tradnl"/>
        </w:rPr>
      </w:pPr>
    </w:p>
    <w:p w:rsidR="006277CA" w:rsidRPr="00A34388" w:rsidRDefault="006277CA" w:rsidP="006277CA">
      <w:pPr>
        <w:jc w:val="center"/>
        <w:rPr>
          <w:lang w:val="es-ES_tradnl"/>
        </w:rPr>
      </w:pPr>
      <w:r w:rsidRPr="00A34388">
        <w:rPr>
          <w:noProof/>
        </w:rPr>
        <w:drawing>
          <wp:inline distT="0" distB="0" distL="0" distR="0" wp14:anchorId="56D7F682" wp14:editId="3618B2EB">
            <wp:extent cx="5029200" cy="2495550"/>
            <wp:effectExtent l="0" t="0" r="0" b="0"/>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tretch>
                      <a:fillRect/>
                    </a:stretch>
                  </pic:blipFill>
                  <pic:spPr bwMode="auto">
                    <a:xfrm>
                      <a:off x="0" y="0"/>
                      <a:ext cx="5032179" cy="2497028"/>
                    </a:xfrm>
                    <a:prstGeom prst="rect">
                      <a:avLst/>
                    </a:prstGeom>
                    <a:noFill/>
                    <a:ln>
                      <a:noFill/>
                    </a:ln>
                  </pic:spPr>
                </pic:pic>
              </a:graphicData>
            </a:graphic>
          </wp:inline>
        </w:drawing>
      </w:r>
    </w:p>
    <w:p w:rsidR="006277CA" w:rsidRPr="00A34388" w:rsidRDefault="006277CA" w:rsidP="006277CA">
      <w:pPr>
        <w:jc w:val="both"/>
        <w:rPr>
          <w:lang w:val="es-ES_tradnl"/>
        </w:rPr>
      </w:pPr>
    </w:p>
    <w:p w:rsidR="006277CA" w:rsidRPr="00A34388" w:rsidRDefault="006277CA" w:rsidP="006277CA">
      <w:pPr>
        <w:jc w:val="both"/>
        <w:rPr>
          <w:lang w:val="es-ES_tradnl"/>
        </w:rPr>
      </w:pPr>
    </w:p>
    <w:p w:rsidR="006277CA" w:rsidRPr="00D350A8" w:rsidRDefault="006277CA" w:rsidP="006277CA">
      <w:pPr>
        <w:pStyle w:val="Heading1"/>
        <w:rPr>
          <w:lang w:val="es-ES_tradnl"/>
        </w:rPr>
      </w:pPr>
      <w:bookmarkStart w:id="10" w:name="_Toc395277588"/>
      <w:bookmarkStart w:id="11" w:name="_Toc395279646"/>
      <w:r w:rsidRPr="00D350A8">
        <w:rPr>
          <w:lang w:val="es-ES_tradnl"/>
        </w:rPr>
        <w:t>RESEÑA GENERAL DE LOS AVANCES LOGRADOS EN 2012/13</w:t>
      </w:r>
      <w:bookmarkEnd w:id="10"/>
      <w:bookmarkEnd w:id="11"/>
    </w:p>
    <w:p w:rsidR="006277CA" w:rsidRPr="00D350A8" w:rsidRDefault="006277CA" w:rsidP="006277CA">
      <w:pPr>
        <w:rPr>
          <w:lang w:val="es-ES_tradnl"/>
        </w:rPr>
      </w:pPr>
    </w:p>
    <w:p w:rsidR="006277CA" w:rsidRPr="00D350A8" w:rsidRDefault="006277CA" w:rsidP="006277CA">
      <w:pPr>
        <w:autoSpaceDE w:val="0"/>
        <w:autoSpaceDN w:val="0"/>
        <w:adjustRightInd w:val="0"/>
        <w:jc w:val="both"/>
        <w:rPr>
          <w:lang w:val="es-ES_tradnl"/>
        </w:rPr>
      </w:pPr>
      <w:r w:rsidRPr="00D350A8">
        <w:rPr>
          <w:rFonts w:cs="Arial"/>
          <w:szCs w:val="20"/>
          <w:lang w:val="es-ES_tradnl"/>
        </w:rPr>
        <w:t xml:space="preserve">El bienio 2012/13 constituye el segundo bienio de aplicación del Plan Estratégico a Mediano Plazo (PEMP) 2010/15.  </w:t>
      </w:r>
      <w:r w:rsidRPr="00D350A8">
        <w:rPr>
          <w:rFonts w:eastAsiaTheme="minorHAnsi" w:cs="Arial"/>
          <w:szCs w:val="20"/>
          <w:lang w:val="es-ES_tradnl"/>
        </w:rPr>
        <w:t>Por otra parte, se trata de la primera vez que la Organización informa sobre su rendimiento desde una perspectiva del presupuesto basada en los resultados</w:t>
      </w:r>
      <w:r w:rsidRPr="00D350A8">
        <w:rPr>
          <w:rFonts w:cs="Arial"/>
          <w:szCs w:val="20"/>
          <w:lang w:val="es-ES_tradnl"/>
        </w:rPr>
        <w:t>.  Por esta razón, en el informe PPR de 2012/13 se incluyen diversas mejoras importantes, como por ejemplo información relativa a los gastos</w:t>
      </w:r>
      <w:r w:rsidRPr="00D350A8">
        <w:rPr>
          <w:lang w:val="es-ES_tradnl"/>
        </w:rPr>
        <w:t xml:space="preserve"> reales por resultado previsto.  Además, </w:t>
      </w:r>
      <w:r w:rsidR="003871F4" w:rsidRPr="00D350A8">
        <w:rPr>
          <w:lang w:val="es-ES_tradnl"/>
        </w:rPr>
        <w:t xml:space="preserve">en respuesta a la solicitud formulada </w:t>
      </w:r>
      <w:r w:rsidRPr="00D350A8">
        <w:rPr>
          <w:lang w:val="es-ES_tradnl"/>
        </w:rPr>
        <w:t xml:space="preserve">por los Estados miembros en </w:t>
      </w:r>
      <w:proofErr w:type="gramStart"/>
      <w:r w:rsidRPr="00D350A8">
        <w:rPr>
          <w:lang w:val="es-ES_tradnl"/>
        </w:rPr>
        <w:t>las vigésima y</w:t>
      </w:r>
      <w:proofErr w:type="gramEnd"/>
      <w:r w:rsidRPr="00D350A8">
        <w:rPr>
          <w:lang w:val="es-ES_tradnl"/>
        </w:rPr>
        <w:t xml:space="preserve"> vigésima primera sesiones del Comité del Programa y Presupuesto (PBC), el informe PPR 2012/13 incluye </w:t>
      </w:r>
      <w:r w:rsidR="00F6170D" w:rsidRPr="00D350A8">
        <w:rPr>
          <w:lang w:val="es-ES_tradnl"/>
        </w:rPr>
        <w:t xml:space="preserve">cuadros </w:t>
      </w:r>
      <w:r w:rsidR="003924AC" w:rsidRPr="00D350A8">
        <w:rPr>
          <w:lang w:val="es-ES_tradnl"/>
        </w:rPr>
        <w:t xml:space="preserve">sobre el </w:t>
      </w:r>
      <w:r w:rsidRPr="00D350A8">
        <w:rPr>
          <w:lang w:val="es-ES_tradnl"/>
        </w:rPr>
        <w:t>rendimiento bi</w:t>
      </w:r>
      <w:r w:rsidR="003924AC" w:rsidRPr="00D350A8">
        <w:rPr>
          <w:lang w:val="es-ES_tradnl"/>
        </w:rPr>
        <w:t xml:space="preserve">enal </w:t>
      </w:r>
      <w:r w:rsidR="00F6170D" w:rsidRPr="00D350A8">
        <w:rPr>
          <w:lang w:val="es-ES_tradnl"/>
        </w:rPr>
        <w:t xml:space="preserve">para </w:t>
      </w:r>
      <w:r w:rsidRPr="00D350A8">
        <w:rPr>
          <w:lang w:val="es-ES_tradnl"/>
        </w:rPr>
        <w:t xml:space="preserve">cada una de las nueve metas estratégicas, así como una </w:t>
      </w:r>
      <w:r w:rsidR="003924AC" w:rsidRPr="00D350A8">
        <w:rPr>
          <w:lang w:val="es-ES_tradnl"/>
        </w:rPr>
        <w:t xml:space="preserve">síntesis </w:t>
      </w:r>
      <w:r w:rsidRPr="00D350A8">
        <w:rPr>
          <w:lang w:val="es-ES_tradnl"/>
        </w:rPr>
        <w:t xml:space="preserve">de los logros por resultado.  </w:t>
      </w:r>
      <w:r w:rsidR="00AF14AE" w:rsidRPr="00D350A8">
        <w:rPr>
          <w:lang w:val="es-ES_tradnl"/>
        </w:rPr>
        <w:t xml:space="preserve">Estas </w:t>
      </w:r>
      <w:r w:rsidRPr="00D350A8">
        <w:rPr>
          <w:lang w:val="es-ES_tradnl"/>
        </w:rPr>
        <w:t xml:space="preserve">mejoras </w:t>
      </w:r>
      <w:r w:rsidR="00F6170D" w:rsidRPr="00D350A8">
        <w:rPr>
          <w:lang w:val="es-ES_tradnl"/>
        </w:rPr>
        <w:t xml:space="preserve">incluyen asimismo </w:t>
      </w:r>
      <w:r w:rsidRPr="00D350A8">
        <w:rPr>
          <w:lang w:val="es-ES_tradnl"/>
        </w:rPr>
        <w:t>un</w:t>
      </w:r>
      <w:r w:rsidR="00BC008E" w:rsidRPr="00D350A8">
        <w:rPr>
          <w:lang w:val="es-ES_tradnl"/>
        </w:rPr>
        <w:t>a</w:t>
      </w:r>
      <w:r w:rsidRPr="00D350A8">
        <w:rPr>
          <w:lang w:val="es-ES_tradnl"/>
        </w:rPr>
        <w:t xml:space="preserve"> </w:t>
      </w:r>
      <w:r w:rsidR="00BC008E" w:rsidRPr="00D350A8">
        <w:rPr>
          <w:lang w:val="es-ES_tradnl"/>
        </w:rPr>
        <w:t>reseña general en formato gráf</w:t>
      </w:r>
      <w:r w:rsidR="003924AC" w:rsidRPr="00D350A8">
        <w:rPr>
          <w:lang w:val="es-ES_tradnl"/>
        </w:rPr>
        <w:t>i</w:t>
      </w:r>
      <w:r w:rsidR="00BC008E" w:rsidRPr="00D350A8">
        <w:rPr>
          <w:lang w:val="es-ES_tradnl"/>
        </w:rPr>
        <w:t xml:space="preserve">co </w:t>
      </w:r>
      <w:r w:rsidR="005D6C69" w:rsidRPr="00D350A8">
        <w:rPr>
          <w:lang w:val="es-ES_tradnl"/>
        </w:rPr>
        <w:t xml:space="preserve">de la consecución </w:t>
      </w:r>
      <w:r w:rsidRPr="00D350A8">
        <w:rPr>
          <w:lang w:val="es-ES_tradnl"/>
        </w:rPr>
        <w:t xml:space="preserve">de los resultados previstos en el bienio medidos por los indicadores de rendimiento </w:t>
      </w:r>
      <w:r w:rsidR="003924AC" w:rsidRPr="00D350A8">
        <w:rPr>
          <w:lang w:val="es-ES_tradnl"/>
        </w:rPr>
        <w:t xml:space="preserve">relativos </w:t>
      </w:r>
      <w:r w:rsidR="00BC008E" w:rsidRPr="00D350A8">
        <w:rPr>
          <w:lang w:val="es-ES_tradnl"/>
        </w:rPr>
        <w:t xml:space="preserve">a </w:t>
      </w:r>
      <w:r w:rsidRPr="00D350A8">
        <w:rPr>
          <w:lang w:val="es-ES_tradnl"/>
        </w:rPr>
        <w:t xml:space="preserve">los programas </w:t>
      </w:r>
      <w:r w:rsidR="00BC008E" w:rsidRPr="00D350A8">
        <w:rPr>
          <w:lang w:val="es-ES_tradnl"/>
        </w:rPr>
        <w:t xml:space="preserve">que contribuyen </w:t>
      </w:r>
      <w:r w:rsidR="003924AC" w:rsidRPr="00D350A8">
        <w:rPr>
          <w:lang w:val="es-ES_tradnl"/>
        </w:rPr>
        <w:t xml:space="preserve">a las respectivas </w:t>
      </w:r>
      <w:r w:rsidRPr="00D350A8">
        <w:rPr>
          <w:lang w:val="es-ES_tradnl"/>
        </w:rPr>
        <w:t>meta</w:t>
      </w:r>
      <w:r w:rsidR="003924AC" w:rsidRPr="00D350A8">
        <w:rPr>
          <w:lang w:val="es-ES_tradnl"/>
        </w:rPr>
        <w:t>s</w:t>
      </w:r>
      <w:r w:rsidRPr="00D350A8">
        <w:rPr>
          <w:lang w:val="es-ES_tradnl"/>
        </w:rPr>
        <w:t xml:space="preserve"> estratégica</w:t>
      </w:r>
      <w:r w:rsidR="003924AC" w:rsidRPr="00D350A8">
        <w:rPr>
          <w:lang w:val="es-ES_tradnl"/>
        </w:rPr>
        <w:t>s</w:t>
      </w:r>
      <w:r w:rsidRPr="00D350A8">
        <w:rPr>
          <w:lang w:val="es-ES_tradnl"/>
        </w:rPr>
        <w:t xml:space="preserve">.  </w:t>
      </w:r>
    </w:p>
    <w:p w:rsidR="006277CA" w:rsidRPr="00D350A8" w:rsidRDefault="006277CA" w:rsidP="006277CA">
      <w:pPr>
        <w:jc w:val="both"/>
        <w:rPr>
          <w:lang w:val="es-ES_tradnl"/>
        </w:rPr>
      </w:pPr>
    </w:p>
    <w:p w:rsidR="006277CA" w:rsidRPr="00D350A8" w:rsidRDefault="006277CA" w:rsidP="006277CA">
      <w:pPr>
        <w:jc w:val="both"/>
        <w:rPr>
          <w:lang w:val="es-ES_tradnl"/>
        </w:rPr>
      </w:pPr>
      <w:r w:rsidRPr="00D350A8">
        <w:rPr>
          <w:lang w:val="es-ES_tradnl"/>
        </w:rPr>
        <w:t>A continuación se describen de forma resumida los avances más destacados acaecidos en 2012/13 en el marco de las nueve metas estratégicas.</w:t>
      </w:r>
    </w:p>
    <w:p w:rsidR="006277CA" w:rsidRPr="00D350A8" w:rsidRDefault="006277CA" w:rsidP="006277CA">
      <w:pPr>
        <w:jc w:val="both"/>
        <w:rPr>
          <w:lang w:val="es-ES_tradnl"/>
        </w:rPr>
      </w:pPr>
    </w:p>
    <w:p w:rsidR="006277CA" w:rsidRPr="00D350A8" w:rsidRDefault="006277CA" w:rsidP="006277CA">
      <w:pPr>
        <w:jc w:val="center"/>
        <w:rPr>
          <w:b/>
          <w:sz w:val="18"/>
          <w:szCs w:val="18"/>
          <w:lang w:val="es-ES_tradnl"/>
        </w:rPr>
      </w:pPr>
      <w:r w:rsidRPr="00D350A8">
        <w:rPr>
          <w:b/>
          <w:sz w:val="18"/>
          <w:szCs w:val="18"/>
          <w:lang w:val="es-ES_tradnl"/>
        </w:rPr>
        <w:t xml:space="preserve">Síntesis unificada de los </w:t>
      </w:r>
      <w:r w:rsidR="003924AC" w:rsidRPr="00D350A8">
        <w:rPr>
          <w:b/>
          <w:sz w:val="18"/>
          <w:szCs w:val="18"/>
          <w:lang w:val="es-ES_tradnl"/>
        </w:rPr>
        <w:t>avances logrados</w:t>
      </w:r>
      <w:r w:rsidRPr="00D350A8">
        <w:rPr>
          <w:b/>
          <w:sz w:val="18"/>
          <w:szCs w:val="18"/>
          <w:lang w:val="es-ES_tradnl"/>
        </w:rPr>
        <w:t xml:space="preserve"> en el bienio 2012/13 por meta estratégica</w:t>
      </w:r>
    </w:p>
    <w:p w:rsidR="006277CA" w:rsidRPr="00D350A8" w:rsidRDefault="006277CA" w:rsidP="006277CA">
      <w:pPr>
        <w:jc w:val="center"/>
        <w:rPr>
          <w:lang w:val="es-ES_tradnl"/>
        </w:rPr>
      </w:pPr>
    </w:p>
    <w:p w:rsidR="006277CA" w:rsidRPr="00D350A8" w:rsidRDefault="005E0B63" w:rsidP="001E2B60">
      <w:pPr>
        <w:rPr>
          <w:lang w:val="es-ES_tradnl"/>
        </w:rPr>
      </w:pPr>
      <w:r w:rsidRPr="005E0B63">
        <w:rPr>
          <w:noProof/>
        </w:rPr>
        <w:drawing>
          <wp:inline distT="0" distB="0" distL="0" distR="0" wp14:anchorId="6C94A51B" wp14:editId="1D8EDE71">
            <wp:extent cx="6048000" cy="34108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000" cy="3410809"/>
                    </a:xfrm>
                    <a:prstGeom prst="rect">
                      <a:avLst/>
                    </a:prstGeom>
                    <a:noFill/>
                    <a:ln>
                      <a:noFill/>
                    </a:ln>
                  </pic:spPr>
                </pic:pic>
              </a:graphicData>
            </a:graphic>
          </wp:inline>
        </w:drawing>
      </w:r>
      <w:r w:rsidRPr="00A9508D">
        <w:rPr>
          <w:lang w:val="es-ES"/>
        </w:rPr>
        <w:t xml:space="preserve"> </w:t>
      </w:r>
    </w:p>
    <w:p w:rsidR="006277CA" w:rsidRPr="00A34388" w:rsidRDefault="006277CA" w:rsidP="006277CA">
      <w:pPr>
        <w:jc w:val="both"/>
        <w:rPr>
          <w:lang w:val="es-ES_tradnl"/>
        </w:rPr>
      </w:pPr>
    </w:p>
    <w:p w:rsidR="002B1855" w:rsidRPr="00332758" w:rsidRDefault="002B1855">
      <w:pPr>
        <w:rPr>
          <w:rFonts w:cs="Arial"/>
          <w:szCs w:val="20"/>
          <w:lang w:val="es-ES_tradnl"/>
        </w:rPr>
      </w:pPr>
      <w:r w:rsidRPr="00332758">
        <w:rPr>
          <w:rFonts w:cs="Arial"/>
          <w:szCs w:val="20"/>
          <w:lang w:val="es-ES_tradnl"/>
        </w:rPr>
        <w:br w:type="page"/>
      </w:r>
    </w:p>
    <w:p w:rsidR="006277CA" w:rsidRPr="00A9508D" w:rsidRDefault="006277CA" w:rsidP="006277CA">
      <w:pPr>
        <w:jc w:val="center"/>
        <w:rPr>
          <w:rFonts w:cs="Arial"/>
          <w:b/>
          <w:szCs w:val="20"/>
          <w:lang w:val="es-ES_tradnl"/>
        </w:rPr>
      </w:pPr>
      <w:r w:rsidRPr="00A9508D">
        <w:rPr>
          <w:rFonts w:cs="Arial"/>
          <w:b/>
          <w:szCs w:val="20"/>
          <w:lang w:val="es-ES_tradnl"/>
        </w:rPr>
        <w:lastRenderedPageBreak/>
        <w:t>Meta estratégica I</w:t>
      </w:r>
      <w:proofErr w:type="gramStart"/>
      <w:r w:rsidRPr="00A9508D">
        <w:rPr>
          <w:rFonts w:cs="Arial"/>
          <w:b/>
          <w:szCs w:val="20"/>
          <w:lang w:val="es-ES_tradnl"/>
        </w:rPr>
        <w:t>:  Evolución</w:t>
      </w:r>
      <w:proofErr w:type="gramEnd"/>
      <w:r w:rsidRPr="00A9508D">
        <w:rPr>
          <w:rFonts w:cs="Arial"/>
          <w:b/>
          <w:szCs w:val="20"/>
          <w:lang w:val="es-ES_tradnl"/>
        </w:rPr>
        <w:t xml:space="preserve"> equilibrada del marco normativo internacional de P.I.</w:t>
      </w:r>
    </w:p>
    <w:p w:rsidR="006277CA" w:rsidRPr="00A34388" w:rsidRDefault="006277CA" w:rsidP="006277CA">
      <w:pPr>
        <w:autoSpaceDE w:val="0"/>
        <w:autoSpaceDN w:val="0"/>
        <w:adjustRightInd w:val="0"/>
        <w:jc w:val="both"/>
        <w:rPr>
          <w:rFonts w:cs="Arial"/>
          <w:lang w:val="es-ES_tradnl"/>
        </w:rPr>
      </w:pPr>
    </w:p>
    <w:p w:rsidR="006277CA" w:rsidRPr="00A34388" w:rsidRDefault="003024FE" w:rsidP="006277CA">
      <w:pPr>
        <w:jc w:val="center"/>
        <w:rPr>
          <w:b/>
          <w:sz w:val="18"/>
          <w:szCs w:val="18"/>
          <w:lang w:val="es-ES_tradnl"/>
        </w:rPr>
      </w:pPr>
      <w:r w:rsidRPr="00A34388">
        <w:rPr>
          <w:b/>
          <w:sz w:val="18"/>
          <w:szCs w:val="18"/>
          <w:lang w:val="es-ES_tradnl"/>
        </w:rPr>
        <w:t>Reseña general de los avances logrados por resultado previsto</w:t>
      </w:r>
    </w:p>
    <w:p w:rsidR="006277CA" w:rsidRDefault="006277CA" w:rsidP="002B1855">
      <w:pPr>
        <w:rPr>
          <w:b/>
          <w:sz w:val="18"/>
          <w:szCs w:val="18"/>
          <w:lang w:val="es-ES_tradnl"/>
        </w:rPr>
      </w:pPr>
    </w:p>
    <w:p w:rsidR="00CE7D4B" w:rsidRDefault="00CE7D4B" w:rsidP="006277CA">
      <w:pPr>
        <w:jc w:val="center"/>
        <w:rPr>
          <w:b/>
          <w:sz w:val="18"/>
          <w:szCs w:val="18"/>
          <w:lang w:val="es-ES_tradnl"/>
        </w:rPr>
      </w:pPr>
      <w:r>
        <w:rPr>
          <w:b/>
          <w:noProof/>
          <w:sz w:val="18"/>
          <w:szCs w:val="18"/>
        </w:rPr>
        <w:drawing>
          <wp:inline distT="0" distB="0" distL="0" distR="0" wp14:anchorId="0CF8629B" wp14:editId="2FEB87B6">
            <wp:extent cx="5419725" cy="30575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4185" cy="3060041"/>
                    </a:xfrm>
                    <a:prstGeom prst="rect">
                      <a:avLst/>
                    </a:prstGeom>
                    <a:noFill/>
                  </pic:spPr>
                </pic:pic>
              </a:graphicData>
            </a:graphic>
          </wp:inline>
        </w:drawing>
      </w:r>
    </w:p>
    <w:p w:rsidR="00CE7D4B" w:rsidRDefault="00CE7D4B" w:rsidP="002B1855">
      <w:pPr>
        <w:rPr>
          <w:b/>
          <w:sz w:val="18"/>
          <w:szCs w:val="18"/>
          <w:lang w:val="es-ES_tradnl"/>
        </w:rPr>
      </w:pPr>
    </w:p>
    <w:p w:rsidR="002B1855" w:rsidRPr="00A34388" w:rsidRDefault="002B1855" w:rsidP="002B1855">
      <w:pPr>
        <w:rPr>
          <w:b/>
          <w:sz w:val="18"/>
          <w:szCs w:val="18"/>
          <w:lang w:val="es-ES_tradnl"/>
        </w:rPr>
      </w:pPr>
    </w:p>
    <w:p w:rsidR="006277CA" w:rsidRPr="00414A1F" w:rsidRDefault="006277CA" w:rsidP="006277CA">
      <w:pPr>
        <w:jc w:val="center"/>
        <w:rPr>
          <w:b/>
          <w:szCs w:val="20"/>
          <w:lang w:val="es-ES_tradnl"/>
        </w:rPr>
      </w:pPr>
      <w:r w:rsidRPr="00414A1F">
        <w:rPr>
          <w:b/>
          <w:szCs w:val="20"/>
          <w:lang w:val="es-ES_tradnl"/>
        </w:rPr>
        <w:t>Cuadro sobre el rendimiento bienal</w:t>
      </w:r>
    </w:p>
    <w:p w:rsidR="006277CA" w:rsidRPr="00414A1F" w:rsidRDefault="006277CA" w:rsidP="006277CA">
      <w:pPr>
        <w:jc w:val="center"/>
        <w:rPr>
          <w:lang w:val="es-ES_tradnl"/>
        </w:rPr>
      </w:pPr>
    </w:p>
    <w:p w:rsidR="009C0BDD" w:rsidRPr="00A34388" w:rsidRDefault="00F6170D" w:rsidP="009C0BDD">
      <w:pPr>
        <w:autoSpaceDE w:val="0"/>
        <w:autoSpaceDN w:val="0"/>
        <w:adjustRightInd w:val="0"/>
        <w:jc w:val="both"/>
        <w:rPr>
          <w:i/>
          <w:iCs/>
          <w:lang w:val="es-ES_tradnl"/>
        </w:rPr>
      </w:pPr>
      <w:r w:rsidRPr="00414A1F">
        <w:rPr>
          <w:rFonts w:cs="Arial"/>
          <w:lang w:val="es-ES_tradnl"/>
        </w:rPr>
        <w:t>En el siguiente cuadro</w:t>
      </w:r>
      <w:r w:rsidR="00BD2CB7" w:rsidRPr="00414A1F">
        <w:rPr>
          <w:rFonts w:cs="Arial"/>
          <w:lang w:val="es-ES_tradnl"/>
        </w:rPr>
        <w:t xml:space="preserve"> se </w:t>
      </w:r>
      <w:r w:rsidR="00C535EB" w:rsidRPr="00414A1F">
        <w:rPr>
          <w:rFonts w:cs="Arial"/>
          <w:lang w:val="es-ES_tradnl"/>
        </w:rPr>
        <w:t>incluye una reseña general de</w:t>
      </w:r>
      <w:r w:rsidR="00BD2CB7" w:rsidRPr="00414A1F">
        <w:rPr>
          <w:rFonts w:cs="Arial"/>
          <w:lang w:val="es-ES_tradnl"/>
        </w:rPr>
        <w:t xml:space="preserve"> la consecución de los</w:t>
      </w:r>
      <w:r w:rsidR="006277CA" w:rsidRPr="00414A1F">
        <w:rPr>
          <w:rFonts w:cs="Arial"/>
          <w:lang w:val="es-ES_tradnl"/>
        </w:rPr>
        <w:t xml:space="preserve"> resultados previstos en el bienio 2012/13 medidos por los indicadores </w:t>
      </w:r>
      <w:r w:rsidR="009C0BDD" w:rsidRPr="00414A1F">
        <w:rPr>
          <w:rFonts w:cs="Arial"/>
          <w:lang w:val="es-ES_tradnl"/>
        </w:rPr>
        <w:t xml:space="preserve">relativos </w:t>
      </w:r>
      <w:r w:rsidR="006277CA" w:rsidRPr="00414A1F">
        <w:rPr>
          <w:rFonts w:cs="Arial"/>
          <w:lang w:val="es-ES_tradnl"/>
        </w:rPr>
        <w:t xml:space="preserve">a los programas </w:t>
      </w:r>
      <w:r w:rsidR="009C0BDD" w:rsidRPr="00414A1F">
        <w:rPr>
          <w:rFonts w:cs="Arial"/>
          <w:lang w:val="es-ES_tradnl"/>
        </w:rPr>
        <w:t xml:space="preserve">que contribuyen a esta </w:t>
      </w:r>
      <w:r w:rsidR="006277CA" w:rsidRPr="00414A1F">
        <w:rPr>
          <w:rFonts w:cs="Arial"/>
          <w:lang w:val="es-ES_tradnl"/>
        </w:rPr>
        <w:t xml:space="preserve">meta </w:t>
      </w:r>
      <w:r w:rsidR="006277CA" w:rsidRPr="00A34388">
        <w:rPr>
          <w:rFonts w:cs="Arial"/>
          <w:lang w:val="es-ES_tradnl"/>
        </w:rPr>
        <w:t>estratégica</w:t>
      </w:r>
      <w:r w:rsidR="00853209" w:rsidRPr="00A34388">
        <w:rPr>
          <w:rFonts w:cs="Arial"/>
          <w:lang w:val="es-ES_tradnl"/>
        </w:rPr>
        <w:t>.</w:t>
      </w:r>
      <w:r w:rsidR="009C0BDD" w:rsidRPr="00A34388">
        <w:rPr>
          <w:rFonts w:cs="Arial"/>
          <w:lang w:val="es-ES_tradnl"/>
        </w:rPr>
        <w:t xml:space="preserve">  </w:t>
      </w:r>
    </w:p>
    <w:p w:rsidR="00C14248" w:rsidRPr="00A34388" w:rsidRDefault="00C14248" w:rsidP="00C14248">
      <w:pPr>
        <w:jc w:val="both"/>
        <w:rPr>
          <w:i/>
          <w:iCs/>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C14248" w:rsidRPr="00A34388" w:rsidTr="00DA1567">
        <w:trPr>
          <w:tblHeader/>
        </w:trPr>
        <w:tc>
          <w:tcPr>
            <w:tcW w:w="3399"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rPr>
                <w:rFonts w:cs="Arial"/>
                <w:b/>
                <w:bCs/>
                <w:sz w:val="14"/>
                <w:szCs w:val="14"/>
                <w:lang w:val="es-ES_tradnl"/>
              </w:rPr>
            </w:pPr>
            <w:r w:rsidRPr="00414A1F">
              <w:rPr>
                <w:rFonts w:cs="Arial"/>
                <w:b/>
                <w:bCs/>
                <w:sz w:val="14"/>
                <w:szCs w:val="14"/>
                <w:lang w:val="es-ES_tradnl"/>
              </w:rPr>
              <w:t>Resultados previstos</w:t>
            </w:r>
          </w:p>
        </w:tc>
        <w:tc>
          <w:tcPr>
            <w:tcW w:w="3284"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rPr>
                <w:rFonts w:cs="Arial"/>
                <w:b/>
                <w:bCs/>
                <w:i/>
                <w:sz w:val="14"/>
                <w:szCs w:val="14"/>
                <w:lang w:val="es-ES_tradnl"/>
              </w:rPr>
            </w:pPr>
            <w:r w:rsidRPr="00414A1F">
              <w:rPr>
                <w:rFonts w:cs="Arial"/>
                <w:b/>
                <w:bCs/>
                <w:i/>
                <w:sz w:val="14"/>
                <w:szCs w:val="14"/>
                <w:lang w:val="es-ES_tradnl"/>
              </w:rPr>
              <w:t>Indicadores de rendimiento</w:t>
            </w:r>
          </w:p>
        </w:tc>
        <w:tc>
          <w:tcPr>
            <w:tcW w:w="1238"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Programas responsables</w:t>
            </w:r>
          </w:p>
        </w:tc>
        <w:tc>
          <w:tcPr>
            <w:tcW w:w="1445"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Clave de colores</w:t>
            </w:r>
          </w:p>
        </w:tc>
      </w:tr>
      <w:tr w:rsidR="00C14248" w:rsidRPr="00A34388" w:rsidTr="00DA1567">
        <w:tc>
          <w:tcPr>
            <w:tcW w:w="3399" w:type="dxa"/>
            <w:vMerge w:val="restart"/>
            <w:tcBorders>
              <w:top w:val="single" w:sz="4" w:space="0" w:color="auto"/>
            </w:tcBorders>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3284" w:type="dxa"/>
            <w:tcBorders>
              <w:top w:val="single" w:sz="4" w:space="0" w:color="auto"/>
            </w:tcBorders>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Progresos en la puesta en práctica de medidas/planes concertados por el SCP.</w:t>
            </w:r>
          </w:p>
        </w:tc>
        <w:tc>
          <w:tcPr>
            <w:tcW w:w="1238" w:type="dxa"/>
            <w:tcBorders>
              <w:top w:val="single" w:sz="4" w:space="0" w:color="auto"/>
            </w:tcBorders>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w:t>
            </w:r>
          </w:p>
        </w:tc>
        <w:tc>
          <w:tcPr>
            <w:tcW w:w="1445" w:type="dxa"/>
            <w:tcBorders>
              <w:top w:val="single" w:sz="4" w:space="0" w:color="auto"/>
            </w:tcBorders>
          </w:tcPr>
          <w:p w:rsidR="00C14248" w:rsidRPr="004A7442" w:rsidRDefault="00C14248" w:rsidP="00DA1567">
            <w:pPr>
              <w:spacing w:before="20"/>
              <w:jc w:val="center"/>
              <w:rPr>
                <w:rFonts w:cs="Arial"/>
                <w:b/>
                <w:color w:val="008000"/>
                <w:sz w:val="22"/>
                <w:szCs w:val="22"/>
              </w:rPr>
            </w:pPr>
            <w:r w:rsidRPr="004A7442">
              <w:rPr>
                <w:rFonts w:cs="Arial"/>
                <w:color w:val="008000"/>
                <w:sz w:val="22"/>
                <w:szCs w:val="22"/>
              </w:rPr>
              <w:sym w:font="Wingdings" w:char="F06C"/>
            </w:r>
          </w:p>
        </w:tc>
      </w:tr>
      <w:tr w:rsidR="00C14248" w:rsidRPr="00A34388" w:rsidTr="00DA1567">
        <w:tc>
          <w:tcPr>
            <w:tcW w:w="3399"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Acuerdo internacional sobre un marco normativo para los dibujos y modelos industriales. </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b/>
                <w:color w:val="E36C0A" w:themeColor="accent6" w:themeShade="BF"/>
                <w:sz w:val="22"/>
                <w:szCs w:val="22"/>
              </w:rPr>
            </w:pPr>
            <w:r w:rsidRPr="004A7442">
              <w:rPr>
                <w:rFonts w:cs="Arial"/>
                <w:color w:val="E36C0A" w:themeColor="accent6" w:themeShade="BF"/>
                <w:sz w:val="22"/>
                <w:szCs w:val="22"/>
              </w:rPr>
              <w:sym w:font="Wingdings" w:char="F06C"/>
            </w:r>
          </w:p>
        </w:tc>
      </w:tr>
      <w:tr w:rsidR="00C14248" w:rsidRPr="00A34388" w:rsidTr="00DA1567">
        <w:tc>
          <w:tcPr>
            <w:tcW w:w="3399"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Progresos en pos de un acuerdo relativo a las cuestiones que están en el orden del día del SCT.</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b/>
                <w:color w:val="10862C"/>
                <w:sz w:val="22"/>
                <w:szCs w:val="22"/>
              </w:rPr>
            </w:pPr>
            <w:r w:rsidRPr="004A7442">
              <w:rPr>
                <w:rFonts w:cs="Arial"/>
                <w:color w:val="10862C"/>
                <w:sz w:val="22"/>
                <w:szCs w:val="22"/>
              </w:rPr>
              <w:sym w:font="Wingdings" w:char="F06C"/>
            </w:r>
          </w:p>
        </w:tc>
      </w:tr>
      <w:tr w:rsidR="00C14248" w:rsidRPr="00A34388" w:rsidTr="00DA1567">
        <w:tc>
          <w:tcPr>
            <w:tcW w:w="3399"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Conclusiones de los Estados miembros en cada sesión del SCCR.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spacing w:before="20"/>
              <w:jc w:val="center"/>
              <w:rPr>
                <w:rFonts w:cs="Arial"/>
                <w:b/>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Progresos en pos de un acuerdo relativo a las cuestiones que están en el orden del día del SCCR.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spacing w:before="20"/>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Progreso en las negociaciones del CIG para la elaboración de uno o varios instrumentos jurídicos internacionales.</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4</w:t>
            </w:r>
          </w:p>
        </w:tc>
        <w:tc>
          <w:tcPr>
            <w:tcW w:w="1445" w:type="dxa"/>
          </w:tcPr>
          <w:p w:rsidR="00C14248" w:rsidRPr="004A7442" w:rsidRDefault="00C14248" w:rsidP="00DA1567">
            <w:pPr>
              <w:spacing w:before="20"/>
              <w:jc w:val="center"/>
              <w:rPr>
                <w:rFonts w:cs="Arial"/>
                <w:sz w:val="22"/>
                <w:szCs w:val="22"/>
              </w:rPr>
            </w:pPr>
            <w:r w:rsidRPr="004A7442">
              <w:rPr>
                <w:rFonts w:cs="Arial"/>
                <w:color w:val="E36C0A" w:themeColor="accent6" w:themeShade="BF"/>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Labor iniciada por el SCT sobre las indicaciones geográficas.  </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sz w:val="22"/>
                <w:szCs w:val="22"/>
              </w:rPr>
            </w:pPr>
            <w:r w:rsidRPr="004A7442">
              <w:rPr>
                <w:rFonts w:cs="Arial"/>
                <w:color w:val="E36C0A" w:themeColor="accent6" w:themeShade="BF"/>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ratificaciones/adhesiones al Tratado de Singapur.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sz w:val="22"/>
                <w:szCs w:val="22"/>
              </w:rPr>
            </w:pPr>
            <w:r w:rsidRPr="004A7442">
              <w:rPr>
                <w:rFonts w:cs="Arial"/>
                <w:color w:val="E36C0A" w:themeColor="accent6" w:themeShade="BF"/>
                <w:sz w:val="22"/>
                <w:szCs w:val="22"/>
              </w:rPr>
              <w:sym w:font="Wingdings" w:char="F06C"/>
            </w:r>
          </w:p>
        </w:tc>
      </w:tr>
      <w:tr w:rsidR="00C14248" w:rsidRPr="00A34388" w:rsidTr="00DA1567">
        <w:tc>
          <w:tcPr>
            <w:tcW w:w="3399" w:type="dxa"/>
            <w:vMerge w:val="restart"/>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Aumento de la protección de los emblemas de Estado y de los nombres y emblemas de organizaciones intergubernamentales internacionales.</w:t>
            </w: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solicitudes de comunicaciones en virtud del Artículo 6ter Convenio de París a las que se ha respondido.</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signos publicados en la base de datos sobre el Artículo 6ter.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Directrices exhaustivas para la aplicación del Artículo 6ter.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2</w:t>
            </w:r>
          </w:p>
        </w:tc>
        <w:tc>
          <w:tcPr>
            <w:tcW w:w="1445" w:type="dxa"/>
          </w:tcPr>
          <w:p w:rsidR="00C14248" w:rsidRPr="004A7442" w:rsidRDefault="00C14248" w:rsidP="00DA1567">
            <w:pPr>
              <w:spacing w:before="20"/>
              <w:jc w:val="center"/>
              <w:rPr>
                <w:rFonts w:cs="Arial"/>
                <w:sz w:val="22"/>
                <w:szCs w:val="22"/>
              </w:rPr>
            </w:pPr>
            <w:r w:rsidRPr="004A7442">
              <w:rPr>
                <w:rFonts w:cs="Arial"/>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lastRenderedPageBreak/>
              <w:t>Decisión fundamentada sobre cuestiones de derecho de autor.</w:t>
            </w: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Número de solicitudes de realización de estudios específicos o de formulación de orientaciones sobre actividades que contribuyen a decisiones de política. </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países que utilizan los estudios de la OMPI en el marco de sus industrias creativas a los fines de formular estrategias en relación con ese sector.</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Número de descargas y solicitudes y distribución de herramientas de la OMPI para la gestión del derecho de autor en industrias creativas específicas. </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 xml:space="preserve">Marcos de P.I. adaptados y equilibrados en el ámbito legislativo, reglamentario y de política.  </w:t>
            </w: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Número de países que han iniciado reformas legislativas en la esfera del derecho de autor y los derechos conexos.</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3</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Índole y número de veces que se prestó asesoramiento en el ámbito legislativo a los Estados miembros en relación con las patentes, los modelos de utilidad, los secretos comerciales y los circuitos integrados.</w:t>
            </w:r>
          </w:p>
        </w:tc>
        <w:tc>
          <w:tcPr>
            <w:tcW w:w="1238" w:type="dxa"/>
            <w:shd w:val="clear" w:color="auto" w:fill="auto"/>
            <w:tcMar>
              <w:top w:w="113" w:type="dxa"/>
            </w:tcMar>
          </w:tcPr>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006600"/>
                <w:sz w:val="22"/>
                <w:szCs w:val="22"/>
              </w:rPr>
            </w:pPr>
            <w:r w:rsidRPr="00332758">
              <w:rPr>
                <w:rFonts w:cs="Arial"/>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keepNext/>
              <w:keepLines/>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Porcentaje de países que consideraron útil el asesoramiento en materia legislativa relacionado con las patentes, los modelos de utilidad, los secretos comerciales y los circuitos integrados.</w:t>
            </w:r>
          </w:p>
        </w:tc>
        <w:tc>
          <w:tcPr>
            <w:tcW w:w="1238" w:type="dxa"/>
            <w:shd w:val="clear" w:color="auto" w:fill="auto"/>
            <w:tcMar>
              <w:top w:w="113" w:type="dxa"/>
            </w:tcMar>
          </w:tcPr>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1</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1238" w:type="dxa"/>
            <w:shd w:val="clear" w:color="auto" w:fill="auto"/>
            <w:tcMar>
              <w:top w:w="113" w:type="dxa"/>
            </w:tcMar>
          </w:tcPr>
          <w:p w:rsidR="00C14248" w:rsidRPr="00414A1F" w:rsidRDefault="00C14248" w:rsidP="00DA1567">
            <w:pPr>
              <w:keepNext/>
              <w:keepLines/>
              <w:spacing w:before="60"/>
              <w:ind w:left="176"/>
              <w:rPr>
                <w:rFonts w:cs="Arial"/>
                <w:sz w:val="14"/>
                <w:szCs w:val="14"/>
                <w:lang w:val="es-ES_tradnl"/>
              </w:rPr>
            </w:pPr>
            <w:r w:rsidRPr="00414A1F">
              <w:rPr>
                <w:rFonts w:cs="Arial"/>
                <w:sz w:val="14"/>
                <w:szCs w:val="14"/>
                <w:lang w:val="es-ES_tradnl"/>
              </w:rPr>
              <w:t>Programa 1</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 xml:space="preserve">Porcentaje de participantes en talleres/seminarios sobre cuestiones específicas relacionadas con las patentes que expresaron satisfacción al respecto. </w:t>
            </w:r>
          </w:p>
        </w:tc>
        <w:tc>
          <w:tcPr>
            <w:tcW w:w="1238" w:type="dxa"/>
            <w:shd w:val="clear" w:color="auto" w:fill="auto"/>
            <w:tcMar>
              <w:top w:w="113" w:type="dxa"/>
            </w:tcMar>
          </w:tcPr>
          <w:p w:rsidR="00C14248" w:rsidRPr="00414A1F" w:rsidRDefault="00C14248" w:rsidP="00DA1567">
            <w:pPr>
              <w:keepNext/>
              <w:keepLines/>
              <w:spacing w:before="60"/>
              <w:ind w:left="176"/>
              <w:rPr>
                <w:rFonts w:cs="Arial"/>
                <w:sz w:val="14"/>
                <w:szCs w:val="14"/>
                <w:lang w:val="es-ES_tradnl"/>
              </w:rPr>
            </w:pPr>
            <w:r w:rsidRPr="00414A1F">
              <w:rPr>
                <w:rFonts w:cs="Arial"/>
                <w:sz w:val="14"/>
                <w:szCs w:val="14"/>
                <w:lang w:val="es-ES_tradnl"/>
              </w:rPr>
              <w:t>Programa 1</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keepNext/>
              <w:keepLines/>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keepNext/>
              <w:keepLines/>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Estados miembros que recibieron asesoramiento en materia legislativa en la esfera de las marcas, los dibujos y modelos industriales y las indicaciones geográficas. </w:t>
            </w:r>
          </w:p>
        </w:tc>
        <w:tc>
          <w:tcPr>
            <w:tcW w:w="1238" w:type="dxa"/>
            <w:shd w:val="clear" w:color="auto" w:fill="auto"/>
            <w:tcMar>
              <w:top w:w="113" w:type="dxa"/>
            </w:tcMar>
          </w:tcPr>
          <w:p w:rsidR="00C14248" w:rsidRPr="00414A1F" w:rsidRDefault="00C14248" w:rsidP="00DA1567">
            <w:pPr>
              <w:spacing w:before="60"/>
              <w:ind w:left="176"/>
              <w:rPr>
                <w:rFonts w:cs="Arial"/>
                <w:sz w:val="14"/>
                <w:szCs w:val="14"/>
                <w:lang w:val="es-ES_tradnl"/>
              </w:rPr>
            </w:pPr>
            <w:r w:rsidRPr="00414A1F">
              <w:rPr>
                <w:rFonts w:cs="Arial"/>
                <w:sz w:val="14"/>
                <w:szCs w:val="14"/>
                <w:lang w:val="es-ES_tradnl"/>
              </w:rPr>
              <w:t>Programa 2</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3C6864" w:rsidRDefault="00C14248" w:rsidP="00DA1567">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C14248" w:rsidRDefault="00C14248" w:rsidP="00DA1567">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países que presentaron comentarios positivos sobre la utilidad del asesoramiento proporcionado en materia legislativa en la esfera de las marcas, los dibujos y modelos industriales y las indicaciones geográficas. </w:t>
            </w:r>
          </w:p>
        </w:tc>
        <w:tc>
          <w:tcPr>
            <w:tcW w:w="1238" w:type="dxa"/>
            <w:shd w:val="clear" w:color="auto" w:fill="auto"/>
            <w:tcMar>
              <w:top w:w="113" w:type="dxa"/>
            </w:tcMar>
          </w:tcPr>
          <w:p w:rsidR="00C14248" w:rsidRPr="00414A1F" w:rsidRDefault="00C14248" w:rsidP="00DA1567">
            <w:pPr>
              <w:spacing w:before="60"/>
              <w:ind w:left="176"/>
              <w:rPr>
                <w:rFonts w:cs="Arial"/>
                <w:sz w:val="14"/>
                <w:szCs w:val="14"/>
                <w:lang w:val="es-ES_tradnl"/>
              </w:rPr>
            </w:pPr>
            <w:r w:rsidRPr="00414A1F">
              <w:rPr>
                <w:rFonts w:cs="Arial"/>
                <w:sz w:val="14"/>
                <w:szCs w:val="14"/>
                <w:lang w:val="es-ES_tradnl"/>
              </w:rPr>
              <w:t>Programa 2</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9</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10</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399"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284" w:type="dxa"/>
            <w:shd w:val="clear" w:color="auto" w:fill="auto"/>
            <w:tcMar>
              <w:top w:w="113" w:type="dxa"/>
            </w:tcMar>
          </w:tcPr>
          <w:p w:rsidR="00C14248" w:rsidRPr="00414A1F" w:rsidRDefault="00C14248" w:rsidP="00DA1567">
            <w:pPr>
              <w:spacing w:before="60"/>
              <w:rPr>
                <w:sz w:val="14"/>
                <w:szCs w:val="14"/>
                <w:lang w:val="es-ES_tradnl" w:bidi="th-TH"/>
              </w:rPr>
            </w:pPr>
            <w:r w:rsidRPr="00414A1F">
              <w:rPr>
                <w:sz w:val="14"/>
                <w:szCs w:val="14"/>
                <w:lang w:val="es-ES_tradnl" w:bidi="th-TH"/>
              </w:rPr>
              <w:t>Número de países que han recibido asistencia técnica sobre marcos legislativos nuevos o actualizados de observancia de los derechos en los que se tienen en cuenta las flexibilidades previstas en la Parte III del Acuerdo sobre los ADPIC.</w:t>
            </w:r>
          </w:p>
          <w:p w:rsidR="00C14248" w:rsidRPr="00414A1F" w:rsidRDefault="00C14248" w:rsidP="00DA1567">
            <w:pPr>
              <w:spacing w:before="60"/>
              <w:rPr>
                <w:rFonts w:cs="Arial"/>
                <w:sz w:val="14"/>
                <w:szCs w:val="14"/>
                <w:lang w:val="es-ES_tradnl"/>
              </w:rPr>
            </w:pPr>
          </w:p>
        </w:tc>
        <w:tc>
          <w:tcPr>
            <w:tcW w:w="1238" w:type="dxa"/>
            <w:shd w:val="clear" w:color="auto" w:fill="auto"/>
            <w:tcMar>
              <w:top w:w="113" w:type="dxa"/>
            </w:tcMar>
          </w:tcPr>
          <w:p w:rsidR="00C14248" w:rsidRPr="00414A1F" w:rsidRDefault="00C14248" w:rsidP="00DA1567">
            <w:pPr>
              <w:spacing w:before="60"/>
              <w:ind w:left="176"/>
              <w:rPr>
                <w:rFonts w:cs="Arial"/>
                <w:sz w:val="14"/>
                <w:szCs w:val="14"/>
                <w:lang w:val="es-ES_tradnl"/>
              </w:rPr>
            </w:pPr>
            <w:r w:rsidRPr="00414A1F">
              <w:rPr>
                <w:rFonts w:cs="Arial"/>
                <w:sz w:val="14"/>
                <w:szCs w:val="14"/>
                <w:lang w:val="es-ES_tradnl"/>
              </w:rPr>
              <w:t>Programa 17</w:t>
            </w:r>
          </w:p>
          <w:p w:rsidR="00C14248" w:rsidRPr="00414A1F" w:rsidRDefault="00C14248" w:rsidP="00DA1567">
            <w:pPr>
              <w:spacing w:before="80"/>
              <w:ind w:left="176"/>
              <w:rPr>
                <w:rFonts w:cs="Arial"/>
                <w:sz w:val="14"/>
                <w:szCs w:val="14"/>
                <w:lang w:val="es-ES_tradnl"/>
              </w:rPr>
            </w:pPr>
            <w:r w:rsidRPr="00414A1F">
              <w:rPr>
                <w:rFonts w:cs="Arial"/>
                <w:sz w:val="14"/>
                <w:szCs w:val="14"/>
                <w:lang w:val="es-ES_tradnl"/>
              </w:rPr>
              <w:t>Programa 9</w:t>
            </w:r>
          </w:p>
        </w:tc>
        <w:tc>
          <w:tcPr>
            <w:tcW w:w="1445"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bl>
    <w:p w:rsidR="006277CA" w:rsidRPr="00A34388" w:rsidRDefault="006277CA" w:rsidP="006277CA">
      <w:pPr>
        <w:jc w:val="both"/>
        <w:rPr>
          <w:lang w:val="es-ES_tradnl"/>
        </w:rPr>
      </w:pPr>
    </w:p>
    <w:p w:rsidR="006277CA" w:rsidRPr="00414A1F" w:rsidRDefault="00BD2CB7" w:rsidP="006277CA">
      <w:pPr>
        <w:autoSpaceDE w:val="0"/>
        <w:autoSpaceDN w:val="0"/>
        <w:adjustRightInd w:val="0"/>
        <w:jc w:val="both"/>
        <w:rPr>
          <w:lang w:val="es-ES_tradnl"/>
        </w:rPr>
      </w:pPr>
      <w:r w:rsidRPr="00414A1F">
        <w:rPr>
          <w:rFonts w:cs="Arial"/>
          <w:szCs w:val="20"/>
          <w:lang w:val="es-ES_tradnl"/>
        </w:rPr>
        <w:t>En el bienio 2012/13 se logra</w:t>
      </w:r>
      <w:r w:rsidR="00276188" w:rsidRPr="00414A1F">
        <w:rPr>
          <w:rFonts w:cs="Arial"/>
          <w:szCs w:val="20"/>
          <w:lang w:val="es-ES_tradnl"/>
        </w:rPr>
        <w:t>r</w:t>
      </w:r>
      <w:r w:rsidRPr="00414A1F">
        <w:rPr>
          <w:rFonts w:cs="Arial"/>
          <w:szCs w:val="20"/>
          <w:lang w:val="es-ES_tradnl"/>
        </w:rPr>
        <w:t xml:space="preserve">on avances notables en relación con esta meta estratégica gracias a la adopción de texto </w:t>
      </w:r>
      <w:r w:rsidR="006277CA" w:rsidRPr="00414A1F">
        <w:rPr>
          <w:rFonts w:cs="Arial"/>
          <w:szCs w:val="20"/>
          <w:lang w:val="es-ES_tradnl"/>
        </w:rPr>
        <w:t>para dos nuevos tratados sobre derechos de autor</w:t>
      </w:r>
      <w:proofErr w:type="gramStart"/>
      <w:r w:rsidR="006277CA" w:rsidRPr="00414A1F">
        <w:rPr>
          <w:rFonts w:cs="Arial"/>
          <w:szCs w:val="20"/>
          <w:lang w:val="es-ES_tradnl"/>
        </w:rPr>
        <w:t>:  el</w:t>
      </w:r>
      <w:proofErr w:type="gramEnd"/>
      <w:r w:rsidR="006277CA" w:rsidRPr="00414A1F">
        <w:rPr>
          <w:rFonts w:cs="Arial"/>
          <w:szCs w:val="20"/>
          <w:lang w:val="es-ES_tradnl"/>
        </w:rPr>
        <w:t xml:space="preserve"> Tratado de Beijing para la protección de las interpretaciones y ejecuciones audiovisuales (</w:t>
      </w:r>
      <w:r w:rsidR="00A10560" w:rsidRPr="00414A1F">
        <w:rPr>
          <w:rFonts w:cs="Arial"/>
          <w:szCs w:val="20"/>
          <w:lang w:val="es-ES_tradnl"/>
        </w:rPr>
        <w:t>el “</w:t>
      </w:r>
      <w:r w:rsidR="006277CA" w:rsidRPr="00414A1F">
        <w:rPr>
          <w:rFonts w:cs="Arial"/>
          <w:szCs w:val="20"/>
          <w:lang w:val="es-ES_tradnl"/>
        </w:rPr>
        <w:t>Tratado de Beijing</w:t>
      </w:r>
      <w:r w:rsidR="00A10560" w:rsidRPr="00414A1F">
        <w:rPr>
          <w:rFonts w:cs="Arial"/>
          <w:szCs w:val="20"/>
          <w:lang w:val="es-ES_tradnl"/>
        </w:rPr>
        <w:t>”</w:t>
      </w:r>
      <w:r w:rsidR="006277CA" w:rsidRPr="00414A1F">
        <w:rPr>
          <w:rFonts w:cs="Arial"/>
          <w:szCs w:val="20"/>
          <w:lang w:val="es-ES_tradnl"/>
        </w:rPr>
        <w:t xml:space="preserve">) y el Tratado de Marrakech para facilitar el acceso a las obras publicadas a </w:t>
      </w:r>
      <w:r w:rsidRPr="00414A1F">
        <w:rPr>
          <w:rFonts w:cs="Arial"/>
          <w:szCs w:val="20"/>
          <w:lang w:val="es-ES_tradnl"/>
        </w:rPr>
        <w:t xml:space="preserve">las </w:t>
      </w:r>
      <w:r w:rsidR="006277CA" w:rsidRPr="00414A1F">
        <w:rPr>
          <w:rFonts w:cs="Arial"/>
          <w:szCs w:val="20"/>
          <w:lang w:val="es-ES_tradnl"/>
        </w:rPr>
        <w:t>personas ciegas</w:t>
      </w:r>
      <w:r w:rsidRPr="00414A1F">
        <w:rPr>
          <w:rFonts w:cs="Arial"/>
          <w:szCs w:val="20"/>
          <w:lang w:val="es-ES_tradnl"/>
        </w:rPr>
        <w:t>,</w:t>
      </w:r>
      <w:r w:rsidR="006277CA" w:rsidRPr="00414A1F">
        <w:rPr>
          <w:rFonts w:cs="Arial"/>
          <w:szCs w:val="20"/>
          <w:lang w:val="es-ES_tradnl"/>
        </w:rPr>
        <w:t xml:space="preserve"> con discapacidad visual</w:t>
      </w:r>
      <w:r w:rsidRPr="00414A1F">
        <w:rPr>
          <w:rFonts w:cs="Arial"/>
          <w:szCs w:val="20"/>
          <w:lang w:val="es-ES_tradnl"/>
        </w:rPr>
        <w:t xml:space="preserve"> o con otras dificultades para acceder al texto impreso</w:t>
      </w:r>
      <w:r w:rsidR="006277CA" w:rsidRPr="00414A1F">
        <w:rPr>
          <w:rFonts w:cs="Arial"/>
          <w:szCs w:val="20"/>
          <w:lang w:val="es-ES_tradnl"/>
        </w:rPr>
        <w:t xml:space="preserve"> (el “Tratado de Marrakech”).  </w:t>
      </w:r>
      <w:r w:rsidR="00763631" w:rsidRPr="00414A1F">
        <w:rPr>
          <w:rFonts w:cs="Arial"/>
          <w:szCs w:val="20"/>
          <w:lang w:val="es-ES_tradnl"/>
        </w:rPr>
        <w:t xml:space="preserve">Durante las tres sesiones celebradas en julio de 2012, noviembre de 2012 y diciembre de 2013, </w:t>
      </w:r>
      <w:r w:rsidR="00276188" w:rsidRPr="00414A1F">
        <w:rPr>
          <w:rFonts w:cs="Arial"/>
          <w:szCs w:val="20"/>
          <w:lang w:val="es-ES_tradnl"/>
        </w:rPr>
        <w:t>siguió avanz</w:t>
      </w:r>
      <w:r w:rsidR="00763631" w:rsidRPr="00414A1F">
        <w:rPr>
          <w:rFonts w:cs="Arial"/>
          <w:szCs w:val="20"/>
          <w:lang w:val="es-ES_tradnl"/>
        </w:rPr>
        <w:t xml:space="preserve">ándose </w:t>
      </w:r>
      <w:r w:rsidR="00276188" w:rsidRPr="00414A1F">
        <w:rPr>
          <w:rFonts w:cs="Arial"/>
          <w:szCs w:val="20"/>
          <w:lang w:val="es-ES_tradnl"/>
        </w:rPr>
        <w:t>en lo referente a los demás puntos del orden del día</w:t>
      </w:r>
      <w:r w:rsidR="006277CA" w:rsidRPr="00414A1F">
        <w:rPr>
          <w:rFonts w:cs="Arial"/>
          <w:szCs w:val="20"/>
          <w:lang w:val="es-ES_tradnl"/>
        </w:rPr>
        <w:t xml:space="preserve"> del </w:t>
      </w:r>
      <w:r w:rsidR="006277CA" w:rsidRPr="00414A1F">
        <w:rPr>
          <w:rFonts w:eastAsiaTheme="minorHAnsi" w:cs="Arial"/>
          <w:szCs w:val="20"/>
          <w:lang w:val="es-ES_tradnl"/>
        </w:rPr>
        <w:t>Comité Permanente de Derecho de Autor y Derechos Conexos (SCCR)</w:t>
      </w:r>
      <w:r w:rsidR="006277CA" w:rsidRPr="00414A1F">
        <w:rPr>
          <w:lang w:val="es-ES_tradnl"/>
        </w:rPr>
        <w:t>.  El SCCR adoptó asimismo y presentó en la Asamblea General de la OMPI de 2012 un plan de trabajo actualizado en relación con otra propuesta de tratado y algunos otros aspectos relativos a las limitaciones y excepciones</w:t>
      </w:r>
      <w:proofErr w:type="gramStart"/>
      <w:r w:rsidR="006277CA" w:rsidRPr="00414A1F">
        <w:rPr>
          <w:lang w:val="es-ES_tradnl"/>
        </w:rPr>
        <w:t>:  un</w:t>
      </w:r>
      <w:proofErr w:type="gramEnd"/>
      <w:r w:rsidR="006277CA" w:rsidRPr="00414A1F">
        <w:rPr>
          <w:lang w:val="es-ES_tradnl"/>
        </w:rPr>
        <w:t xml:space="preserve"> tratado sobre los organismos de radiodifusión, y limitaciones y excepciones para las bibliotecas y los archivos, las instituciones docentes y de investigación y las personas con otras discapacidades.  En cada una de las sesione</w:t>
      </w:r>
      <w:r w:rsidR="00CD60EB" w:rsidRPr="00414A1F">
        <w:rPr>
          <w:lang w:val="es-ES_tradnl"/>
        </w:rPr>
        <w:t xml:space="preserve">s del SCCR se </w:t>
      </w:r>
      <w:r w:rsidR="00296EB1" w:rsidRPr="00414A1F">
        <w:rPr>
          <w:lang w:val="es-ES_tradnl"/>
        </w:rPr>
        <w:t xml:space="preserve">avanzó </w:t>
      </w:r>
      <w:r w:rsidR="00CD60EB" w:rsidRPr="00414A1F">
        <w:rPr>
          <w:lang w:val="es-ES_tradnl"/>
        </w:rPr>
        <w:t>en la</w:t>
      </w:r>
      <w:r w:rsidR="006277CA" w:rsidRPr="00414A1F">
        <w:rPr>
          <w:lang w:val="es-ES_tradnl"/>
        </w:rPr>
        <w:t xml:space="preserve"> elaboración de textos de trabajo sobre estas cuestiones.</w:t>
      </w:r>
    </w:p>
    <w:p w:rsidR="006277CA" w:rsidRPr="00A34388" w:rsidRDefault="006277CA" w:rsidP="006277CA">
      <w:pPr>
        <w:jc w:val="both"/>
        <w:rPr>
          <w:lang w:val="es-ES_tradnl"/>
        </w:rPr>
      </w:pPr>
    </w:p>
    <w:p w:rsidR="006277CA" w:rsidRPr="00414A1F" w:rsidRDefault="006277CA" w:rsidP="006277CA">
      <w:pPr>
        <w:jc w:val="both"/>
        <w:rPr>
          <w:lang w:val="es-ES_tradnl"/>
        </w:rPr>
      </w:pPr>
      <w:r w:rsidRPr="00414A1F">
        <w:rPr>
          <w:lang w:val="es-ES_tradnl"/>
        </w:rPr>
        <w:lastRenderedPageBreak/>
        <w:t>En virtud de su nuevo mandato para el bienio, establecido a finales de 2011, el Comité Intergubernamental sobre Propiedad Intelectual y Recursos Genéticos, Conocimientos Tradicionales y Folclore (CIG) se reunió en tres ocasiones (20ª, 21ª y 22ª sesiones del CIG).  El CIG estableció un programa de trabajo bien definido y unos métodos de trabajo adecuados, y ha conseguido que avancen sus “negociaciones basadas en textos”, tal como se exigía en el mandato.</w:t>
      </w:r>
      <w:r w:rsidR="00701848" w:rsidRPr="00414A1F">
        <w:rPr>
          <w:lang w:val="es-ES_tradnl"/>
        </w:rPr>
        <w:t xml:space="preserve">  Tras </w:t>
      </w:r>
      <w:r w:rsidR="00763631" w:rsidRPr="00414A1F">
        <w:rPr>
          <w:lang w:val="es-ES_tradnl"/>
        </w:rPr>
        <w:t xml:space="preserve">su </w:t>
      </w:r>
      <w:r w:rsidR="00701848" w:rsidRPr="00414A1F">
        <w:rPr>
          <w:lang w:val="es-ES_tradnl"/>
        </w:rPr>
        <w:t xml:space="preserve">sexta sesión </w:t>
      </w:r>
      <w:r w:rsidR="00296EB1" w:rsidRPr="00414A1F">
        <w:rPr>
          <w:lang w:val="es-ES_tradnl"/>
        </w:rPr>
        <w:t xml:space="preserve">del bienio </w:t>
      </w:r>
      <w:r w:rsidR="00701848" w:rsidRPr="00414A1F">
        <w:rPr>
          <w:lang w:val="es-ES_tradnl"/>
        </w:rPr>
        <w:t>(la 2</w:t>
      </w:r>
      <w:r w:rsidR="00296EB1" w:rsidRPr="00414A1F">
        <w:rPr>
          <w:lang w:val="es-ES_tradnl"/>
        </w:rPr>
        <w:t>5</w:t>
      </w:r>
      <w:r w:rsidR="00701848" w:rsidRPr="00414A1F">
        <w:rPr>
          <w:lang w:val="es-ES_tradnl"/>
        </w:rPr>
        <w:t>ª), el GIC consiguió mejorar</w:t>
      </w:r>
      <w:r w:rsidRPr="00414A1F">
        <w:rPr>
          <w:lang w:val="es-ES_tradnl"/>
        </w:rPr>
        <w:t xml:space="preserve"> </w:t>
      </w:r>
      <w:r w:rsidR="00701848" w:rsidRPr="00414A1F">
        <w:rPr>
          <w:lang w:val="es-ES_tradnl"/>
        </w:rPr>
        <w:t xml:space="preserve">los </w:t>
      </w:r>
      <w:r w:rsidRPr="00414A1F">
        <w:rPr>
          <w:lang w:val="es-ES_tradnl"/>
        </w:rPr>
        <w:t xml:space="preserve">textos de negociación únicos y consolidados sobre cada una de los tres temas del CIG (es decir, los recursos genéticos (RR.GG.), los conocimientos tradicionales (CC.TT.) y las expresiones culturales tradicionales (ECT)).  Una evaluación llevada a cabo por la </w:t>
      </w:r>
      <w:r w:rsidR="00DE34BB" w:rsidRPr="00414A1F">
        <w:rPr>
          <w:lang w:val="es-ES_tradnl"/>
        </w:rPr>
        <w:t xml:space="preserve">División de la OMPI de Auditoría y Supervisión Internas </w:t>
      </w:r>
      <w:r w:rsidRPr="00414A1F">
        <w:rPr>
          <w:lang w:val="es-ES_tradnl"/>
        </w:rPr>
        <w:t xml:space="preserve">en 2013 </w:t>
      </w:r>
      <w:r w:rsidR="00DE34BB" w:rsidRPr="00414A1F">
        <w:rPr>
          <w:lang w:val="es-ES_tradnl"/>
        </w:rPr>
        <w:t>detectó un elevado índice de satisfacción entre los participantes en el CIG por lo que respecta a los servicios que la Secretaría presta a este Comité.</w:t>
      </w:r>
      <w:r w:rsidRPr="00414A1F">
        <w:rPr>
          <w:lang w:val="es-ES_tradnl"/>
        </w:rPr>
        <w:t xml:space="preserve">  De </w:t>
      </w:r>
      <w:r w:rsidR="00701848" w:rsidRPr="00414A1F">
        <w:rPr>
          <w:lang w:val="es-ES_tradnl"/>
        </w:rPr>
        <w:t>conformidad con</w:t>
      </w:r>
      <w:r w:rsidRPr="00414A1F">
        <w:rPr>
          <w:lang w:val="es-ES_tradnl"/>
        </w:rPr>
        <w:t xml:space="preserve"> el</w:t>
      </w:r>
      <w:r w:rsidR="00701848" w:rsidRPr="00414A1F">
        <w:rPr>
          <w:lang w:val="es-ES_tradnl"/>
        </w:rPr>
        <w:t xml:space="preserve"> mandato del CIG para el bienio </w:t>
      </w:r>
      <w:r w:rsidRPr="00414A1F">
        <w:rPr>
          <w:lang w:val="es-ES_tradnl"/>
        </w:rPr>
        <w:t>2012/13, la Asamblea General de la OMPI</w:t>
      </w:r>
      <w:r w:rsidR="009D758F" w:rsidRPr="00414A1F">
        <w:rPr>
          <w:lang w:val="es-ES_tradnl"/>
        </w:rPr>
        <w:t xml:space="preserve"> </w:t>
      </w:r>
      <w:r w:rsidR="008C3076" w:rsidRPr="00414A1F">
        <w:rPr>
          <w:lang w:val="es-ES_tradnl"/>
        </w:rPr>
        <w:t xml:space="preserve">celebrada en </w:t>
      </w:r>
      <w:r w:rsidR="009D758F" w:rsidRPr="00414A1F">
        <w:rPr>
          <w:lang w:val="es-ES_tradnl"/>
        </w:rPr>
        <w:t xml:space="preserve">octubre de 2013 acordó </w:t>
      </w:r>
      <w:r w:rsidRPr="00414A1F">
        <w:rPr>
          <w:lang w:val="es-ES_tradnl"/>
        </w:rPr>
        <w:t xml:space="preserve">un mandato renovado </w:t>
      </w:r>
      <w:r w:rsidR="008C3076" w:rsidRPr="00414A1F">
        <w:rPr>
          <w:lang w:val="es-ES_tradnl"/>
        </w:rPr>
        <w:t xml:space="preserve">para el </w:t>
      </w:r>
      <w:r w:rsidRPr="00414A1F">
        <w:rPr>
          <w:lang w:val="es-ES_tradnl"/>
        </w:rPr>
        <w:t>CIG para 2014/15</w:t>
      </w:r>
      <w:r w:rsidR="00A10560" w:rsidRPr="00414A1F">
        <w:rPr>
          <w:lang w:val="es-ES_tradnl"/>
        </w:rPr>
        <w:t xml:space="preserve"> </w:t>
      </w:r>
      <w:r w:rsidR="008C3076" w:rsidRPr="00414A1F">
        <w:rPr>
          <w:lang w:val="es-ES_tradnl"/>
        </w:rPr>
        <w:t xml:space="preserve">y </w:t>
      </w:r>
      <w:r w:rsidR="00763631" w:rsidRPr="00414A1F">
        <w:rPr>
          <w:lang w:val="es-ES_tradnl"/>
        </w:rPr>
        <w:t xml:space="preserve">el establecimiento de </w:t>
      </w:r>
      <w:r w:rsidRPr="00414A1F">
        <w:rPr>
          <w:lang w:val="es-ES_tradnl"/>
        </w:rPr>
        <w:t xml:space="preserve">un programa de trabajo para 2014.  </w:t>
      </w:r>
    </w:p>
    <w:p w:rsidR="006277CA" w:rsidRPr="00414A1F" w:rsidRDefault="006277CA" w:rsidP="006277CA">
      <w:pPr>
        <w:jc w:val="both"/>
        <w:rPr>
          <w:lang w:val="es-ES_tradnl"/>
        </w:rPr>
      </w:pPr>
    </w:p>
    <w:p w:rsidR="006277CA" w:rsidRPr="00414A1F" w:rsidRDefault="006277CA" w:rsidP="006277CA">
      <w:pPr>
        <w:autoSpaceDE w:val="0"/>
        <w:autoSpaceDN w:val="0"/>
        <w:adjustRightInd w:val="0"/>
        <w:jc w:val="both"/>
        <w:rPr>
          <w:szCs w:val="22"/>
          <w:lang w:val="es-ES_tradnl"/>
        </w:rPr>
      </w:pPr>
      <w:r w:rsidRPr="00414A1F">
        <w:rPr>
          <w:rFonts w:eastAsiaTheme="minorHAnsi" w:cs="Arial"/>
          <w:szCs w:val="20"/>
          <w:lang w:val="es-ES_tradnl"/>
        </w:rPr>
        <w:t xml:space="preserve">El Comité Permanente sobre el Derecho de Marcas, Diseños Industriales e Indicaciones Geográficas (SCT) </w:t>
      </w:r>
      <w:r w:rsidR="000C596D" w:rsidRPr="00414A1F">
        <w:rPr>
          <w:rFonts w:eastAsiaTheme="minorHAnsi" w:cs="Arial"/>
          <w:szCs w:val="20"/>
          <w:lang w:val="es-ES_tradnl"/>
        </w:rPr>
        <w:t>obtuvo</w:t>
      </w:r>
      <w:r w:rsidRPr="00414A1F">
        <w:rPr>
          <w:rFonts w:eastAsiaTheme="minorHAnsi" w:cs="Arial"/>
          <w:szCs w:val="20"/>
          <w:lang w:val="es-ES_tradnl"/>
        </w:rPr>
        <w:t xml:space="preserve"> avances positivos</w:t>
      </w:r>
      <w:r w:rsidR="000C596D" w:rsidRPr="00414A1F">
        <w:rPr>
          <w:rFonts w:cs="Arial"/>
          <w:szCs w:val="20"/>
          <w:lang w:val="es-ES_tradnl"/>
        </w:rPr>
        <w:t xml:space="preserve"> en la</w:t>
      </w:r>
      <w:r w:rsidRPr="00414A1F">
        <w:rPr>
          <w:rFonts w:cs="Arial"/>
          <w:szCs w:val="20"/>
          <w:lang w:val="es-ES_tradnl"/>
        </w:rPr>
        <w:t xml:space="preserve"> labor encaminada a la</w:t>
      </w:r>
      <w:r w:rsidR="000C596D" w:rsidRPr="00414A1F">
        <w:rPr>
          <w:rFonts w:cs="Arial"/>
          <w:szCs w:val="20"/>
          <w:lang w:val="es-ES_tradnl"/>
        </w:rPr>
        <w:t xml:space="preserve"> consecu</w:t>
      </w:r>
      <w:r w:rsidR="00A10560" w:rsidRPr="00414A1F">
        <w:rPr>
          <w:rFonts w:cs="Arial"/>
          <w:szCs w:val="20"/>
          <w:lang w:val="es-ES_tradnl"/>
        </w:rPr>
        <w:t>c</w:t>
      </w:r>
      <w:r w:rsidR="000C596D" w:rsidRPr="00414A1F">
        <w:rPr>
          <w:rFonts w:cs="Arial"/>
          <w:szCs w:val="20"/>
          <w:lang w:val="es-ES_tradnl"/>
        </w:rPr>
        <w:t xml:space="preserve">ión de un acuerdo internacional relativo a la </w:t>
      </w:r>
      <w:r w:rsidRPr="00414A1F">
        <w:rPr>
          <w:rFonts w:cs="Arial"/>
          <w:szCs w:val="20"/>
          <w:lang w:val="es-ES_tradnl"/>
        </w:rPr>
        <w:t>legislación y prácticas en materia de diseño</w:t>
      </w:r>
      <w:r w:rsidR="006C30F5" w:rsidRPr="00414A1F">
        <w:rPr>
          <w:rFonts w:cs="Arial"/>
          <w:szCs w:val="20"/>
          <w:lang w:val="es-ES_tradnl"/>
        </w:rPr>
        <w:t>s</w:t>
      </w:r>
      <w:r w:rsidRPr="00414A1F">
        <w:rPr>
          <w:rFonts w:cs="Arial"/>
          <w:szCs w:val="20"/>
          <w:lang w:val="es-ES_tradnl"/>
        </w:rPr>
        <w:t xml:space="preserve"> industrial</w:t>
      </w:r>
      <w:r w:rsidR="006C30F5" w:rsidRPr="00414A1F">
        <w:rPr>
          <w:rFonts w:cs="Arial"/>
          <w:szCs w:val="20"/>
          <w:lang w:val="es-ES_tradnl"/>
        </w:rPr>
        <w:t>es</w:t>
      </w:r>
      <w:r w:rsidRPr="00414A1F">
        <w:rPr>
          <w:rFonts w:cs="Arial"/>
          <w:szCs w:val="20"/>
          <w:lang w:val="es-ES_tradnl"/>
        </w:rPr>
        <w:t xml:space="preserve">.  En su </w:t>
      </w:r>
      <w:r w:rsidR="00A10560" w:rsidRPr="00414A1F">
        <w:rPr>
          <w:rFonts w:cs="Arial"/>
          <w:szCs w:val="20"/>
          <w:lang w:val="es-ES_tradnl"/>
        </w:rPr>
        <w:t xml:space="preserve">período de sesiones </w:t>
      </w:r>
      <w:r w:rsidRPr="00414A1F">
        <w:rPr>
          <w:rFonts w:cs="Arial"/>
          <w:szCs w:val="20"/>
          <w:lang w:val="es-ES_tradnl"/>
        </w:rPr>
        <w:t xml:space="preserve">de diciembre de 2013, </w:t>
      </w:r>
      <w:r w:rsidR="00396C5F" w:rsidRPr="00414A1F">
        <w:rPr>
          <w:rFonts w:cs="Arial"/>
          <w:szCs w:val="20"/>
          <w:lang w:val="es-ES_tradnl"/>
        </w:rPr>
        <w:t xml:space="preserve">la Asamblea General de la OMPI solicitó </w:t>
      </w:r>
      <w:r w:rsidRPr="00414A1F">
        <w:rPr>
          <w:rFonts w:cs="Arial"/>
          <w:szCs w:val="20"/>
          <w:lang w:val="es-ES_tradnl"/>
        </w:rPr>
        <w:t xml:space="preserve">al SCT </w:t>
      </w:r>
      <w:r w:rsidR="00396C5F" w:rsidRPr="00414A1F">
        <w:rPr>
          <w:rFonts w:cs="Arial"/>
          <w:szCs w:val="20"/>
          <w:lang w:val="es-ES_tradnl"/>
        </w:rPr>
        <w:t>que concluy</w:t>
      </w:r>
      <w:r w:rsidR="00A10560" w:rsidRPr="00414A1F">
        <w:rPr>
          <w:rFonts w:cs="Arial"/>
          <w:szCs w:val="20"/>
          <w:lang w:val="es-ES_tradnl"/>
        </w:rPr>
        <w:t xml:space="preserve">era </w:t>
      </w:r>
      <w:r w:rsidR="00396C5F" w:rsidRPr="00414A1F">
        <w:rPr>
          <w:rFonts w:cs="Arial"/>
          <w:szCs w:val="20"/>
          <w:lang w:val="es-ES_tradnl"/>
        </w:rPr>
        <w:t xml:space="preserve">su labor </w:t>
      </w:r>
      <w:r w:rsidRPr="00414A1F">
        <w:rPr>
          <w:rFonts w:cs="Arial"/>
          <w:szCs w:val="20"/>
          <w:lang w:val="es-ES_tradnl"/>
        </w:rPr>
        <w:t xml:space="preserve">sobre el texto de una propuesta básica de </w:t>
      </w:r>
      <w:r w:rsidRPr="00414A1F">
        <w:rPr>
          <w:lang w:val="es-ES_tradnl"/>
        </w:rPr>
        <w:t xml:space="preserve">Tratado sobre el Derecho de los Diseños Industriales y </w:t>
      </w:r>
      <w:r w:rsidR="00A10560" w:rsidRPr="00414A1F">
        <w:rPr>
          <w:lang w:val="es-ES_tradnl"/>
        </w:rPr>
        <w:t>convin</w:t>
      </w:r>
      <w:r w:rsidR="00536E54" w:rsidRPr="00414A1F">
        <w:rPr>
          <w:lang w:val="es-ES_tradnl"/>
        </w:rPr>
        <w:t>o</w:t>
      </w:r>
      <w:r w:rsidR="00A10560" w:rsidRPr="00414A1F">
        <w:rPr>
          <w:lang w:val="es-ES_tradnl"/>
        </w:rPr>
        <w:t xml:space="preserve"> en </w:t>
      </w:r>
      <w:r w:rsidR="00763631" w:rsidRPr="00414A1F">
        <w:rPr>
          <w:lang w:val="es-ES_tradnl"/>
        </w:rPr>
        <w:t xml:space="preserve">que </w:t>
      </w:r>
      <w:r w:rsidR="00E210BB" w:rsidRPr="00414A1F">
        <w:rPr>
          <w:lang w:val="es-ES_tradnl"/>
        </w:rPr>
        <w:t xml:space="preserve">adoptaría </w:t>
      </w:r>
      <w:r w:rsidRPr="00414A1F">
        <w:rPr>
          <w:lang w:val="es-ES_tradnl"/>
        </w:rPr>
        <w:t>una decisión sobre la convoca</w:t>
      </w:r>
      <w:r w:rsidR="00296EB1" w:rsidRPr="00414A1F">
        <w:rPr>
          <w:lang w:val="es-ES_tradnl"/>
        </w:rPr>
        <w:t xml:space="preserve">ción </w:t>
      </w:r>
      <w:r w:rsidRPr="00414A1F">
        <w:rPr>
          <w:lang w:val="es-ES_tradnl"/>
        </w:rPr>
        <w:t xml:space="preserve">de una conferencia diplomática en su período extraordinario de sesiones de mayo de 2014.  Igualmente, el SCT continuó con su labor </w:t>
      </w:r>
      <w:r w:rsidR="00A10560" w:rsidRPr="00414A1F">
        <w:rPr>
          <w:lang w:val="es-ES_tradnl"/>
        </w:rPr>
        <w:t xml:space="preserve">en torno a </w:t>
      </w:r>
      <w:r w:rsidRPr="00414A1F">
        <w:rPr>
          <w:lang w:val="es-ES_tradnl"/>
        </w:rPr>
        <w:t>la protección de los nombres de países y</w:t>
      </w:r>
      <w:r w:rsidR="00396C5F" w:rsidRPr="00414A1F">
        <w:rPr>
          <w:lang w:val="es-ES_tradnl"/>
        </w:rPr>
        <w:t xml:space="preserve"> examinó</w:t>
      </w:r>
      <w:r w:rsidRPr="00414A1F">
        <w:rPr>
          <w:lang w:val="es-ES_tradnl"/>
        </w:rPr>
        <w:t xml:space="preserve"> un estudio preparado por la Secretaría, así como una serie de propuestas </w:t>
      </w:r>
      <w:r w:rsidR="0011734B" w:rsidRPr="00414A1F">
        <w:rPr>
          <w:lang w:val="es-ES_tradnl"/>
        </w:rPr>
        <w:t xml:space="preserve">formuladas </w:t>
      </w:r>
      <w:r w:rsidRPr="00414A1F">
        <w:rPr>
          <w:lang w:val="es-ES_tradnl"/>
        </w:rPr>
        <w:t>por los Estados miembros.</w:t>
      </w:r>
    </w:p>
    <w:p w:rsidR="006277CA" w:rsidRPr="00414A1F" w:rsidRDefault="006277CA" w:rsidP="006277CA">
      <w:pPr>
        <w:autoSpaceDE w:val="0"/>
        <w:autoSpaceDN w:val="0"/>
        <w:adjustRightInd w:val="0"/>
        <w:jc w:val="both"/>
        <w:rPr>
          <w:lang w:val="es-ES_tradnl"/>
        </w:rPr>
      </w:pPr>
    </w:p>
    <w:p w:rsidR="006277CA" w:rsidRPr="00414A1F" w:rsidRDefault="006277CA" w:rsidP="006277CA">
      <w:pPr>
        <w:jc w:val="both"/>
        <w:rPr>
          <w:i/>
          <w:iCs/>
          <w:lang w:val="es-ES_tradnl"/>
        </w:rPr>
      </w:pPr>
      <w:r w:rsidRPr="00414A1F">
        <w:rPr>
          <w:bCs/>
          <w:lang w:val="es-ES_tradnl"/>
        </w:rPr>
        <w:t>Con el fin de mejorar la cooperación entre los Estados miembros en lo que atañe a seguir elaborando marcos normativos y de política equilibrados para el sistema internacional de patentes, en mayo de 2012 se celebró la decimoctava sesión del Comité Permanente sobre el Derecho de Patentes (SCP).  El SCP continuó prestando atención a cinco cuestiones en su orden del día, a saber</w:t>
      </w:r>
      <w:proofErr w:type="gramStart"/>
      <w:r w:rsidRPr="00414A1F">
        <w:rPr>
          <w:bCs/>
          <w:lang w:val="es-ES_tradnl"/>
        </w:rPr>
        <w:t>:  i</w:t>
      </w:r>
      <w:proofErr w:type="gramEnd"/>
      <w:r w:rsidRPr="00414A1F">
        <w:rPr>
          <w:bCs/>
          <w:lang w:val="es-ES_tradnl"/>
        </w:rPr>
        <w:t>)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6277CA" w:rsidRPr="00414A1F" w:rsidRDefault="006277CA" w:rsidP="006277CA">
      <w:pPr>
        <w:jc w:val="both"/>
        <w:rPr>
          <w:i/>
          <w:iCs/>
          <w:lang w:val="es-ES_tradnl"/>
        </w:rPr>
      </w:pPr>
    </w:p>
    <w:p w:rsidR="002B1855" w:rsidRPr="00414A1F" w:rsidRDefault="002B1855">
      <w:pPr>
        <w:rPr>
          <w:b/>
          <w:iCs/>
          <w:lang w:val="es-ES_tradnl"/>
        </w:rPr>
      </w:pPr>
      <w:r w:rsidRPr="00414A1F">
        <w:rPr>
          <w:b/>
          <w:iCs/>
          <w:lang w:val="es-ES_tradnl"/>
        </w:rPr>
        <w:br w:type="page"/>
      </w:r>
    </w:p>
    <w:p w:rsidR="003230BA" w:rsidRPr="002B1855" w:rsidRDefault="003230BA">
      <w:pPr>
        <w:rPr>
          <w:iCs/>
          <w:lang w:val="es-ES_tradnl"/>
        </w:rPr>
      </w:pPr>
    </w:p>
    <w:p w:rsidR="006277CA" w:rsidRPr="00414A1F" w:rsidRDefault="006277CA" w:rsidP="006277CA">
      <w:pPr>
        <w:jc w:val="center"/>
        <w:rPr>
          <w:b/>
          <w:iCs/>
          <w:lang w:val="es-ES_tradnl"/>
        </w:rPr>
      </w:pPr>
      <w:r w:rsidRPr="00414A1F">
        <w:rPr>
          <w:b/>
          <w:iCs/>
          <w:lang w:val="es-ES_tradnl"/>
        </w:rPr>
        <w:t>Meta estratégica II</w:t>
      </w:r>
      <w:proofErr w:type="gramStart"/>
      <w:r w:rsidRPr="00414A1F">
        <w:rPr>
          <w:b/>
          <w:iCs/>
          <w:lang w:val="es-ES_tradnl"/>
        </w:rPr>
        <w:t>:  Prestación</w:t>
      </w:r>
      <w:proofErr w:type="gramEnd"/>
      <w:r w:rsidRPr="00414A1F">
        <w:rPr>
          <w:b/>
          <w:iCs/>
          <w:lang w:val="es-ES_tradnl"/>
        </w:rPr>
        <w:t xml:space="preserve"> de servicios mundiales de P.I. de calidad</w:t>
      </w:r>
    </w:p>
    <w:p w:rsidR="006277CA" w:rsidRPr="00A34388" w:rsidRDefault="006277CA" w:rsidP="006277CA">
      <w:pPr>
        <w:jc w:val="both"/>
        <w:rPr>
          <w:i/>
          <w:iCs/>
          <w:lang w:val="es-ES_tradnl"/>
        </w:rPr>
      </w:pPr>
    </w:p>
    <w:p w:rsidR="006277CA" w:rsidRPr="00A34388" w:rsidRDefault="006277CA" w:rsidP="006277CA">
      <w:pPr>
        <w:jc w:val="both"/>
        <w:rPr>
          <w:i/>
          <w:iCs/>
          <w:lang w:val="es-ES_tradnl"/>
        </w:rPr>
      </w:pPr>
    </w:p>
    <w:p w:rsidR="006277CA" w:rsidRDefault="006277CA" w:rsidP="006277CA">
      <w:pPr>
        <w:jc w:val="center"/>
        <w:rPr>
          <w:b/>
          <w:sz w:val="18"/>
          <w:szCs w:val="18"/>
          <w:lang w:val="es-ES_tradnl"/>
        </w:rPr>
      </w:pPr>
      <w:r w:rsidRPr="00A34388">
        <w:rPr>
          <w:b/>
          <w:sz w:val="18"/>
          <w:szCs w:val="18"/>
          <w:lang w:val="es-ES_tradnl"/>
        </w:rPr>
        <w:t>Re</w:t>
      </w:r>
      <w:r w:rsidR="00AD3592" w:rsidRPr="00A34388">
        <w:rPr>
          <w:b/>
          <w:sz w:val="18"/>
          <w:szCs w:val="18"/>
          <w:lang w:val="es-ES_tradnl"/>
        </w:rPr>
        <w:t>seña general de los avances</w:t>
      </w:r>
      <w:r w:rsidRPr="00A34388">
        <w:rPr>
          <w:b/>
          <w:sz w:val="18"/>
          <w:szCs w:val="18"/>
          <w:lang w:val="es-ES_tradnl"/>
        </w:rPr>
        <w:t xml:space="preserve"> logrados por resultado previsto</w:t>
      </w:r>
    </w:p>
    <w:p w:rsidR="005E68A3" w:rsidRDefault="005E68A3" w:rsidP="002B1855">
      <w:pPr>
        <w:rPr>
          <w:b/>
          <w:sz w:val="18"/>
          <w:szCs w:val="18"/>
          <w:lang w:val="es-ES_tradnl"/>
        </w:rPr>
      </w:pPr>
    </w:p>
    <w:p w:rsidR="005E68A3" w:rsidRPr="00A34388" w:rsidRDefault="005E68A3" w:rsidP="005E68A3">
      <w:pPr>
        <w:jc w:val="center"/>
        <w:rPr>
          <w:b/>
          <w:sz w:val="18"/>
          <w:szCs w:val="18"/>
          <w:lang w:val="es-ES_tradnl"/>
        </w:rPr>
      </w:pPr>
      <w:r>
        <w:rPr>
          <w:b/>
          <w:noProof/>
          <w:sz w:val="18"/>
          <w:szCs w:val="18"/>
        </w:rPr>
        <w:drawing>
          <wp:inline distT="0" distB="0" distL="0" distR="0" wp14:anchorId="79C21BD1" wp14:editId="26B224CD">
            <wp:extent cx="6057900" cy="5257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5134" cy="5255399"/>
                    </a:xfrm>
                    <a:prstGeom prst="rect">
                      <a:avLst/>
                    </a:prstGeom>
                    <a:noFill/>
                  </pic:spPr>
                </pic:pic>
              </a:graphicData>
            </a:graphic>
          </wp:inline>
        </w:drawing>
      </w:r>
    </w:p>
    <w:p w:rsidR="006277CA" w:rsidRPr="003F11A0" w:rsidRDefault="006277CA" w:rsidP="006277CA">
      <w:pPr>
        <w:jc w:val="both"/>
        <w:rPr>
          <w:iCs/>
          <w:lang w:val="es-ES_tradnl"/>
        </w:rPr>
      </w:pPr>
    </w:p>
    <w:p w:rsidR="006277CA" w:rsidRPr="00A34388" w:rsidRDefault="006277CA" w:rsidP="002B1855">
      <w:pPr>
        <w:rPr>
          <w:lang w:val="es-ES_tradnl"/>
        </w:rPr>
      </w:pPr>
    </w:p>
    <w:p w:rsidR="006277CA" w:rsidRPr="00414A1F" w:rsidRDefault="006277CA" w:rsidP="006277CA">
      <w:pPr>
        <w:jc w:val="center"/>
        <w:rPr>
          <w:b/>
          <w:szCs w:val="20"/>
          <w:lang w:val="es-ES_tradnl"/>
        </w:rPr>
      </w:pPr>
      <w:r w:rsidRPr="00414A1F">
        <w:rPr>
          <w:b/>
          <w:szCs w:val="20"/>
          <w:lang w:val="es-ES_tradnl"/>
        </w:rPr>
        <w:t>Cuadro sobre el rendimiento bienal</w:t>
      </w:r>
    </w:p>
    <w:p w:rsidR="006277CA" w:rsidRPr="00414A1F" w:rsidRDefault="006277CA" w:rsidP="006277CA">
      <w:pPr>
        <w:jc w:val="center"/>
        <w:rPr>
          <w:sz w:val="16"/>
          <w:szCs w:val="16"/>
          <w:lang w:val="es-ES_tradnl"/>
        </w:rPr>
      </w:pPr>
    </w:p>
    <w:p w:rsidR="006277CA" w:rsidRPr="00414A1F" w:rsidRDefault="00F6170D" w:rsidP="006277CA">
      <w:pPr>
        <w:autoSpaceDE w:val="0"/>
        <w:autoSpaceDN w:val="0"/>
        <w:adjustRightInd w:val="0"/>
        <w:jc w:val="both"/>
        <w:rPr>
          <w:rFonts w:cs="Arial"/>
          <w:lang w:val="es-ES_tradnl"/>
        </w:rPr>
      </w:pPr>
      <w:r w:rsidRPr="00414A1F">
        <w:rPr>
          <w:rFonts w:cs="Arial"/>
          <w:lang w:val="es-ES_tradnl"/>
        </w:rPr>
        <w:t>En el siguiente cuadro</w:t>
      </w:r>
      <w:r w:rsidR="006277CA" w:rsidRPr="00414A1F">
        <w:rPr>
          <w:rFonts w:cs="Arial"/>
          <w:lang w:val="es-ES_tradnl"/>
        </w:rPr>
        <w:t xml:space="preserve"> se </w:t>
      </w:r>
      <w:r w:rsidR="00AD3592" w:rsidRPr="00414A1F">
        <w:rPr>
          <w:rFonts w:cs="Arial"/>
          <w:lang w:val="es-ES_tradnl"/>
        </w:rPr>
        <w:t xml:space="preserve">incluye una reseña general de la consecución de los resultados previstos </w:t>
      </w:r>
      <w:r w:rsidR="006277CA" w:rsidRPr="00414A1F">
        <w:rPr>
          <w:rFonts w:cs="Arial"/>
          <w:lang w:val="es-ES_tradnl"/>
        </w:rPr>
        <w:t>en el bienio 2012/</w:t>
      </w:r>
      <w:r w:rsidR="00AD3592" w:rsidRPr="00414A1F">
        <w:rPr>
          <w:rFonts w:cs="Arial"/>
          <w:lang w:val="es-ES_tradnl"/>
        </w:rPr>
        <w:t xml:space="preserve">13 medidos por los indicadores relativos a </w:t>
      </w:r>
      <w:r w:rsidR="006277CA" w:rsidRPr="00414A1F">
        <w:rPr>
          <w:rFonts w:cs="Arial"/>
          <w:lang w:val="es-ES_tradnl"/>
        </w:rPr>
        <w:t xml:space="preserve">los </w:t>
      </w:r>
      <w:r w:rsidR="003F5639" w:rsidRPr="00414A1F">
        <w:rPr>
          <w:rFonts w:cs="Arial"/>
          <w:lang w:val="es-ES_tradnl"/>
        </w:rPr>
        <w:t xml:space="preserve">programas </w:t>
      </w:r>
      <w:r w:rsidR="008570AF" w:rsidRPr="00414A1F">
        <w:rPr>
          <w:rFonts w:cs="Arial"/>
          <w:lang w:val="es-ES_tradnl"/>
        </w:rPr>
        <w:t>que contribuyen a esta meta estratégica</w:t>
      </w:r>
      <w:r w:rsidR="006277CA" w:rsidRPr="00414A1F">
        <w:rPr>
          <w:rFonts w:cs="Arial"/>
          <w:lang w:val="es-ES_tradnl"/>
        </w:rPr>
        <w:t xml:space="preserve">.  </w:t>
      </w:r>
    </w:p>
    <w:p w:rsidR="00C14248" w:rsidRPr="00A34388" w:rsidRDefault="00C14248" w:rsidP="00C14248">
      <w:pPr>
        <w:autoSpaceDE w:val="0"/>
        <w:autoSpaceDN w:val="0"/>
        <w:adjustRightInd w:val="0"/>
        <w:jc w:val="both"/>
        <w:rPr>
          <w:rFonts w:cs="Arial"/>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C14248" w:rsidRPr="00A34388" w:rsidTr="00DA1567">
        <w:trPr>
          <w:tblHeader/>
        </w:trPr>
        <w:tc>
          <w:tcPr>
            <w:tcW w:w="3224"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Resultados previstos</w:t>
            </w:r>
          </w:p>
        </w:tc>
        <w:tc>
          <w:tcPr>
            <w:tcW w:w="3435"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Indicadores de rendimiento</w:t>
            </w:r>
          </w:p>
        </w:tc>
        <w:tc>
          <w:tcPr>
            <w:tcW w:w="1365"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Programas responsables</w:t>
            </w:r>
          </w:p>
        </w:tc>
        <w:tc>
          <w:tcPr>
            <w:tcW w:w="1342" w:type="dxa"/>
            <w:tcBorders>
              <w:top w:val="single" w:sz="4" w:space="0" w:color="auto"/>
              <w:bottom w:val="single" w:sz="4" w:space="0" w:color="auto"/>
            </w:tcBorders>
            <w:shd w:val="clear" w:color="auto" w:fill="CCFFFF"/>
            <w:vAlign w:val="center"/>
          </w:tcPr>
          <w:p w:rsidR="00C14248" w:rsidRPr="00414A1F" w:rsidRDefault="00C14248" w:rsidP="00DA1567">
            <w:pPr>
              <w:spacing w:before="120" w:after="120"/>
              <w:jc w:val="center"/>
              <w:rPr>
                <w:rFonts w:cs="Arial"/>
                <w:b/>
                <w:bCs/>
                <w:sz w:val="14"/>
                <w:szCs w:val="14"/>
                <w:lang w:val="es-ES_tradnl"/>
              </w:rPr>
            </w:pPr>
            <w:r w:rsidRPr="00414A1F">
              <w:rPr>
                <w:rFonts w:cs="Arial"/>
                <w:b/>
                <w:bCs/>
                <w:sz w:val="14"/>
                <w:szCs w:val="14"/>
                <w:lang w:val="es-ES_tradnl"/>
              </w:rPr>
              <w:t>Clave de colores</w:t>
            </w:r>
          </w:p>
        </w:tc>
      </w:tr>
      <w:tr w:rsidR="00C14248" w:rsidRPr="00A34388" w:rsidTr="00DA1567">
        <w:tc>
          <w:tcPr>
            <w:tcW w:w="3224" w:type="dxa"/>
            <w:tcBorders>
              <w:top w:val="single" w:sz="4" w:space="0" w:color="auto"/>
            </w:tcBorders>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Utilización estratégica del PCT, con conocimiento de causa, por todos los innovadores que puedan aprovecharlo.</w:t>
            </w:r>
          </w:p>
        </w:tc>
        <w:tc>
          <w:tcPr>
            <w:tcW w:w="3435" w:type="dxa"/>
            <w:tcBorders>
              <w:top w:val="single" w:sz="4" w:space="0" w:color="auto"/>
            </w:tcBorders>
            <w:shd w:val="clear" w:color="auto" w:fill="auto"/>
            <w:tcMar>
              <w:top w:w="113" w:type="dxa"/>
            </w:tcMar>
          </w:tcPr>
          <w:p w:rsidR="00C14248" w:rsidRPr="00414A1F" w:rsidRDefault="00C14248" w:rsidP="00DA1567">
            <w:pPr>
              <w:spacing w:before="80"/>
              <w:rPr>
                <w:rFonts w:cs="Arial"/>
                <w:sz w:val="14"/>
                <w:szCs w:val="14"/>
                <w:lang w:val="es-ES_tradnl"/>
              </w:rPr>
            </w:pPr>
            <w:r w:rsidRPr="00414A1F">
              <w:rPr>
                <w:rFonts w:cs="Arial"/>
                <w:sz w:val="14"/>
                <w:szCs w:val="14"/>
                <w:lang w:val="es-ES_tradnl"/>
              </w:rPr>
              <w:t>Presentación de solicitudes PCT.</w:t>
            </w:r>
          </w:p>
          <w:p w:rsidR="00C14248" w:rsidRPr="00414A1F" w:rsidRDefault="00C14248" w:rsidP="00DA1567">
            <w:pPr>
              <w:spacing w:before="80"/>
              <w:rPr>
                <w:rFonts w:cs="Arial"/>
                <w:sz w:val="14"/>
                <w:szCs w:val="14"/>
                <w:lang w:val="es-ES_tradnl"/>
              </w:rPr>
            </w:pPr>
            <w:r w:rsidRPr="00414A1F">
              <w:rPr>
                <w:rFonts w:cs="Arial"/>
                <w:sz w:val="14"/>
                <w:szCs w:val="14"/>
                <w:lang w:val="es-ES_tradnl"/>
              </w:rPr>
              <w:t>Proporción de solicitudes PCT que entran en la fase nacional sobre el total de las solicitudes internacionales presentadas.</w:t>
            </w:r>
          </w:p>
        </w:tc>
        <w:tc>
          <w:tcPr>
            <w:tcW w:w="1365" w:type="dxa"/>
            <w:tcBorders>
              <w:top w:val="single" w:sz="4" w:space="0" w:color="auto"/>
            </w:tcBorders>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Borders>
              <w:top w:val="single" w:sz="4" w:space="0" w:color="auto"/>
            </w:tcBorders>
          </w:tcPr>
          <w:p w:rsidR="00C14248" w:rsidRDefault="00C14248" w:rsidP="00DA1567">
            <w:pPr>
              <w:jc w:val="center"/>
              <w:rPr>
                <w:rFonts w:cs="Arial"/>
                <w:color w:val="10862C"/>
                <w:sz w:val="22"/>
                <w:szCs w:val="22"/>
              </w:rPr>
            </w:pPr>
            <w:r w:rsidRPr="004A7442">
              <w:rPr>
                <w:rFonts w:cs="Arial"/>
                <w:color w:val="10862C"/>
                <w:sz w:val="22"/>
                <w:szCs w:val="22"/>
              </w:rPr>
              <w:sym w:font="Wingdings" w:char="F06C"/>
            </w:r>
          </w:p>
          <w:p w:rsidR="00C14248" w:rsidRPr="004A7442" w:rsidRDefault="00C14248" w:rsidP="00DA1567">
            <w:pPr>
              <w:spacing w:before="20"/>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Fortalecimiento de las relaciones con los usuarios del PCT y las oficinas.</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Satisfacción de las oficinas y las administraciones internacionales con las actividades de cooperación en el marco del PCT.</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vAlign w:val="cente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Contactos significativos con los usuarios del PCT</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vAlign w:val="cente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Mayor información proporcionada por los usuarios del PCT sobre el desempeño global del sistema.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lastRenderedPageBreak/>
              <w:t>Perfeccionamiento del Sistema del PCT en su conjunto</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Progresos en la aplicación de las recomendaciones respaldadas por el Grupo de Trabajo del PCT en 2010 acerca de la forma de mejorar el funcionamiento del PCT, concretamente en relación con los seis grupos de cuestiones que figuran a continuación: i) retrasos:  mejorar la calidad de las patentes concedidas; ii) puntualidad en la fase internacional; iii) calidad en las búsquedas internacionales y en los exámenes preliminares; iv) incentivos para que los solicitantes hagan un uso eficaz del sistema;  lagunas en materia de competencias y de mano de obra; v) cuestiones relativas a los costos;  coherencia y disponibilidad de salvaguardias; vi) asistencia técnica;  información y transferencia de tecnología en el marco del PCT.</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Mejor funcionamiento de la Oficina Internacional (véase el Anexo VI)</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Costo unitario de tramitación de las solicitudes.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Productividad en el examen de las formalidades.</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Calidad del examen de las formalidades.</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Tiempo necesario para el examen de las formalidades (porcentaje de exámenes efectuados en 3 semanas a partir de la recepción).</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Tiempo necesario para la publicación (porcentaje de solicitudes publicadas en 18 meses + 3 semanas a partir de la fecha de prioridad).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Calidad de la traducción (porcentaje de traducciones que aprueban el control de calidad).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Presentación de solicitudes en la Oficina Internacional como Oficina receptora.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5</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Mejor utilización de los sistemas de Madrid y de Lisboa por los países en desarrollo y los PMA, entre otros.</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nuevos registros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renovaciones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notificaciones de irregularidad sobre el número total de solicitudes recibidas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sz w:val="22"/>
                <w:szCs w:val="22"/>
              </w:rPr>
            </w:pPr>
            <w:r w:rsidRPr="004A7442">
              <w:rPr>
                <w:rFonts w:cs="Arial"/>
                <w:color w:val="FF0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Porcentaje de solicitudes internacionales de países en desarrollo y PMA (Sistema de Madrid).</w:t>
            </w:r>
          </w:p>
        </w:tc>
        <w:tc>
          <w:tcPr>
            <w:tcW w:w="1365" w:type="dxa"/>
            <w:shd w:val="clear" w:color="auto" w:fill="auto"/>
            <w:tcMar>
              <w:top w:w="113" w:type="dxa"/>
            </w:tcMar>
          </w:tcPr>
          <w:p w:rsidR="00C14248" w:rsidRPr="00414A1F" w:rsidRDefault="00C14248" w:rsidP="00DA1567">
            <w:pPr>
              <w:keepNext/>
              <w:keepLines/>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keepNext/>
              <w:keepLines/>
              <w:jc w:val="center"/>
              <w:rPr>
                <w:rFonts w:cs="Arial"/>
                <w:sz w:val="22"/>
                <w:szCs w:val="22"/>
              </w:rPr>
            </w:pPr>
            <w:r w:rsidRPr="004A7442">
              <w:rPr>
                <w:rFonts w:cs="Arial"/>
                <w:color w:val="FF0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Número de Partes Contratantes del Protocolo de Madrid.</w:t>
            </w:r>
          </w:p>
        </w:tc>
        <w:tc>
          <w:tcPr>
            <w:tcW w:w="1365" w:type="dxa"/>
            <w:shd w:val="clear" w:color="auto" w:fill="auto"/>
            <w:tcMar>
              <w:top w:w="113" w:type="dxa"/>
            </w:tcMar>
          </w:tcPr>
          <w:p w:rsidR="00C14248" w:rsidRPr="00414A1F" w:rsidRDefault="00C14248" w:rsidP="00DA1567">
            <w:pPr>
              <w:keepNext/>
              <w:keepLines/>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keepNext/>
              <w:keepLines/>
              <w:jc w:val="center"/>
              <w:rPr>
                <w:rFonts w:cs="Arial"/>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Pr>
          <w:p w:rsidR="00C14248" w:rsidRPr="00414A1F" w:rsidRDefault="00C14248" w:rsidP="00DA1567">
            <w:pPr>
              <w:rPr>
                <w:rFonts w:cs="Arial"/>
                <w:sz w:val="14"/>
                <w:szCs w:val="14"/>
                <w:lang w:val="es-ES_tradnl"/>
              </w:rPr>
            </w:pPr>
          </w:p>
        </w:tc>
        <w:tc>
          <w:tcPr>
            <w:tcW w:w="3435" w:type="dxa"/>
            <w:shd w:val="clear" w:color="auto" w:fill="auto"/>
            <w:tcMar>
              <w:top w:w="113" w:type="dxa"/>
              <w:bottom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Partes Contratantes del Arreglo de Lisboa.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sz w:val="22"/>
                <w:szCs w:val="22"/>
              </w:rPr>
            </w:pPr>
            <w:r w:rsidRPr="004A7442">
              <w:rPr>
                <w:rFonts w:cs="Arial"/>
                <w:color w:val="E36C0A" w:themeColor="accent6" w:themeShade="BF"/>
                <w:sz w:val="22"/>
                <w:szCs w:val="22"/>
              </w:rPr>
              <w:sym w:font="Wingdings" w:char="F06C"/>
            </w:r>
          </w:p>
        </w:tc>
      </w:tr>
      <w:tr w:rsidR="00C14248" w:rsidRPr="00A34388" w:rsidTr="00DA1567">
        <w:trPr>
          <w:trHeight w:val="410"/>
        </w:trPr>
        <w:tc>
          <w:tcPr>
            <w:tcW w:w="3224" w:type="dxa"/>
            <w:shd w:val="clear" w:color="auto" w:fill="auto"/>
            <w:tcMar>
              <w:top w:w="113" w:type="dxa"/>
            </w:tcMar>
          </w:tcPr>
          <w:p w:rsidR="00C14248" w:rsidRPr="00414A1F" w:rsidRDefault="00C14248" w:rsidP="00DA1567">
            <w:pPr>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registros internacionales en vigor, correspondientes a países en desarrollo y PMA, en virtud del Sistema de Lisboa relativo a las denominaciones de origen.</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rFonts w:cs="Arial"/>
                <w:sz w:val="22"/>
                <w:szCs w:val="22"/>
              </w:rPr>
            </w:pPr>
            <w:r w:rsidRPr="004A7442">
              <w:rPr>
                <w:rFonts w:cs="Arial"/>
                <w:color w:val="10862C"/>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Mejora del funcionamiento de los sistemas de Madrid y de Lisboa. </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Media de tiempo de tramitación de nuevas solicitudes sin irregularidades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oficinas que envían solicitudes en formato XML y reciben designaciones en formato XML (Sistema de Madrid).</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documentos recibidos en formato electrónico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clientes que reciben notificaciones por correo-e (Sistema de Madrid).</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clientes que utilizan el Portfolio Manager (Sistema de Madrid).</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trámites totalmente automatizados (Sistema de Madrid). </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10862C"/>
                <w:sz w:val="22"/>
                <w:szCs w:val="22"/>
              </w:rPr>
            </w:pPr>
            <w:r w:rsidRPr="004A7442">
              <w:rPr>
                <w:rFonts w:cs="Arial"/>
                <w:color w:val="10862C"/>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6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correcciones inscritas, en relación con el total de procedimientos inscritos (exceptuando las denegaciones y las decisiones finales) (Sistema de Madrid).</w:t>
            </w:r>
          </w:p>
        </w:tc>
        <w:tc>
          <w:tcPr>
            <w:tcW w:w="1365" w:type="dxa"/>
            <w:shd w:val="clear" w:color="auto" w:fill="auto"/>
            <w:tcMar>
              <w:top w:w="113" w:type="dxa"/>
            </w:tcMar>
          </w:tcPr>
          <w:p w:rsidR="00C14248" w:rsidRPr="00414A1F" w:rsidRDefault="00C14248" w:rsidP="00DA1567">
            <w:pPr>
              <w:spacing w:before="6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Creación de un Registro Internacional automatizado (Sistema de Lisboa).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Aumento en el número de </w:t>
            </w:r>
            <w:r w:rsidR="00956D28" w:rsidRPr="00414A1F">
              <w:rPr>
                <w:rFonts w:cs="Arial"/>
                <w:sz w:val="14"/>
                <w:szCs w:val="14"/>
                <w:lang w:val="es-ES_tradnl"/>
              </w:rPr>
              <w:t xml:space="preserve">Administraciones </w:t>
            </w:r>
            <w:r w:rsidRPr="00414A1F">
              <w:rPr>
                <w:rFonts w:cs="Arial"/>
                <w:sz w:val="14"/>
                <w:szCs w:val="14"/>
                <w:lang w:val="es-ES_tradnl"/>
              </w:rPr>
              <w:t>competentes que se valen de medios electrónicos de comunicación en el marco de los procedimientos del Sistema de Lisboa.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Adopción de disposiciones que agilicen o modernicen el marco jurídico del Sistema de Lisboa.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Mayor conocimiento de los sistemas de Madrid y de Lisboa.</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participantes en reuniones relacionadas con el Sistema de Madrid que están satisfechos y manifiestan haber mejorado sus conocimientos tras haber participado en reuniones de capacitación.</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participantes en reuniones relacionadas con el Sistema de Lisboa que están satisfechos y manifiestan haber mejorado sus conocimientos tras haber participado en seminarios/talleres.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6</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Mayor sensibilización acerca del Sistema de La Haya.</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solicitantes que presentan solicitudes por primera vez.</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spacing w:before="20"/>
              <w:jc w:val="center"/>
              <w:rPr>
                <w:sz w:val="22"/>
                <w:szCs w:val="22"/>
              </w:rPr>
            </w:pPr>
            <w:r w:rsidRPr="004A7442">
              <w:rPr>
                <w:rFonts w:cs="Arial"/>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idiomas en los que está disponible la información general.</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008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oficinas nacionales o regionales que ofrecen información adecuada sobre el Sistema de La Haya.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Utilización más amplia y mejor del Sistema de La Haya.</w:t>
            </w:r>
          </w:p>
        </w:tc>
        <w:tc>
          <w:tcPr>
            <w:tcW w:w="3435" w:type="dxa"/>
            <w:shd w:val="clear" w:color="auto" w:fill="auto"/>
            <w:tcMar>
              <w:top w:w="113" w:type="dxa"/>
            </w:tcMar>
          </w:tcPr>
          <w:p w:rsidR="00C14248" w:rsidRPr="00414A1F" w:rsidRDefault="00C14248" w:rsidP="00DA1567">
            <w:pPr>
              <w:keepNext/>
              <w:keepLines/>
              <w:spacing w:before="60"/>
              <w:rPr>
                <w:rFonts w:cs="Arial"/>
                <w:sz w:val="14"/>
                <w:szCs w:val="14"/>
                <w:lang w:val="es-ES_tradnl"/>
              </w:rPr>
            </w:pPr>
            <w:r w:rsidRPr="00414A1F">
              <w:rPr>
                <w:rFonts w:cs="Arial"/>
                <w:sz w:val="14"/>
                <w:szCs w:val="14"/>
                <w:lang w:val="es-ES_tradnl"/>
              </w:rPr>
              <w:t>Número de registros, dibujos y modelos contenidos en los registros, renovaciones y otras inscripciones.</w:t>
            </w:r>
          </w:p>
        </w:tc>
        <w:tc>
          <w:tcPr>
            <w:tcW w:w="1365" w:type="dxa"/>
            <w:shd w:val="clear" w:color="auto" w:fill="auto"/>
            <w:tcMar>
              <w:top w:w="113" w:type="dxa"/>
            </w:tcMar>
          </w:tcPr>
          <w:p w:rsidR="00C14248" w:rsidRPr="00414A1F" w:rsidRDefault="00C14248" w:rsidP="00DA1567">
            <w:pPr>
              <w:keepNext/>
              <w:keepLines/>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keepNext/>
              <w:keepLines/>
              <w:spacing w:before="40"/>
              <w:jc w:val="center"/>
              <w:rPr>
                <w:sz w:val="22"/>
                <w:szCs w:val="22"/>
              </w:rPr>
            </w:pPr>
            <w:r w:rsidRPr="004A7442">
              <w:rPr>
                <w:rFonts w:cs="Arial"/>
                <w:color w:val="FF0000"/>
                <w:sz w:val="22"/>
                <w:szCs w:val="22"/>
              </w:rPr>
              <w:sym w:font="Wingdings" w:char="F06C"/>
            </w:r>
            <w:r w:rsidRPr="004A7442">
              <w:rPr>
                <w:rFonts w:cs="Arial"/>
                <w:color w:val="FF0000"/>
                <w:sz w:val="22"/>
                <w:szCs w:val="22"/>
              </w:rPr>
              <w:sym w:font="Wingdings" w:char="F06C"/>
            </w:r>
            <w:r w:rsidRPr="004A7442">
              <w:rPr>
                <w:rFonts w:cs="Arial"/>
                <w:color w:val="008000"/>
                <w:sz w:val="22"/>
                <w:szCs w:val="22"/>
              </w:rPr>
              <w:sym w:font="Wingdings" w:char="F06C"/>
            </w:r>
            <w:r w:rsidRPr="004A7442">
              <w:rPr>
                <w:rFonts w:cs="Arial"/>
                <w:color w:val="FF0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solicitudes de países en desarrollo y PMA y designaciones de esos países.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FF0000"/>
                <w:sz w:val="22"/>
                <w:szCs w:val="22"/>
              </w:rPr>
              <w:sym w:font="Wingdings" w:char="F06C"/>
            </w:r>
          </w:p>
        </w:tc>
      </w:tr>
      <w:tr w:rsidR="00C14248" w:rsidRPr="00A34388" w:rsidTr="00DA1567">
        <w:tc>
          <w:tcPr>
            <w:tcW w:w="3224" w:type="dxa"/>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solicitudes irregulares.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FF0000"/>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Mejor administración del Sistema de La Haya.</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Predominio del Acta de Ginebra en la totalidad del sistema.</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sz w:val="22"/>
                <w:szCs w:val="22"/>
              </w:rPr>
            </w:pPr>
            <w:r w:rsidRPr="004A7442">
              <w:rPr>
                <w:rFonts w:cs="Arial"/>
                <w:color w:val="E36C0A" w:themeColor="accent6" w:themeShade="BF"/>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Tiempo transcurrido hasta la publicación para las solicitudes regulares de publicación no diferida. </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Número de procedimientos totalmente automatizados.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672EC3">
        <w:tc>
          <w:tcPr>
            <w:tcW w:w="3224" w:type="dxa"/>
            <w:vMerge/>
            <w:shd w:val="clear" w:color="auto" w:fill="auto"/>
            <w:tcMar>
              <w:top w:w="113" w:type="dxa"/>
            </w:tcMar>
          </w:tcPr>
          <w:p w:rsidR="00C14248" w:rsidRPr="00414A1F" w:rsidRDefault="00C14248" w:rsidP="00DA1567">
            <w:pPr>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Porcentaje de peticiones presentadas mediante interfaces electrónicas.</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Borders>
              <w:bottom w:val="nil"/>
            </w:tcBorders>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672EC3">
        <w:tc>
          <w:tcPr>
            <w:tcW w:w="3224" w:type="dxa"/>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Porcentaje de usuarios satisfechos con los servicios prestados por la Oficina Internacional. </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31</w:t>
            </w:r>
          </w:p>
        </w:tc>
        <w:tc>
          <w:tcPr>
            <w:tcW w:w="1342" w:type="dxa"/>
            <w:tcBorders>
              <w:top w:val="nil"/>
              <w:bottom w:val="nil"/>
            </w:tcBorders>
            <w:shd w:val="clear" w:color="auto" w:fill="auto"/>
          </w:tcPr>
          <w:p w:rsidR="00C14248" w:rsidRPr="00672EC3" w:rsidRDefault="00672EC3" w:rsidP="00DA1567">
            <w:pPr>
              <w:jc w:val="center"/>
              <w:rPr>
                <w:sz w:val="22"/>
                <w:szCs w:val="22"/>
              </w:rPr>
            </w:pPr>
            <w:r w:rsidRPr="00672EC3">
              <w:rPr>
                <w:rFonts w:cs="Arial"/>
                <w:color w:val="A6A6A6" w:themeColor="background1" w:themeShade="A6"/>
                <w:sz w:val="22"/>
                <w:szCs w:val="22"/>
              </w:rPr>
              <w:sym w:font="Wingdings" w:char="F06C"/>
            </w:r>
          </w:p>
        </w:tc>
      </w:tr>
      <w:tr w:rsidR="00C14248" w:rsidRPr="00A34388" w:rsidTr="00ED3F13">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Las controversias nacionales e internacionales en materia de P.I. se evitan o resuelven cada vez con más frecuencia mediante procedimientos de mediación, arbitraje y demás métodos extrajudiciales.</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Cada vez más se considera la posibilidad de utilizar servicios extrajudiciales de solución de controversias en las transacciones sobre P.I., entre otras cosas, valiéndose de los procedimientos de la OMPI.</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Borders>
              <w:top w:val="nil"/>
            </w:tcBorders>
          </w:tcPr>
          <w:p w:rsidR="00C14248" w:rsidRPr="004A7442" w:rsidRDefault="00C14248" w:rsidP="00DA1567">
            <w:pPr>
              <w:spacing w:before="40"/>
              <w:jc w:val="center"/>
              <w:rPr>
                <w:sz w:val="22"/>
                <w:szCs w:val="22"/>
              </w:rPr>
            </w:pPr>
            <w:r w:rsidRPr="004A7442">
              <w:rPr>
                <w:rFonts w:cs="Arial"/>
                <w:color w:val="008000"/>
                <w:sz w:val="22"/>
                <w:szCs w:val="22"/>
              </w:rPr>
              <w:sym w:font="Wingdings" w:char="F06C"/>
            </w:r>
            <w:r w:rsidRPr="004A7442">
              <w:rPr>
                <w:rFonts w:cs="Arial"/>
                <w:color w:val="008000"/>
                <w:sz w:val="22"/>
                <w:szCs w:val="22"/>
              </w:rPr>
              <w:sym w:font="Wingdings" w:char="F06C"/>
            </w:r>
            <w:r w:rsidRPr="004A7442">
              <w:rPr>
                <w:rFonts w:cs="Arial"/>
                <w:color w:val="008000"/>
                <w:sz w:val="22"/>
                <w:szCs w:val="22"/>
              </w:rPr>
              <w:sym w:font="Wingdings" w:char="F06C"/>
            </w:r>
            <w:r w:rsidRPr="004A7442">
              <w:rPr>
                <w:rFonts w:cs="Arial"/>
                <w:color w:val="FF0000"/>
                <w:sz w:val="22"/>
                <w:szCs w:val="22"/>
              </w:rPr>
              <w:sym w:font="Wingdings" w:char="F06C"/>
            </w:r>
            <w:r w:rsidRPr="004A7442">
              <w:rPr>
                <w:rFonts w:cs="Arial"/>
                <w:color w:val="E36C0A" w:themeColor="accent6" w:themeShade="BF"/>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Políticas de solución extrajudicial de controversias a cuyo desarrollo y aplicación ha contribuido el Centro de Arbitraje y Mediación de la OMPI.</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val="restart"/>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Protección eficaz de la propiedad intelectual en los </w:t>
            </w:r>
            <w:proofErr w:type="spellStart"/>
            <w:r w:rsidRPr="00414A1F">
              <w:rPr>
                <w:rFonts w:cs="Arial"/>
                <w:sz w:val="14"/>
                <w:szCs w:val="14"/>
                <w:lang w:val="es-ES_tradnl"/>
              </w:rPr>
              <w:t>gTLD</w:t>
            </w:r>
            <w:proofErr w:type="spellEnd"/>
            <w:r w:rsidRPr="00414A1F">
              <w:rPr>
                <w:rFonts w:cs="Arial"/>
                <w:sz w:val="14"/>
                <w:szCs w:val="14"/>
                <w:lang w:val="es-ES_tradnl"/>
              </w:rPr>
              <w:t xml:space="preserve"> y los </w:t>
            </w:r>
            <w:proofErr w:type="spellStart"/>
            <w:r w:rsidRPr="00414A1F">
              <w:rPr>
                <w:rFonts w:cs="Arial"/>
                <w:sz w:val="14"/>
                <w:szCs w:val="14"/>
                <w:lang w:val="es-ES_tradnl"/>
              </w:rPr>
              <w:t>ccTLD</w:t>
            </w:r>
            <w:proofErr w:type="spellEnd"/>
            <w:r w:rsidRPr="00414A1F">
              <w:rPr>
                <w:rFonts w:cs="Arial"/>
                <w:sz w:val="14"/>
                <w:szCs w:val="14"/>
                <w:lang w:val="es-ES_tradnl"/>
              </w:rPr>
              <w:t>.</w:t>
            </w: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procedimientos relativos a los </w:t>
            </w:r>
            <w:proofErr w:type="spellStart"/>
            <w:r w:rsidRPr="00414A1F">
              <w:rPr>
                <w:rFonts w:cs="Arial"/>
                <w:sz w:val="14"/>
                <w:szCs w:val="14"/>
                <w:lang w:val="es-ES_tradnl"/>
              </w:rPr>
              <w:t>gTLD</w:t>
            </w:r>
            <w:proofErr w:type="spellEnd"/>
            <w:r w:rsidRPr="00414A1F">
              <w:rPr>
                <w:rFonts w:cs="Arial"/>
                <w:sz w:val="14"/>
                <w:szCs w:val="14"/>
                <w:lang w:val="es-ES_tradnl"/>
              </w:rPr>
              <w:t xml:space="preserve"> administrados en virtud de la Política Uniforme.</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procedimientos relativos a los </w:t>
            </w:r>
            <w:proofErr w:type="spellStart"/>
            <w:r w:rsidRPr="00414A1F">
              <w:rPr>
                <w:rFonts w:cs="Arial"/>
                <w:sz w:val="14"/>
                <w:szCs w:val="14"/>
                <w:lang w:val="es-ES_tradnl"/>
              </w:rPr>
              <w:t>ccTLD</w:t>
            </w:r>
            <w:proofErr w:type="spellEnd"/>
            <w:r w:rsidRPr="00414A1F">
              <w:rPr>
                <w:rFonts w:cs="Arial"/>
                <w:sz w:val="14"/>
                <w:szCs w:val="14"/>
                <w:lang w:val="es-ES_tradnl"/>
              </w:rPr>
              <w:t xml:space="preserve"> administrados en virtud de la Política Uniforme.</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Políticas de solución de controversias en el sistema de nombres de dominio a cuyo desarrollo y aplicación ha contribuido el Centro de Arbitraje y Mediación de la OMPI.</w:t>
            </w: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color w:val="008000"/>
                <w:sz w:val="22"/>
                <w:szCs w:val="22"/>
              </w:rPr>
            </w:pPr>
            <w:r w:rsidRPr="004A7442">
              <w:rPr>
                <w:rFonts w:cs="Arial"/>
                <w:color w:val="008000"/>
                <w:sz w:val="22"/>
                <w:szCs w:val="22"/>
              </w:rPr>
              <w:sym w:font="Wingdings" w:char="F06C"/>
            </w:r>
          </w:p>
        </w:tc>
      </w:tr>
      <w:tr w:rsidR="00C14248" w:rsidRPr="00A34388" w:rsidTr="00DA1567">
        <w:tc>
          <w:tcPr>
            <w:tcW w:w="3224" w:type="dxa"/>
            <w:vMerge/>
            <w:shd w:val="clear" w:color="auto" w:fill="auto"/>
            <w:tcMar>
              <w:top w:w="113" w:type="dxa"/>
            </w:tcMar>
          </w:tcPr>
          <w:p w:rsidR="00C14248" w:rsidRPr="00414A1F" w:rsidRDefault="00C14248" w:rsidP="00DA1567">
            <w:pPr>
              <w:spacing w:before="80"/>
              <w:ind w:firstLine="140"/>
              <w:rPr>
                <w:rFonts w:cs="Arial"/>
                <w:sz w:val="14"/>
                <w:szCs w:val="14"/>
                <w:lang w:val="es-ES_tradnl"/>
              </w:rPr>
            </w:pPr>
          </w:p>
        </w:tc>
        <w:tc>
          <w:tcPr>
            <w:tcW w:w="3435" w:type="dxa"/>
            <w:shd w:val="clear" w:color="auto" w:fill="auto"/>
            <w:tcMar>
              <w:top w:w="113" w:type="dxa"/>
            </w:tcMar>
          </w:tcPr>
          <w:p w:rsidR="00C14248" w:rsidRPr="00414A1F" w:rsidRDefault="00C14248" w:rsidP="00DA1567">
            <w:pPr>
              <w:spacing w:before="60"/>
              <w:rPr>
                <w:rFonts w:cs="Arial"/>
                <w:sz w:val="14"/>
                <w:szCs w:val="14"/>
                <w:lang w:val="es-ES_tradnl"/>
              </w:rPr>
            </w:pPr>
            <w:r w:rsidRPr="00414A1F">
              <w:rPr>
                <w:rFonts w:cs="Arial"/>
                <w:sz w:val="14"/>
                <w:szCs w:val="14"/>
                <w:lang w:val="es-ES_tradnl"/>
              </w:rPr>
              <w:t xml:space="preserve">Número de administradores de </w:t>
            </w:r>
            <w:proofErr w:type="spellStart"/>
            <w:r w:rsidRPr="00414A1F">
              <w:rPr>
                <w:rFonts w:cs="Arial"/>
                <w:sz w:val="14"/>
                <w:szCs w:val="14"/>
                <w:lang w:val="es-ES_tradnl"/>
              </w:rPr>
              <w:t>ccTLD</w:t>
            </w:r>
            <w:proofErr w:type="spellEnd"/>
            <w:r w:rsidRPr="00414A1F">
              <w:rPr>
                <w:rFonts w:cs="Arial"/>
                <w:sz w:val="14"/>
                <w:szCs w:val="14"/>
                <w:lang w:val="es-ES_tradnl"/>
              </w:rPr>
              <w:t xml:space="preserve"> que disponen de mecanismos de protección de P.I. concebidos o administrados por la OMPI de conformidad con las normas internacionales.</w:t>
            </w:r>
          </w:p>
          <w:p w:rsidR="00C14248" w:rsidRPr="00414A1F" w:rsidRDefault="00C14248" w:rsidP="00DA1567">
            <w:pPr>
              <w:spacing w:before="60"/>
              <w:rPr>
                <w:rFonts w:cs="Arial"/>
                <w:sz w:val="14"/>
                <w:szCs w:val="14"/>
                <w:lang w:val="es-ES_tradnl"/>
              </w:rPr>
            </w:pPr>
          </w:p>
        </w:tc>
        <w:tc>
          <w:tcPr>
            <w:tcW w:w="1365" w:type="dxa"/>
            <w:shd w:val="clear" w:color="auto" w:fill="auto"/>
            <w:tcMar>
              <w:top w:w="113" w:type="dxa"/>
            </w:tcMar>
          </w:tcPr>
          <w:p w:rsidR="00C14248" w:rsidRPr="00414A1F" w:rsidRDefault="00C14248" w:rsidP="00DA1567">
            <w:pPr>
              <w:spacing w:before="80"/>
              <w:jc w:val="center"/>
              <w:rPr>
                <w:rFonts w:cs="Arial"/>
                <w:sz w:val="14"/>
                <w:szCs w:val="14"/>
                <w:lang w:val="es-ES_tradnl"/>
              </w:rPr>
            </w:pPr>
            <w:r w:rsidRPr="00414A1F">
              <w:rPr>
                <w:rFonts w:cs="Arial"/>
                <w:sz w:val="14"/>
                <w:szCs w:val="14"/>
                <w:lang w:val="es-ES_tradnl"/>
              </w:rPr>
              <w:t>Programa 7</w:t>
            </w:r>
          </w:p>
        </w:tc>
        <w:tc>
          <w:tcPr>
            <w:tcW w:w="1342" w:type="dxa"/>
          </w:tcPr>
          <w:p w:rsidR="00C14248" w:rsidRPr="004A7442" w:rsidRDefault="00C14248" w:rsidP="00DA1567">
            <w:pPr>
              <w:jc w:val="center"/>
              <w:rPr>
                <w:rFonts w:cs="Arial"/>
                <w:color w:val="008000"/>
                <w:sz w:val="22"/>
                <w:szCs w:val="22"/>
              </w:rPr>
            </w:pPr>
            <w:r w:rsidRPr="004A7442">
              <w:rPr>
                <w:rFonts w:cs="Arial"/>
                <w:color w:val="008000"/>
                <w:sz w:val="22"/>
                <w:szCs w:val="22"/>
              </w:rPr>
              <w:sym w:font="Wingdings" w:char="F06C"/>
            </w:r>
          </w:p>
        </w:tc>
      </w:tr>
    </w:tbl>
    <w:p w:rsidR="006277CA" w:rsidRPr="00E36A30" w:rsidRDefault="006277CA" w:rsidP="006277CA">
      <w:pPr>
        <w:jc w:val="both"/>
        <w:rPr>
          <w:lang w:val="es-ES_tradnl"/>
        </w:rPr>
      </w:pPr>
    </w:p>
    <w:p w:rsidR="006277CA" w:rsidRPr="00E36A30" w:rsidRDefault="006277CA" w:rsidP="006277CA">
      <w:pPr>
        <w:jc w:val="both"/>
        <w:rPr>
          <w:lang w:val="es-ES_tradnl"/>
        </w:rPr>
      </w:pPr>
      <w:r w:rsidRPr="00E36A30">
        <w:rPr>
          <w:lang w:val="es-ES_tradnl"/>
        </w:rPr>
        <w:t>Durante el bienio 2012/13 se produjo un crecimiento considerable de los sistemas de registro internacional, a pesar de la persistencia de la fragilidad económica a nivel mundial.  La Organización logró prestar servicios de calidad y mejorar la experiencia de los clientes, al tiempo que se incrementó la productividad a través de iniciativas bien diseñadas en materia de tecnologías de la información y las comunicaciones (TIC).</w:t>
      </w:r>
    </w:p>
    <w:p w:rsidR="006277CA" w:rsidRPr="00E36A30" w:rsidRDefault="006277CA" w:rsidP="006277CA">
      <w:pPr>
        <w:jc w:val="both"/>
        <w:rPr>
          <w:lang w:val="es-ES_tradnl"/>
        </w:rPr>
      </w:pPr>
    </w:p>
    <w:p w:rsidR="006277CA" w:rsidRPr="00E36A30" w:rsidRDefault="006277CA" w:rsidP="006277CA">
      <w:pPr>
        <w:shd w:val="clear" w:color="auto" w:fill="FFFFFF"/>
        <w:jc w:val="both"/>
        <w:rPr>
          <w:lang w:val="es-ES_tradnl"/>
        </w:rPr>
      </w:pPr>
      <w:r w:rsidRPr="00E36A30">
        <w:rPr>
          <w:lang w:val="es-ES_tradnl"/>
        </w:rPr>
        <w:t>Las solicitudes internacionales de patente presentadas en virtud del Tratado de Cooperación en materia de Patentes (PCT) registraron un</w:t>
      </w:r>
      <w:r w:rsidR="00AD3592" w:rsidRPr="00E36A30">
        <w:rPr>
          <w:lang w:val="es-ES_tradnl"/>
        </w:rPr>
        <w:t xml:space="preserve"> gran aumento</w:t>
      </w:r>
      <w:r w:rsidRPr="00E36A30">
        <w:rPr>
          <w:lang w:val="es-ES_tradnl"/>
        </w:rPr>
        <w:t xml:space="preserve"> tanto en 2012 como en 2013.  </w:t>
      </w:r>
      <w:r w:rsidR="008570AF" w:rsidRPr="00E36A30">
        <w:rPr>
          <w:lang w:val="es-ES_tradnl"/>
        </w:rPr>
        <w:t>Con un total de 205.300</w:t>
      </w:r>
      <w:r w:rsidR="0026129A" w:rsidRPr="00E36A30">
        <w:rPr>
          <w:lang w:val="es-ES_tradnl"/>
        </w:rPr>
        <w:t xml:space="preserve">, </w:t>
      </w:r>
      <w:r w:rsidR="003F5639" w:rsidRPr="00E36A30">
        <w:rPr>
          <w:lang w:val="es-ES_tradnl"/>
        </w:rPr>
        <w:t xml:space="preserve">el número de solicitudes internacionales de patente presentadas en 2013 </w:t>
      </w:r>
      <w:r w:rsidR="0015222C" w:rsidRPr="00E36A30">
        <w:rPr>
          <w:lang w:val="es-ES_tradnl"/>
        </w:rPr>
        <w:t xml:space="preserve">se situó </w:t>
      </w:r>
      <w:r w:rsidR="003F5639" w:rsidRPr="00E36A30">
        <w:rPr>
          <w:lang w:val="es-ES_tradnl"/>
        </w:rPr>
        <w:t xml:space="preserve">por vez primera </w:t>
      </w:r>
      <w:r w:rsidR="0015222C" w:rsidRPr="00E36A30">
        <w:rPr>
          <w:lang w:val="es-ES_tradnl"/>
        </w:rPr>
        <w:t xml:space="preserve">por encima de las </w:t>
      </w:r>
      <w:r w:rsidR="003F5639" w:rsidRPr="00E36A30">
        <w:rPr>
          <w:lang w:val="es-ES_tradnl"/>
        </w:rPr>
        <w:t>doscientas mil</w:t>
      </w:r>
      <w:r w:rsidR="00F34B17" w:rsidRPr="00E36A30">
        <w:rPr>
          <w:lang w:val="es-ES_tradnl"/>
        </w:rPr>
        <w:t xml:space="preserve">, </w:t>
      </w:r>
      <w:r w:rsidR="0026129A" w:rsidRPr="00E36A30">
        <w:rPr>
          <w:lang w:val="es-ES_tradnl"/>
        </w:rPr>
        <w:t xml:space="preserve">lo que </w:t>
      </w:r>
      <w:r w:rsidR="007E5CF8" w:rsidRPr="00E36A30">
        <w:rPr>
          <w:lang w:val="es-ES_tradnl"/>
        </w:rPr>
        <w:t xml:space="preserve">representa </w:t>
      </w:r>
      <w:r w:rsidR="001C3A70" w:rsidRPr="00E36A30">
        <w:rPr>
          <w:lang w:val="es-ES_tradnl"/>
        </w:rPr>
        <w:t xml:space="preserve">un </w:t>
      </w:r>
      <w:r w:rsidR="0026129A" w:rsidRPr="00E36A30">
        <w:rPr>
          <w:lang w:val="es-ES_tradnl"/>
        </w:rPr>
        <w:t xml:space="preserve">incremento del 5,1% respecto de 2012 y </w:t>
      </w:r>
      <w:r w:rsidR="001C3A70" w:rsidRPr="00E36A30">
        <w:rPr>
          <w:lang w:val="es-ES_tradnl"/>
        </w:rPr>
        <w:t xml:space="preserve">del 12,5% respecto de </w:t>
      </w:r>
      <w:r w:rsidR="0026129A" w:rsidRPr="00E36A30">
        <w:rPr>
          <w:lang w:val="es-ES_tradnl"/>
        </w:rPr>
        <w:t>2011</w:t>
      </w:r>
      <w:r w:rsidRPr="00E36A30">
        <w:rPr>
          <w:lang w:val="es-ES_tradnl"/>
        </w:rPr>
        <w:t xml:space="preserve">. </w:t>
      </w:r>
      <w:r w:rsidR="0015222C" w:rsidRPr="00E36A30">
        <w:rPr>
          <w:lang w:val="es-ES_tradnl"/>
        </w:rPr>
        <w:t xml:space="preserve"> </w:t>
      </w:r>
      <w:r w:rsidRPr="00E36A30">
        <w:rPr>
          <w:lang w:val="es-ES_tradnl"/>
        </w:rPr>
        <w:t xml:space="preserve">Además, se produjo un incremento del porcentaje de solicitudes procedentes de países de ingresos medianos y bajos, especialmente significativo en el caso de China, que se convirtió en el tercer mayor usuario del PCT en 2013.  </w:t>
      </w:r>
    </w:p>
    <w:p w:rsidR="006277CA" w:rsidRPr="00E36A30" w:rsidRDefault="006277CA" w:rsidP="006277CA">
      <w:pPr>
        <w:shd w:val="clear" w:color="auto" w:fill="FFFFFF"/>
        <w:jc w:val="both"/>
        <w:rPr>
          <w:lang w:val="es-ES_tradnl"/>
        </w:rPr>
      </w:pPr>
    </w:p>
    <w:p w:rsidR="006277CA" w:rsidRPr="00E36A30" w:rsidRDefault="006277CA" w:rsidP="006277CA">
      <w:pPr>
        <w:shd w:val="clear" w:color="auto" w:fill="FFFFFF"/>
        <w:jc w:val="both"/>
        <w:rPr>
          <w:lang w:val="es-ES_tradnl"/>
        </w:rPr>
      </w:pPr>
      <w:r w:rsidRPr="00E36A30">
        <w:rPr>
          <w:lang w:val="es-ES_tradnl"/>
        </w:rPr>
        <w:t>En 2010, el Grupo de Trabajo del PCT respaldó las recomendaciones para mejorar el PCT (“la hoja de ruta del PCT”).  Se ha conseguido avanzar de forma significativa en los aspectos siguientes: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w:t>
      </w:r>
    </w:p>
    <w:p w:rsidR="006277CA" w:rsidRPr="00E36A30" w:rsidRDefault="006277CA" w:rsidP="006277CA">
      <w:pPr>
        <w:jc w:val="both"/>
        <w:rPr>
          <w:lang w:val="es-ES_tradnl"/>
        </w:rPr>
      </w:pPr>
    </w:p>
    <w:p w:rsidR="006277CA" w:rsidRPr="00E36A30" w:rsidRDefault="006277CA" w:rsidP="006277CA">
      <w:pPr>
        <w:jc w:val="both"/>
        <w:rPr>
          <w:bCs/>
          <w:szCs w:val="22"/>
          <w:lang w:val="es-ES_tradnl"/>
        </w:rPr>
      </w:pPr>
      <w:r w:rsidRPr="00E36A30">
        <w:rPr>
          <w:lang w:val="es-ES_tradnl"/>
        </w:rPr>
        <w:t xml:space="preserve">El sistema de Madrid </w:t>
      </w:r>
      <w:r w:rsidR="00135910" w:rsidRPr="00E36A30">
        <w:rPr>
          <w:lang w:val="es-ES_tradnl"/>
        </w:rPr>
        <w:t xml:space="preserve">continuó </w:t>
      </w:r>
      <w:r w:rsidRPr="00E36A30">
        <w:rPr>
          <w:lang w:val="es-ES_tradnl"/>
        </w:rPr>
        <w:t>creciendo en el bienio 2012/13 en términos de presentaciones de solicitudes internacionales, designaciones posteriores y renovacione</w:t>
      </w:r>
      <w:r w:rsidR="003F11A0" w:rsidRPr="00E36A30">
        <w:rPr>
          <w:lang w:val="es-ES_tradnl"/>
        </w:rPr>
        <w:t>s.  La OMPI recibió un total de </w:t>
      </w:r>
      <w:r w:rsidRPr="00E36A30">
        <w:rPr>
          <w:lang w:val="es-ES_tradnl"/>
        </w:rPr>
        <w:t xml:space="preserve">44.018 y 46.829 solicitudes internacionales en 2012 y 2013, respectivamente, </w:t>
      </w:r>
      <w:r w:rsidR="004118C0" w:rsidRPr="00E36A30">
        <w:rPr>
          <w:lang w:val="es-ES_tradnl"/>
        </w:rPr>
        <w:t xml:space="preserve">lo que supone </w:t>
      </w:r>
      <w:r w:rsidR="00A1435B" w:rsidRPr="00E36A30">
        <w:rPr>
          <w:lang w:val="es-ES_tradnl"/>
        </w:rPr>
        <w:t xml:space="preserve">sendos </w:t>
      </w:r>
      <w:r w:rsidRPr="00E36A30">
        <w:rPr>
          <w:lang w:val="es-ES_tradnl"/>
        </w:rPr>
        <w:t xml:space="preserve">incrementos </w:t>
      </w:r>
      <w:r w:rsidR="00CD5978" w:rsidRPr="00E36A30">
        <w:rPr>
          <w:lang w:val="es-ES_tradnl"/>
        </w:rPr>
        <w:t xml:space="preserve">interanuales </w:t>
      </w:r>
      <w:r w:rsidRPr="00E36A30">
        <w:rPr>
          <w:lang w:val="es-ES_tradnl"/>
        </w:rPr>
        <w:t>de</w:t>
      </w:r>
      <w:r w:rsidR="00A1435B" w:rsidRPr="00E36A30">
        <w:rPr>
          <w:lang w:val="es-ES_tradnl"/>
        </w:rPr>
        <w:t>l</w:t>
      </w:r>
      <w:r w:rsidRPr="00E36A30">
        <w:rPr>
          <w:lang w:val="es-ES_tradnl"/>
        </w:rPr>
        <w:t xml:space="preserve"> 4,1</w:t>
      </w:r>
      <w:r w:rsidR="004118C0" w:rsidRPr="00E36A30">
        <w:rPr>
          <w:lang w:val="es-ES_tradnl"/>
        </w:rPr>
        <w:t>%</w:t>
      </w:r>
      <w:r w:rsidRPr="00E36A30">
        <w:rPr>
          <w:lang w:val="es-ES_tradnl"/>
        </w:rPr>
        <w:t xml:space="preserve"> y 6,4</w:t>
      </w:r>
      <w:r w:rsidR="00392DEF" w:rsidRPr="00E36A30">
        <w:rPr>
          <w:lang w:val="es-ES_tradnl"/>
        </w:rPr>
        <w:t>%</w:t>
      </w:r>
      <w:r w:rsidRPr="00E36A30">
        <w:rPr>
          <w:lang w:val="es-ES_tradnl"/>
        </w:rPr>
        <w:t xml:space="preserve">.  La Oficina Internacional </w:t>
      </w:r>
      <w:r w:rsidR="006C30F5" w:rsidRPr="00E36A30">
        <w:rPr>
          <w:lang w:val="es-ES_tradnl"/>
        </w:rPr>
        <w:t>inscribió</w:t>
      </w:r>
      <w:r w:rsidR="003F11A0" w:rsidRPr="00E36A30">
        <w:rPr>
          <w:lang w:val="es-ES_tradnl"/>
        </w:rPr>
        <w:t xml:space="preserve"> en 2012 y 2013 un total de </w:t>
      </w:r>
      <w:r w:rsidRPr="00E36A30">
        <w:rPr>
          <w:lang w:val="es-ES_tradnl"/>
        </w:rPr>
        <w:t>41.954 y 44.414</w:t>
      </w:r>
      <w:r w:rsidR="006C30F5" w:rsidRPr="00E36A30">
        <w:rPr>
          <w:lang w:val="es-ES_tradnl"/>
        </w:rPr>
        <w:t xml:space="preserve"> registros internacionales</w:t>
      </w:r>
      <w:r w:rsidR="004118C0" w:rsidRPr="00E36A30">
        <w:rPr>
          <w:lang w:val="es-ES_tradnl"/>
        </w:rPr>
        <w:t>,</w:t>
      </w:r>
      <w:r w:rsidRPr="00E36A30">
        <w:rPr>
          <w:lang w:val="es-ES_tradnl"/>
        </w:rPr>
        <w:t xml:space="preserve"> respectivamente;  ello </w:t>
      </w:r>
      <w:r w:rsidR="00135910" w:rsidRPr="00E36A30">
        <w:rPr>
          <w:lang w:val="es-ES_tradnl"/>
        </w:rPr>
        <w:t xml:space="preserve">refleja </w:t>
      </w:r>
      <w:r w:rsidRPr="00E36A30">
        <w:rPr>
          <w:lang w:val="es-ES_tradnl"/>
        </w:rPr>
        <w:t xml:space="preserve">un aumento </w:t>
      </w:r>
      <w:r w:rsidR="004118C0" w:rsidRPr="00E36A30">
        <w:rPr>
          <w:lang w:val="es-ES_tradnl"/>
        </w:rPr>
        <w:t xml:space="preserve">en 2013 </w:t>
      </w:r>
      <w:r w:rsidRPr="00E36A30">
        <w:rPr>
          <w:lang w:val="es-ES_tradnl"/>
        </w:rPr>
        <w:t>del 5,9</w:t>
      </w:r>
      <w:r w:rsidR="00392DEF" w:rsidRPr="00E36A30">
        <w:rPr>
          <w:lang w:val="es-ES_tradnl"/>
        </w:rPr>
        <w:t>%</w:t>
      </w:r>
      <w:r w:rsidR="0015222C" w:rsidRPr="00E36A30">
        <w:rPr>
          <w:lang w:val="es-ES_tradnl"/>
        </w:rPr>
        <w:t xml:space="preserve"> con respecto a 2012</w:t>
      </w:r>
      <w:r w:rsidRPr="00E36A30">
        <w:rPr>
          <w:lang w:val="es-ES_tradnl"/>
        </w:rPr>
        <w:t xml:space="preserve">.  El número total de </w:t>
      </w:r>
      <w:r w:rsidR="006C30F5" w:rsidRPr="00E36A30">
        <w:rPr>
          <w:lang w:val="es-ES_tradnl"/>
        </w:rPr>
        <w:t>peticiones</w:t>
      </w:r>
      <w:r w:rsidRPr="00E36A30">
        <w:rPr>
          <w:lang w:val="es-ES_tradnl"/>
        </w:rPr>
        <w:t xml:space="preserve"> recibidas por la Oficina Internacional, tales como modificaciones, decisiones de las oficinas de las Partes contratantes y renovaciones, aumentó un </w:t>
      </w:r>
      <w:r w:rsidR="005E41E4" w:rsidRPr="00E36A30">
        <w:rPr>
          <w:lang w:val="es-ES_tradnl"/>
        </w:rPr>
        <w:t>4,5</w:t>
      </w:r>
      <w:r w:rsidRPr="00E36A30">
        <w:rPr>
          <w:lang w:val="es-ES_tradnl"/>
        </w:rPr>
        <w:t>% en 201</w:t>
      </w:r>
      <w:r w:rsidR="005E41E4" w:rsidRPr="00E36A30">
        <w:rPr>
          <w:lang w:val="es-ES_tradnl"/>
        </w:rPr>
        <w:t>3 (456,877 peticiones) en comparación con 2012 (437,082 peticiones)</w:t>
      </w:r>
      <w:r w:rsidRPr="00E36A30">
        <w:rPr>
          <w:lang w:val="es-ES_tradnl"/>
        </w:rPr>
        <w:t>.</w:t>
      </w:r>
      <w:r w:rsidRPr="00E36A30">
        <w:rPr>
          <w:szCs w:val="22"/>
          <w:lang w:val="es-ES_tradnl"/>
        </w:rPr>
        <w:t xml:space="preserve">  Del total de las solicitudes recibidas en </w:t>
      </w:r>
      <w:r w:rsidRPr="00E36A30">
        <w:rPr>
          <w:lang w:val="es-ES_tradnl"/>
        </w:rPr>
        <w:t>2012 y 2013, un 7</w:t>
      </w:r>
      <w:r w:rsidR="004118C0" w:rsidRPr="00E36A30">
        <w:rPr>
          <w:lang w:val="es-ES_tradnl"/>
        </w:rPr>
        <w:t>%</w:t>
      </w:r>
      <w:r w:rsidRPr="00E36A30">
        <w:rPr>
          <w:lang w:val="es-ES_tradnl"/>
        </w:rPr>
        <w:t xml:space="preserve"> y un 6,8</w:t>
      </w:r>
      <w:r w:rsidR="00392DEF" w:rsidRPr="00E36A30">
        <w:rPr>
          <w:lang w:val="es-ES_tradnl"/>
        </w:rPr>
        <w:t>%</w:t>
      </w:r>
      <w:r w:rsidR="004118C0" w:rsidRPr="00E36A30">
        <w:rPr>
          <w:lang w:val="es-ES_tradnl"/>
        </w:rPr>
        <w:t>, respectivamente, provienen</w:t>
      </w:r>
      <w:r w:rsidRPr="00E36A30">
        <w:rPr>
          <w:lang w:val="es-ES_tradnl"/>
        </w:rPr>
        <w:t xml:space="preserve"> de países en desarrollo y de PMA.  Al </w:t>
      </w:r>
      <w:r w:rsidR="0026129A" w:rsidRPr="00E36A30">
        <w:rPr>
          <w:lang w:val="es-ES_tradnl"/>
        </w:rPr>
        <w:t xml:space="preserve">término </w:t>
      </w:r>
      <w:r w:rsidRPr="00E36A30">
        <w:rPr>
          <w:lang w:val="es-ES_tradnl"/>
        </w:rPr>
        <w:t xml:space="preserve">del bienio 2012/13, el número de miembros del </w:t>
      </w:r>
      <w:r w:rsidR="00001EB4" w:rsidRPr="00E36A30">
        <w:rPr>
          <w:lang w:val="es-ES_tradnl"/>
        </w:rPr>
        <w:t>p</w:t>
      </w:r>
      <w:r w:rsidRPr="00E36A30">
        <w:rPr>
          <w:lang w:val="es-ES_tradnl"/>
        </w:rPr>
        <w:t xml:space="preserve">rotocolo de Madrid y del </w:t>
      </w:r>
      <w:r w:rsidR="00001EB4" w:rsidRPr="00E36A30">
        <w:rPr>
          <w:lang w:val="es-ES_tradnl"/>
        </w:rPr>
        <w:t>s</w:t>
      </w:r>
      <w:r w:rsidRPr="00E36A30">
        <w:rPr>
          <w:lang w:val="es-ES_tradnl"/>
        </w:rPr>
        <w:t xml:space="preserve">istema de Madrid </w:t>
      </w:r>
      <w:r w:rsidR="0026129A" w:rsidRPr="00E36A30">
        <w:rPr>
          <w:lang w:val="es-ES_tradnl"/>
        </w:rPr>
        <w:t>se situó</w:t>
      </w:r>
      <w:r w:rsidRPr="00E36A30">
        <w:rPr>
          <w:lang w:val="es-ES_tradnl"/>
        </w:rPr>
        <w:t xml:space="preserve">, respectivamente, </w:t>
      </w:r>
      <w:r w:rsidR="0026129A" w:rsidRPr="00E36A30">
        <w:rPr>
          <w:lang w:val="es-ES_tradnl"/>
        </w:rPr>
        <w:t xml:space="preserve">en </w:t>
      </w:r>
      <w:r w:rsidRPr="00E36A30">
        <w:rPr>
          <w:lang w:val="es-ES_tradnl"/>
        </w:rPr>
        <w:t xml:space="preserve">91 y 92, </w:t>
      </w:r>
      <w:r w:rsidR="00001EB4" w:rsidRPr="00E36A30">
        <w:rPr>
          <w:lang w:val="es-ES_tradnl"/>
        </w:rPr>
        <w:t>tras las adhesiones de</w:t>
      </w:r>
      <w:r w:rsidRPr="00E36A30">
        <w:rPr>
          <w:lang w:val="es-ES_tradnl"/>
        </w:rPr>
        <w:t xml:space="preserve"> Colombia, la India, México, Nueva Zelandia, Filipinas, </w:t>
      </w:r>
      <w:proofErr w:type="spellStart"/>
      <w:r w:rsidRPr="00E36A30">
        <w:rPr>
          <w:lang w:val="es-ES_tradnl"/>
        </w:rPr>
        <w:t>R</w:t>
      </w:r>
      <w:r w:rsidR="00001EB4" w:rsidRPr="00E36A30">
        <w:rPr>
          <w:lang w:val="es-ES_tradnl"/>
        </w:rPr>
        <w:t>w</w:t>
      </w:r>
      <w:r w:rsidRPr="00E36A30">
        <w:rPr>
          <w:lang w:val="es-ES_tradnl"/>
        </w:rPr>
        <w:t>anda</w:t>
      </w:r>
      <w:proofErr w:type="spellEnd"/>
      <w:r w:rsidRPr="00E36A30">
        <w:rPr>
          <w:lang w:val="es-ES_tradnl"/>
        </w:rPr>
        <w:t xml:space="preserve"> y Túnez.  Estas nuevas adhesiones constituyen un hito muy importante para continuar ampliando el alcance geográfico del sistema de Madrid, en especial gracias a la incorporación de dos países de la región de América Latina.  Un país sigue siendo parte únicamente en el Arreglo.</w:t>
      </w:r>
    </w:p>
    <w:p w:rsidR="006277CA" w:rsidRPr="00E36A30" w:rsidRDefault="006277CA" w:rsidP="006277CA">
      <w:pPr>
        <w:jc w:val="both"/>
        <w:rPr>
          <w:lang w:val="es-ES_tradnl"/>
        </w:rPr>
      </w:pPr>
    </w:p>
    <w:p w:rsidR="006277CA" w:rsidRPr="00E36A30" w:rsidRDefault="006277CA" w:rsidP="006277CA">
      <w:pPr>
        <w:jc w:val="both"/>
        <w:rPr>
          <w:lang w:val="es-ES_tradnl"/>
        </w:rPr>
      </w:pPr>
      <w:r w:rsidRPr="00E36A30">
        <w:rPr>
          <w:lang w:val="es-ES_tradnl"/>
        </w:rPr>
        <w:t>Los registros internacionales</w:t>
      </w:r>
      <w:r w:rsidR="00001EB4" w:rsidRPr="00E36A30">
        <w:rPr>
          <w:lang w:val="es-ES_tradnl"/>
        </w:rPr>
        <w:t xml:space="preserve"> en virtud del si</w:t>
      </w:r>
      <w:r w:rsidRPr="00E36A30">
        <w:rPr>
          <w:lang w:val="es-ES_tradnl"/>
        </w:rPr>
        <w:t>stema de La Haya crecieron, pasando de 2.363 en 2011</w:t>
      </w:r>
      <w:r w:rsidR="00001EB4" w:rsidRPr="00E36A30">
        <w:rPr>
          <w:lang w:val="es-ES_tradnl"/>
        </w:rPr>
        <w:t xml:space="preserve"> </w:t>
      </w:r>
      <w:r w:rsidR="003F11A0" w:rsidRPr="00E36A30">
        <w:rPr>
          <w:lang w:val="es-ES_tradnl"/>
        </w:rPr>
        <w:t>a </w:t>
      </w:r>
      <w:r w:rsidRPr="00E36A30">
        <w:rPr>
          <w:lang w:val="es-ES_tradnl"/>
        </w:rPr>
        <w:t xml:space="preserve">2.440 en 2012 y </w:t>
      </w:r>
      <w:r w:rsidR="00001EB4" w:rsidRPr="00E36A30">
        <w:rPr>
          <w:lang w:val="es-ES_tradnl"/>
        </w:rPr>
        <w:t xml:space="preserve">2.734 en </w:t>
      </w:r>
      <w:r w:rsidRPr="00E36A30">
        <w:rPr>
          <w:lang w:val="es-ES_tradnl"/>
        </w:rPr>
        <w:t xml:space="preserve">2013.  A pesar del aumento general de la actividad en lo que respecta a presentación de solicitudes y registros, con un aumento notable de las solicitudes procedentes de los países en desarrollo y los PMA, y a pesar de que se han cumplido las metas en materia de renovaciones, las cantidades siguen estando por debajo de lo previsto.  En 2012 Montenegro y Túnez pasaron a ser parte en el Acta de Ginebra de 1999 del Arreglo de La Haya.  La adhesión de Túnez constituye un paso importante hacia el objetivo de conseguir que el Acta de 1999 predomine en el sistema, ya que, gracias a ella, ya no queda ningún Estado contratante que esté vinculado únicamente por el Acta de 1934. </w:t>
      </w:r>
      <w:r w:rsidR="006D50E3" w:rsidRPr="00E36A30">
        <w:rPr>
          <w:lang w:val="es-ES_tradnl"/>
        </w:rPr>
        <w:t xml:space="preserve"> </w:t>
      </w:r>
      <w:r w:rsidR="00252F46" w:rsidRPr="00E36A30">
        <w:rPr>
          <w:lang w:val="es-ES_tradnl"/>
        </w:rPr>
        <w:t>C</w:t>
      </w:r>
      <w:r w:rsidR="008C3076" w:rsidRPr="00E36A30">
        <w:rPr>
          <w:lang w:val="es-ES_tradnl"/>
        </w:rPr>
        <w:t>ontinuó progres</w:t>
      </w:r>
      <w:r w:rsidR="00252F46" w:rsidRPr="00E36A30">
        <w:rPr>
          <w:lang w:val="es-ES_tradnl"/>
        </w:rPr>
        <w:t xml:space="preserve">ándose </w:t>
      </w:r>
      <w:r w:rsidR="008C3076" w:rsidRPr="00E36A30">
        <w:rPr>
          <w:lang w:val="es-ES_tradnl"/>
        </w:rPr>
        <w:t xml:space="preserve">hacia el cese de la aplicación </w:t>
      </w:r>
      <w:r w:rsidR="006D50E3" w:rsidRPr="00E36A30">
        <w:rPr>
          <w:lang w:val="es-ES_tradnl"/>
        </w:rPr>
        <w:t xml:space="preserve">de </w:t>
      </w:r>
      <w:r w:rsidRPr="00E36A30">
        <w:rPr>
          <w:lang w:val="es-ES_tradnl"/>
        </w:rPr>
        <w:t>esta última</w:t>
      </w:r>
      <w:r w:rsidR="00FD7FA0" w:rsidRPr="00E36A30">
        <w:rPr>
          <w:lang w:val="es-ES_tradnl"/>
        </w:rPr>
        <w:t xml:space="preserve"> </w:t>
      </w:r>
      <w:r w:rsidR="008C3076" w:rsidRPr="00E36A30">
        <w:rPr>
          <w:lang w:val="es-ES_tradnl"/>
        </w:rPr>
        <w:t>A</w:t>
      </w:r>
      <w:r w:rsidR="00FD7FA0" w:rsidRPr="00E36A30">
        <w:rPr>
          <w:lang w:val="es-ES_tradnl"/>
        </w:rPr>
        <w:t>cta</w:t>
      </w:r>
      <w:r w:rsidRPr="00E36A30">
        <w:rPr>
          <w:lang w:val="es-ES_tradnl"/>
        </w:rPr>
        <w:t xml:space="preserve">, </w:t>
      </w:r>
      <w:r w:rsidR="008C3076" w:rsidRPr="00E36A30">
        <w:rPr>
          <w:lang w:val="es-ES_tradnl"/>
        </w:rPr>
        <w:t>dado que se recibieron cuatro autorizaciones más al efecto.</w:t>
      </w:r>
      <w:r w:rsidRPr="00E36A30">
        <w:rPr>
          <w:lang w:val="es-ES_tradnl"/>
        </w:rPr>
        <w:t xml:space="preserve">  </w:t>
      </w:r>
      <w:r w:rsidR="008C3076" w:rsidRPr="00E36A30">
        <w:rPr>
          <w:lang w:val="es-ES_tradnl"/>
        </w:rPr>
        <w:t xml:space="preserve">A fines del bienio, todavía se necesitaban </w:t>
      </w:r>
      <w:r w:rsidRPr="00E36A30">
        <w:rPr>
          <w:lang w:val="es-ES_tradnl"/>
        </w:rPr>
        <w:t xml:space="preserve">tres </w:t>
      </w:r>
      <w:r w:rsidR="008C3076" w:rsidRPr="00E36A30">
        <w:rPr>
          <w:lang w:val="es-ES_tradnl"/>
        </w:rPr>
        <w:t xml:space="preserve">autorizaciones </w:t>
      </w:r>
      <w:r w:rsidRPr="00E36A30">
        <w:rPr>
          <w:lang w:val="es-ES_tradnl"/>
        </w:rPr>
        <w:t xml:space="preserve">para </w:t>
      </w:r>
      <w:r w:rsidR="00135910" w:rsidRPr="00E36A30">
        <w:rPr>
          <w:lang w:val="es-ES_tradnl"/>
        </w:rPr>
        <w:t xml:space="preserve">poder </w:t>
      </w:r>
      <w:r w:rsidR="008C3076" w:rsidRPr="00E36A30">
        <w:rPr>
          <w:lang w:val="es-ES_tradnl"/>
        </w:rPr>
        <w:t xml:space="preserve">decretar el cese formal de su </w:t>
      </w:r>
      <w:r w:rsidR="006D50E3" w:rsidRPr="00E36A30">
        <w:rPr>
          <w:lang w:val="es-ES_tradnl"/>
        </w:rPr>
        <w:t>aplicación</w:t>
      </w:r>
      <w:r w:rsidRPr="00E36A30">
        <w:rPr>
          <w:lang w:val="es-ES_tradnl"/>
        </w:rPr>
        <w:t xml:space="preserve">.   </w:t>
      </w:r>
    </w:p>
    <w:p w:rsidR="006277CA" w:rsidRPr="00E36A30" w:rsidRDefault="006277CA" w:rsidP="006277CA">
      <w:pPr>
        <w:tabs>
          <w:tab w:val="left" w:pos="5309"/>
        </w:tabs>
        <w:jc w:val="both"/>
        <w:rPr>
          <w:lang w:val="es-ES_tradnl"/>
        </w:rPr>
      </w:pPr>
    </w:p>
    <w:p w:rsidR="006277CA" w:rsidRPr="00A34388" w:rsidRDefault="006277CA" w:rsidP="006277CA">
      <w:pPr>
        <w:tabs>
          <w:tab w:val="left" w:pos="5309"/>
        </w:tabs>
        <w:jc w:val="both"/>
        <w:rPr>
          <w:lang w:val="es-ES_tradnl"/>
        </w:rPr>
      </w:pPr>
      <w:r w:rsidRPr="00E36A30">
        <w:rPr>
          <w:lang w:val="es-ES_tradnl"/>
        </w:rPr>
        <w:t>La 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w:t>
      </w:r>
      <w:r w:rsidR="00EA3FA9" w:rsidRPr="00E36A30">
        <w:rPr>
          <w:lang w:val="es-ES_tradnl"/>
        </w:rPr>
        <w:t xml:space="preserve">  En el marco de este mandato y en vista de</w:t>
      </w:r>
      <w:r w:rsidR="00D6763F" w:rsidRPr="00E36A30">
        <w:rPr>
          <w:lang w:val="es-ES_tradnl"/>
        </w:rPr>
        <w:t xml:space="preserve"> </w:t>
      </w:r>
      <w:r w:rsidR="00EA3FA9" w:rsidRPr="00E36A30">
        <w:rPr>
          <w:lang w:val="es-ES_tradnl"/>
        </w:rPr>
        <w:t xml:space="preserve">los considerables avances logrados en las </w:t>
      </w:r>
      <w:r w:rsidR="001C3A70" w:rsidRPr="00E36A30">
        <w:rPr>
          <w:lang w:val="es-ES_tradnl"/>
        </w:rPr>
        <w:t xml:space="preserve">reuniones </w:t>
      </w:r>
      <w:r w:rsidR="00EA3FA9" w:rsidRPr="00E36A30">
        <w:rPr>
          <w:lang w:val="es-ES_tradnl"/>
        </w:rPr>
        <w:t xml:space="preserve">del Grupo de Trabajo de diciembre de 2012 y abril/mayo de 2013 sobre un proyecto de Arreglo de </w:t>
      </w:r>
      <w:r w:rsidR="00EA3FA9" w:rsidRPr="00A34388">
        <w:rPr>
          <w:lang w:val="es-ES_tradnl"/>
        </w:rPr>
        <w:t xml:space="preserve">Lisboa </w:t>
      </w:r>
      <w:r w:rsidR="00D6763F" w:rsidRPr="00A34388">
        <w:rPr>
          <w:lang w:val="es-ES_tradnl"/>
        </w:rPr>
        <w:t>r</w:t>
      </w:r>
      <w:r w:rsidR="00EA3FA9" w:rsidRPr="00A34388">
        <w:rPr>
          <w:lang w:val="es-ES_tradnl"/>
        </w:rPr>
        <w:t>evisado y el correspondiente proyecto de reglamento de dicho Arreglo de Lisboa revisado, l</w:t>
      </w:r>
      <w:r w:rsidRPr="00A34388">
        <w:rPr>
          <w:lang w:val="es-ES_tradnl"/>
        </w:rPr>
        <w:t>a Asamblea aprobó</w:t>
      </w:r>
      <w:r w:rsidR="00EA3FA9" w:rsidRPr="00A34388">
        <w:rPr>
          <w:lang w:val="es-ES_tradnl"/>
        </w:rPr>
        <w:t xml:space="preserve"> la </w:t>
      </w:r>
      <w:r w:rsidR="00EA3FA9" w:rsidRPr="00A34388">
        <w:rPr>
          <w:lang w:val="es-ES_tradnl"/>
        </w:rPr>
        <w:lastRenderedPageBreak/>
        <w:t xml:space="preserve">convocación de una conferencia diplomática </w:t>
      </w:r>
      <w:r w:rsidRPr="00A34388">
        <w:rPr>
          <w:lang w:val="es-ES_tradnl"/>
        </w:rPr>
        <w:t xml:space="preserve">para la adopción </w:t>
      </w:r>
      <w:r w:rsidR="00D6763F" w:rsidRPr="00A34388">
        <w:rPr>
          <w:lang w:val="es-ES_tradnl"/>
        </w:rPr>
        <w:t xml:space="preserve">en 2015 </w:t>
      </w:r>
      <w:r w:rsidRPr="00A34388">
        <w:rPr>
          <w:lang w:val="es-ES_tradnl"/>
        </w:rPr>
        <w:t xml:space="preserve">de un Arreglo de Lisboa revisado sobre las </w:t>
      </w:r>
      <w:r w:rsidR="006C30F5" w:rsidRPr="00A34388">
        <w:rPr>
          <w:lang w:val="es-ES_tradnl"/>
        </w:rPr>
        <w:t xml:space="preserve">denominaciones </w:t>
      </w:r>
      <w:r w:rsidRPr="00A34388">
        <w:rPr>
          <w:lang w:val="es-ES_tradnl"/>
        </w:rPr>
        <w:t xml:space="preserve">de </w:t>
      </w:r>
      <w:r w:rsidR="006C30F5" w:rsidRPr="00A34388">
        <w:rPr>
          <w:lang w:val="es-ES_tradnl"/>
        </w:rPr>
        <w:t xml:space="preserve">origen </w:t>
      </w:r>
      <w:r w:rsidRPr="00A34388">
        <w:rPr>
          <w:lang w:val="es-ES_tradnl"/>
        </w:rPr>
        <w:t xml:space="preserve">y las </w:t>
      </w:r>
      <w:r w:rsidR="006C30F5" w:rsidRPr="00A34388">
        <w:rPr>
          <w:lang w:val="es-ES_tradnl"/>
        </w:rPr>
        <w:t>indicaciones geográficas</w:t>
      </w:r>
      <w:r w:rsidRPr="00A34388">
        <w:rPr>
          <w:lang w:val="es-ES_tradnl"/>
        </w:rPr>
        <w:t xml:space="preserve">.  De acuerdo con la hoja de ruta acordada por la Asamblea, </w:t>
      </w:r>
      <w:r w:rsidR="0026129A" w:rsidRPr="00A34388">
        <w:rPr>
          <w:lang w:val="es-ES_tradnl"/>
        </w:rPr>
        <w:t xml:space="preserve">en diciembre de 2013 </w:t>
      </w:r>
      <w:r w:rsidRPr="00A34388">
        <w:rPr>
          <w:lang w:val="es-ES_tradnl"/>
        </w:rPr>
        <w:t xml:space="preserve">se celebró </w:t>
      </w:r>
      <w:r w:rsidR="00EA3FA9" w:rsidRPr="00A34388">
        <w:rPr>
          <w:lang w:val="es-ES_tradnl"/>
        </w:rPr>
        <w:t xml:space="preserve">una nueva </w:t>
      </w:r>
      <w:r w:rsidR="0026129A" w:rsidRPr="00A34388">
        <w:rPr>
          <w:lang w:val="es-ES_tradnl"/>
        </w:rPr>
        <w:t xml:space="preserve">reunión </w:t>
      </w:r>
      <w:r w:rsidRPr="00A34388">
        <w:rPr>
          <w:lang w:val="es-ES_tradnl"/>
        </w:rPr>
        <w:t xml:space="preserve">del Grupo de Trabajo, estando </w:t>
      </w:r>
      <w:r w:rsidR="003F5E06" w:rsidRPr="00A34388">
        <w:rPr>
          <w:lang w:val="es-ES_tradnl"/>
        </w:rPr>
        <w:t xml:space="preserve">programadas </w:t>
      </w:r>
      <w:r w:rsidR="0026129A" w:rsidRPr="00A34388">
        <w:rPr>
          <w:lang w:val="es-ES_tradnl"/>
        </w:rPr>
        <w:t xml:space="preserve">otras </w:t>
      </w:r>
      <w:r w:rsidRPr="00A34388">
        <w:rPr>
          <w:lang w:val="es-ES_tradnl"/>
        </w:rPr>
        <w:t xml:space="preserve">dos </w:t>
      </w:r>
      <w:r w:rsidR="0026129A" w:rsidRPr="00A34388">
        <w:rPr>
          <w:lang w:val="es-ES_tradnl"/>
        </w:rPr>
        <w:t xml:space="preserve">reuniones </w:t>
      </w:r>
      <w:r w:rsidRPr="00A34388">
        <w:rPr>
          <w:lang w:val="es-ES_tradnl"/>
        </w:rPr>
        <w:t>para junio y octubre de 2014</w:t>
      </w:r>
      <w:r w:rsidR="006C30F5">
        <w:rPr>
          <w:lang w:val="es-ES_tradnl"/>
        </w:rPr>
        <w:t>.</w:t>
      </w:r>
    </w:p>
    <w:p w:rsidR="006277CA" w:rsidRPr="00A34388" w:rsidRDefault="006277CA" w:rsidP="006277CA">
      <w:pPr>
        <w:tabs>
          <w:tab w:val="left" w:pos="5309"/>
        </w:tabs>
        <w:jc w:val="both"/>
        <w:rPr>
          <w:lang w:val="es-ES_tradnl"/>
        </w:rPr>
      </w:pPr>
    </w:p>
    <w:p w:rsidR="006277CA" w:rsidRPr="00A34388" w:rsidRDefault="006277CA" w:rsidP="003F11A0">
      <w:pPr>
        <w:pStyle w:val="Header"/>
        <w:tabs>
          <w:tab w:val="right" w:pos="9000"/>
        </w:tabs>
        <w:autoSpaceDE w:val="0"/>
        <w:autoSpaceDN w:val="0"/>
        <w:adjustRightInd w:val="0"/>
        <w:jc w:val="both"/>
        <w:rPr>
          <w:lang w:val="es-ES_tradnl"/>
        </w:rPr>
      </w:pPr>
      <w:r w:rsidRPr="00A34388">
        <w:rPr>
          <w:lang w:val="es-ES_tradnl"/>
        </w:rPr>
        <w:t>En 2012, el Centro de Arbitraje y Mediación de la OMPI siguió optimizando el potencial de sus procedimientos para satisfacer las necesidades de los titulares y los usuarios de los derechos de P.I.  En el ámbito de l</w:t>
      </w:r>
      <w:r w:rsidR="00FD3806" w:rsidRPr="00A34388">
        <w:rPr>
          <w:lang w:val="es-ES_tradnl"/>
        </w:rPr>
        <w:t>a solución extrajudicial de controversias</w:t>
      </w:r>
      <w:r w:rsidRPr="00A34388">
        <w:rPr>
          <w:lang w:val="es-ES_tradnl"/>
        </w:rPr>
        <w:t xml:space="preserve">, durante 2012 se resolvieron satisfactoriamente los primeros casos tratados en el marco del procedimiento destinado a facilitar la mediación en </w:t>
      </w:r>
      <w:r w:rsidR="005D012C" w:rsidRPr="00A34388">
        <w:rPr>
          <w:lang w:val="es-ES_tradnl"/>
        </w:rPr>
        <w:t xml:space="preserve">las </w:t>
      </w:r>
      <w:r w:rsidRPr="00A34388">
        <w:rPr>
          <w:lang w:val="es-ES_tradnl"/>
        </w:rPr>
        <w:t xml:space="preserve">controversias sobre derechos de marca en la Oficina de Propiedad Intelectual de Singapur (IPOS). </w:t>
      </w:r>
      <w:r w:rsidR="007E5CF8" w:rsidRPr="00A34388">
        <w:rPr>
          <w:lang w:val="es-ES_tradnl"/>
        </w:rPr>
        <w:t xml:space="preserve"> </w:t>
      </w:r>
      <w:r w:rsidRPr="00A34388">
        <w:rPr>
          <w:lang w:val="es-ES_tradnl"/>
        </w:rPr>
        <w:t xml:space="preserve">El Centro </w:t>
      </w:r>
      <w:r w:rsidR="00252F46" w:rsidRPr="00A34388">
        <w:rPr>
          <w:lang w:val="es-ES_tradnl"/>
        </w:rPr>
        <w:t xml:space="preserve">ayudó a desarrollar </w:t>
      </w:r>
      <w:r w:rsidR="006D50E3" w:rsidRPr="00A34388">
        <w:rPr>
          <w:lang w:val="es-ES_tradnl"/>
        </w:rPr>
        <w:t xml:space="preserve">una opción de </w:t>
      </w:r>
      <w:r w:rsidRPr="00A34388">
        <w:rPr>
          <w:lang w:val="es-ES_tradnl"/>
        </w:rPr>
        <w:t xml:space="preserve">mediación similar </w:t>
      </w:r>
      <w:r w:rsidR="00252F46" w:rsidRPr="00A34388">
        <w:rPr>
          <w:lang w:val="es-ES_tradnl"/>
        </w:rPr>
        <w:t xml:space="preserve">respecto de </w:t>
      </w:r>
      <w:r w:rsidRPr="00A34388">
        <w:rPr>
          <w:lang w:val="es-ES_tradnl"/>
        </w:rPr>
        <w:t xml:space="preserve">los procedimientos de marcas ante el Instituto Nacional de Propiedad Industrial del Brasil (INPI-BR), que </w:t>
      </w:r>
      <w:r w:rsidR="00252F46" w:rsidRPr="00A34388">
        <w:rPr>
          <w:lang w:val="es-ES_tradnl"/>
        </w:rPr>
        <w:t xml:space="preserve">fue puesto a disposición </w:t>
      </w:r>
      <w:r w:rsidRPr="00A34388">
        <w:rPr>
          <w:lang w:val="es-ES_tradnl"/>
        </w:rPr>
        <w:t xml:space="preserve">de las partes </w:t>
      </w:r>
      <w:r w:rsidR="00252F46" w:rsidRPr="00A34388">
        <w:rPr>
          <w:lang w:val="es-ES_tradnl"/>
        </w:rPr>
        <w:t xml:space="preserve">en </w:t>
      </w:r>
      <w:r w:rsidRPr="00A34388">
        <w:rPr>
          <w:lang w:val="es-ES_tradnl"/>
        </w:rPr>
        <w:t>julio de 2013.  En el ámbito de los nombres de dominio, el Centro</w:t>
      </w:r>
      <w:r w:rsidR="005D012C" w:rsidRPr="00A34388">
        <w:rPr>
          <w:lang w:val="es-ES_tradnl"/>
        </w:rPr>
        <w:t xml:space="preserve"> </w:t>
      </w:r>
      <w:r w:rsidR="00D165DA" w:rsidRPr="00A34388">
        <w:rPr>
          <w:lang w:val="es-ES_tradnl"/>
        </w:rPr>
        <w:t xml:space="preserve">administró </w:t>
      </w:r>
      <w:r w:rsidRPr="00A34388">
        <w:rPr>
          <w:lang w:val="es-ES_tradnl"/>
        </w:rPr>
        <w:t xml:space="preserve">en el bienio 2012/13 un total </w:t>
      </w:r>
      <w:r w:rsidR="006B60DC" w:rsidRPr="00A34388">
        <w:rPr>
          <w:lang w:val="es-ES_tradnl"/>
        </w:rPr>
        <w:t xml:space="preserve">de 5.469 </w:t>
      </w:r>
      <w:r w:rsidR="00252F46" w:rsidRPr="00A34388">
        <w:rPr>
          <w:lang w:val="es-ES_tradnl"/>
        </w:rPr>
        <w:t xml:space="preserve">demandas por </w:t>
      </w:r>
      <w:proofErr w:type="spellStart"/>
      <w:r w:rsidR="006B60DC" w:rsidRPr="00A34388">
        <w:rPr>
          <w:lang w:val="es-ES_tradnl"/>
        </w:rPr>
        <w:t>ciberocupación</w:t>
      </w:r>
      <w:proofErr w:type="spellEnd"/>
      <w:r w:rsidRPr="00A34388">
        <w:rPr>
          <w:lang w:val="es-ES_tradnl"/>
        </w:rPr>
        <w:t xml:space="preserve"> respecto de 11.271 nombres de dominio</w:t>
      </w:r>
      <w:r w:rsidR="00252F46" w:rsidRPr="00A34388">
        <w:rPr>
          <w:lang w:val="es-ES_tradnl"/>
        </w:rPr>
        <w:t>,</w:t>
      </w:r>
      <w:r w:rsidRPr="00A34388">
        <w:rPr>
          <w:lang w:val="es-ES_tradnl"/>
        </w:rPr>
        <w:t xml:space="preserve"> en el marco de procedimientos basados en la Política Uniforme de Solución de Controversias en materia de Nombres de Dominio (Política Uniforme).  El </w:t>
      </w:r>
      <w:r w:rsidR="00252F46" w:rsidRPr="00A34388">
        <w:rPr>
          <w:lang w:val="es-ES_tradnl"/>
        </w:rPr>
        <w:t xml:space="preserve">número </w:t>
      </w:r>
      <w:r w:rsidRPr="00A34388">
        <w:rPr>
          <w:lang w:val="es-ES_tradnl"/>
        </w:rPr>
        <w:t xml:space="preserve">total de nombres de dominio </w:t>
      </w:r>
      <w:r w:rsidR="00252F46" w:rsidRPr="00A34388">
        <w:rPr>
          <w:lang w:val="es-ES_tradnl"/>
        </w:rPr>
        <w:t xml:space="preserve">en </w:t>
      </w:r>
      <w:r w:rsidRPr="00A34388">
        <w:rPr>
          <w:lang w:val="es-ES_tradnl"/>
        </w:rPr>
        <w:t xml:space="preserve">demandas </w:t>
      </w:r>
      <w:r w:rsidR="00D165DA" w:rsidRPr="00A34388">
        <w:rPr>
          <w:lang w:val="es-ES_tradnl"/>
        </w:rPr>
        <w:t xml:space="preserve">recibidas </w:t>
      </w:r>
      <w:r w:rsidR="006B60DC" w:rsidRPr="00A34388">
        <w:rPr>
          <w:lang w:val="es-ES_tradnl"/>
        </w:rPr>
        <w:t xml:space="preserve">por la OMPI desde 1999 </w:t>
      </w:r>
      <w:r w:rsidR="00D165DA" w:rsidRPr="00A34388">
        <w:rPr>
          <w:lang w:val="es-ES_tradnl"/>
        </w:rPr>
        <w:t xml:space="preserve">en virtud de </w:t>
      </w:r>
      <w:r w:rsidRPr="00A34388">
        <w:rPr>
          <w:lang w:val="es-ES_tradnl"/>
        </w:rPr>
        <w:t>la Política Uniforme sobrepasa los 50.000.  El Centro</w:t>
      </w:r>
      <w:r w:rsidR="006B60DC" w:rsidRPr="00A34388">
        <w:rPr>
          <w:lang w:val="es-ES_tradnl"/>
        </w:rPr>
        <w:t xml:space="preserve"> continuó estableciendo contactos con los administradores de dominios de nivel superior </w:t>
      </w:r>
      <w:r w:rsidRPr="00A34388">
        <w:rPr>
          <w:lang w:val="es-ES_tradnl"/>
        </w:rPr>
        <w:t>correspondientes a códigos de países (</w:t>
      </w:r>
      <w:proofErr w:type="spellStart"/>
      <w:r w:rsidRPr="00A34388">
        <w:rPr>
          <w:lang w:val="es-ES_tradnl"/>
        </w:rPr>
        <w:t>ccTLD</w:t>
      </w:r>
      <w:proofErr w:type="spellEnd"/>
      <w:r w:rsidRPr="00A34388">
        <w:rPr>
          <w:lang w:val="es-ES_tradnl"/>
        </w:rPr>
        <w:t xml:space="preserve">) en </w:t>
      </w:r>
      <w:r w:rsidR="006B60DC" w:rsidRPr="00A34388">
        <w:rPr>
          <w:lang w:val="es-ES_tradnl"/>
        </w:rPr>
        <w:t>diferentes regiones en relación con las políticas</w:t>
      </w:r>
      <w:r w:rsidRPr="00A34388">
        <w:rPr>
          <w:lang w:val="es-ES_tradnl"/>
        </w:rPr>
        <w:t xml:space="preserve"> de resolución de controversias.  En el bienio 2012/13, el Centro</w:t>
      </w:r>
      <w:r w:rsidR="006B60DC" w:rsidRPr="00A34388">
        <w:rPr>
          <w:lang w:val="es-ES_tradnl"/>
        </w:rPr>
        <w:t xml:space="preserve"> </w:t>
      </w:r>
      <w:r w:rsidR="002745AE" w:rsidRPr="00A34388">
        <w:rPr>
          <w:lang w:val="es-ES_tradnl"/>
        </w:rPr>
        <w:t xml:space="preserve">pasó a ser </w:t>
      </w:r>
      <w:r w:rsidRPr="00A34388">
        <w:rPr>
          <w:lang w:val="es-ES_tradnl"/>
        </w:rPr>
        <w:t xml:space="preserve">proveedor </w:t>
      </w:r>
      <w:r w:rsidR="002745AE" w:rsidRPr="00A34388">
        <w:rPr>
          <w:lang w:val="es-ES_tradnl"/>
        </w:rPr>
        <w:t xml:space="preserve">para los espacios de </w:t>
      </w:r>
      <w:r w:rsidRPr="00A34388">
        <w:rPr>
          <w:lang w:val="es-ES_tradnl"/>
        </w:rPr>
        <w:t>dominios .FM (Micronesia (Estados Federados de)), .GD (Granada), .ML (Malí) .PW (</w:t>
      </w:r>
      <w:proofErr w:type="spellStart"/>
      <w:r w:rsidRPr="00A34388">
        <w:rPr>
          <w:lang w:val="es-ES_tradnl"/>
        </w:rPr>
        <w:t>Palau</w:t>
      </w:r>
      <w:proofErr w:type="spellEnd"/>
      <w:r w:rsidRPr="00A34388">
        <w:rPr>
          <w:lang w:val="es-ES_tradnl"/>
        </w:rPr>
        <w:t>) y .TZ (</w:t>
      </w:r>
      <w:r w:rsidR="00246125" w:rsidRPr="00A34388">
        <w:rPr>
          <w:lang w:val="es-ES_tradnl"/>
        </w:rPr>
        <w:t xml:space="preserve">la </w:t>
      </w:r>
      <w:r w:rsidR="002745AE" w:rsidRPr="00A34388">
        <w:rPr>
          <w:lang w:val="es-ES_tradnl"/>
        </w:rPr>
        <w:t xml:space="preserve">República Unida de </w:t>
      </w:r>
      <w:proofErr w:type="spellStart"/>
      <w:r w:rsidR="002745AE" w:rsidRPr="00A34388">
        <w:rPr>
          <w:lang w:val="es-ES_tradnl"/>
        </w:rPr>
        <w:t>Tanzanía</w:t>
      </w:r>
      <w:proofErr w:type="spellEnd"/>
      <w:r w:rsidRPr="00A34388">
        <w:rPr>
          <w:lang w:val="es-ES_tradnl"/>
        </w:rPr>
        <w:t xml:space="preserve">), con lo que el total de </w:t>
      </w:r>
      <w:proofErr w:type="spellStart"/>
      <w:r w:rsidRPr="00A34388">
        <w:rPr>
          <w:lang w:val="es-ES_tradnl"/>
        </w:rPr>
        <w:t>ccTLD</w:t>
      </w:r>
      <w:proofErr w:type="spellEnd"/>
      <w:r w:rsidRPr="00A34388">
        <w:rPr>
          <w:lang w:val="es-ES_tradnl"/>
        </w:rPr>
        <w:t xml:space="preserve"> </w:t>
      </w:r>
      <w:r w:rsidR="002745AE" w:rsidRPr="00A34388">
        <w:rPr>
          <w:lang w:val="es-ES_tradnl"/>
        </w:rPr>
        <w:t xml:space="preserve">que utilizan estos servicios de la </w:t>
      </w:r>
      <w:r w:rsidRPr="00A34388">
        <w:rPr>
          <w:lang w:val="es-ES_tradnl"/>
        </w:rPr>
        <w:t xml:space="preserve">OMPI </w:t>
      </w:r>
      <w:r w:rsidR="002745AE" w:rsidRPr="00A34388">
        <w:rPr>
          <w:lang w:val="es-ES_tradnl"/>
        </w:rPr>
        <w:t xml:space="preserve">asciende </w:t>
      </w:r>
      <w:r w:rsidRPr="00A34388">
        <w:rPr>
          <w:lang w:val="es-ES_tradnl"/>
        </w:rPr>
        <w:t xml:space="preserve">a 70.  </w:t>
      </w:r>
    </w:p>
    <w:p w:rsidR="006D50E3" w:rsidRPr="00A34388" w:rsidRDefault="006D50E3" w:rsidP="00ED3F13">
      <w:pPr>
        <w:pStyle w:val="Header"/>
        <w:tabs>
          <w:tab w:val="clear" w:pos="4536"/>
          <w:tab w:val="clear" w:pos="9072"/>
          <w:tab w:val="left" w:pos="1234"/>
        </w:tabs>
        <w:autoSpaceDE w:val="0"/>
        <w:autoSpaceDN w:val="0"/>
        <w:adjustRightInd w:val="0"/>
        <w:jc w:val="both"/>
        <w:rPr>
          <w:lang w:val="es-ES_tradnl"/>
        </w:rPr>
      </w:pPr>
    </w:p>
    <w:p w:rsidR="002745AE" w:rsidRPr="00A34388" w:rsidRDefault="002745AE" w:rsidP="003F11A0">
      <w:pPr>
        <w:pStyle w:val="Header"/>
        <w:tabs>
          <w:tab w:val="right" w:pos="9000"/>
        </w:tabs>
        <w:autoSpaceDE w:val="0"/>
        <w:autoSpaceDN w:val="0"/>
        <w:adjustRightInd w:val="0"/>
        <w:jc w:val="both"/>
        <w:rPr>
          <w:lang w:val="es-ES_tradnl"/>
        </w:rPr>
      </w:pPr>
    </w:p>
    <w:p w:rsidR="00197073" w:rsidRPr="00ED3F13" w:rsidRDefault="00197073" w:rsidP="00197073">
      <w:pPr>
        <w:jc w:val="center"/>
        <w:rPr>
          <w:b/>
          <w:iCs/>
          <w:lang w:val="es-ES_tradnl"/>
        </w:rPr>
      </w:pPr>
      <w:r w:rsidRPr="00ED3F13">
        <w:rPr>
          <w:b/>
          <w:iCs/>
          <w:lang w:val="es-ES_tradnl"/>
        </w:rPr>
        <w:t>Meta estratégica III</w:t>
      </w:r>
      <w:proofErr w:type="gramStart"/>
      <w:r w:rsidRPr="00ED3F13">
        <w:rPr>
          <w:b/>
          <w:iCs/>
          <w:lang w:val="es-ES_tradnl"/>
        </w:rPr>
        <w:t>:  Facilitar</w:t>
      </w:r>
      <w:proofErr w:type="gramEnd"/>
      <w:r w:rsidRPr="00ED3F13">
        <w:rPr>
          <w:b/>
          <w:iCs/>
          <w:lang w:val="es-ES_tradnl"/>
        </w:rPr>
        <w:t xml:space="preserve"> el uso de la P.I. en aras del desarrollo</w:t>
      </w:r>
    </w:p>
    <w:p w:rsidR="00197073" w:rsidRPr="00A34388" w:rsidRDefault="00197073" w:rsidP="00197073">
      <w:pPr>
        <w:jc w:val="both"/>
        <w:rPr>
          <w:i/>
          <w:iCs/>
          <w:lang w:val="es-ES_tradnl"/>
        </w:rPr>
      </w:pPr>
    </w:p>
    <w:p w:rsidR="00197073" w:rsidRPr="00A34388" w:rsidRDefault="00197073" w:rsidP="00197073">
      <w:pPr>
        <w:jc w:val="both"/>
        <w:rPr>
          <w:i/>
          <w:iCs/>
          <w:lang w:val="es-ES_tradnl"/>
        </w:rPr>
      </w:pPr>
    </w:p>
    <w:p w:rsidR="006B60DC" w:rsidRPr="00A34388" w:rsidRDefault="006B60DC" w:rsidP="006B60DC">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5E68A3">
      <w:pPr>
        <w:jc w:val="center"/>
        <w:rPr>
          <w:b/>
          <w:sz w:val="18"/>
          <w:szCs w:val="18"/>
          <w:lang w:val="es-ES_tradnl"/>
        </w:rPr>
      </w:pPr>
    </w:p>
    <w:p w:rsidR="00E12D6D" w:rsidRDefault="00E12D6D" w:rsidP="005E68A3">
      <w:pPr>
        <w:jc w:val="center"/>
        <w:rPr>
          <w:b/>
          <w:sz w:val="18"/>
          <w:szCs w:val="18"/>
          <w:lang w:val="es-ES_tradnl"/>
        </w:rPr>
      </w:pPr>
      <w:r>
        <w:rPr>
          <w:b/>
          <w:noProof/>
          <w:sz w:val="18"/>
          <w:szCs w:val="18"/>
        </w:rPr>
        <w:drawing>
          <wp:inline distT="0" distB="0" distL="0" distR="0" wp14:anchorId="1B3A9A53" wp14:editId="323F316D">
            <wp:extent cx="5515661" cy="4146134"/>
            <wp:effectExtent l="0" t="0" r="889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3495" cy="4152023"/>
                    </a:xfrm>
                    <a:prstGeom prst="rect">
                      <a:avLst/>
                    </a:prstGeom>
                    <a:noFill/>
                  </pic:spPr>
                </pic:pic>
              </a:graphicData>
            </a:graphic>
          </wp:inline>
        </w:drawing>
      </w:r>
    </w:p>
    <w:p w:rsidR="00E12D6D" w:rsidRPr="00A34388" w:rsidRDefault="00E12D6D" w:rsidP="005E68A3">
      <w:pPr>
        <w:jc w:val="center"/>
        <w:rPr>
          <w:b/>
          <w:sz w:val="18"/>
          <w:szCs w:val="18"/>
          <w:lang w:val="es-ES_tradnl"/>
        </w:rPr>
      </w:pPr>
    </w:p>
    <w:p w:rsidR="00197073" w:rsidRPr="00A34388" w:rsidRDefault="00197073" w:rsidP="00197073">
      <w:pPr>
        <w:jc w:val="both"/>
        <w:rPr>
          <w:iCs/>
          <w:lang w:val="es-ES_tradnl"/>
        </w:rPr>
      </w:pPr>
    </w:p>
    <w:p w:rsidR="003F11A0" w:rsidRPr="00332758" w:rsidRDefault="003F11A0">
      <w:pPr>
        <w:rPr>
          <w:b/>
          <w:szCs w:val="20"/>
          <w:lang w:val="es-ES_tradnl"/>
        </w:rPr>
      </w:pPr>
      <w:r w:rsidRPr="00332758">
        <w:rPr>
          <w:b/>
          <w:szCs w:val="20"/>
          <w:lang w:val="es-ES_tradnl"/>
        </w:rPr>
        <w:br w:type="page"/>
      </w:r>
    </w:p>
    <w:p w:rsidR="00197073" w:rsidRPr="00A34388" w:rsidRDefault="00197073" w:rsidP="00197073">
      <w:pPr>
        <w:jc w:val="center"/>
        <w:rPr>
          <w:b/>
          <w:szCs w:val="20"/>
          <w:lang w:val="es-ES_tradnl"/>
        </w:rPr>
      </w:pPr>
      <w:r w:rsidRPr="00332758">
        <w:rPr>
          <w:b/>
          <w:szCs w:val="20"/>
          <w:lang w:val="es-ES_tradnl"/>
        </w:rPr>
        <w:lastRenderedPageBreak/>
        <w:t>Cuadro sobre el rendimiento bienal</w:t>
      </w:r>
    </w:p>
    <w:p w:rsidR="00197073" w:rsidRPr="00A34388" w:rsidRDefault="00197073" w:rsidP="00197073">
      <w:pPr>
        <w:jc w:val="center"/>
        <w:rPr>
          <w:lang w:val="es-ES_tradnl"/>
        </w:rPr>
      </w:pPr>
    </w:p>
    <w:p w:rsidR="0026129A"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26129A" w:rsidRPr="00A34388">
        <w:rPr>
          <w:rFonts w:cs="Arial"/>
          <w:lang w:val="es-ES_tradnl"/>
        </w:rPr>
        <w:t xml:space="preserve"> se incluye una reseña general de la consecución de los resultados previstos en el bienio 2012/13 medidos por los indicadores relativos a los programas que contribuyen a esta meta estratégica.  </w:t>
      </w:r>
    </w:p>
    <w:p w:rsidR="00C14248" w:rsidRPr="00A34388" w:rsidRDefault="00C14248" w:rsidP="00C14248">
      <w:pPr>
        <w:autoSpaceDE w:val="0"/>
        <w:autoSpaceDN w:val="0"/>
        <w:adjustRightInd w:val="0"/>
        <w:jc w:val="both"/>
        <w:rPr>
          <w:rFonts w:cs="Arial"/>
          <w:lang w:val="es-ES_tradnl"/>
        </w:rPr>
      </w:pPr>
    </w:p>
    <w:tbl>
      <w:tblPr>
        <w:tblW w:w="9513" w:type="dxa"/>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7"/>
        <w:gridCol w:w="3991"/>
        <w:gridCol w:w="1134"/>
        <w:gridCol w:w="851"/>
      </w:tblGrid>
      <w:tr w:rsidR="00C14248" w:rsidRPr="00A34388" w:rsidTr="00DA1567">
        <w:trPr>
          <w:tblHeader/>
        </w:trPr>
        <w:tc>
          <w:tcPr>
            <w:tcW w:w="3537"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b/>
                <w:bCs/>
                <w:color w:val="808080"/>
                <w:sz w:val="14"/>
                <w:szCs w:val="14"/>
                <w:lang w:val="es-ES_tradnl" w:bidi="th-TH"/>
              </w:rPr>
            </w:pPr>
            <w:r w:rsidRPr="00332758">
              <w:rPr>
                <w:b/>
                <w:bCs/>
                <w:sz w:val="14"/>
                <w:szCs w:val="14"/>
                <w:lang w:val="es-ES_tradnl" w:bidi="th-TH"/>
              </w:rPr>
              <w:t>Resultados previstos</w:t>
            </w:r>
          </w:p>
        </w:tc>
        <w:tc>
          <w:tcPr>
            <w:tcW w:w="3991"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b/>
                <w:bCs/>
                <w:color w:val="808080"/>
                <w:sz w:val="14"/>
                <w:szCs w:val="14"/>
                <w:lang w:val="es-ES_tradnl" w:bidi="th-TH"/>
              </w:rPr>
            </w:pPr>
            <w:r w:rsidRPr="00332758">
              <w:rPr>
                <w:b/>
                <w:bCs/>
                <w:sz w:val="14"/>
                <w:szCs w:val="14"/>
                <w:lang w:val="es-ES_tradnl" w:bidi="th-TH"/>
              </w:rPr>
              <w:t>Indicadores de rendimiento</w:t>
            </w:r>
          </w:p>
        </w:tc>
        <w:tc>
          <w:tcPr>
            <w:tcW w:w="1134"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b/>
                <w:bCs/>
                <w:color w:val="808080"/>
                <w:sz w:val="14"/>
                <w:szCs w:val="14"/>
                <w:lang w:val="es-ES_tradnl" w:bidi="th-TH"/>
              </w:rPr>
            </w:pPr>
            <w:r w:rsidRPr="00332758">
              <w:rPr>
                <w:b/>
                <w:bCs/>
                <w:sz w:val="14"/>
                <w:szCs w:val="14"/>
                <w:lang w:val="es-ES_tradnl" w:bidi="th-TH"/>
              </w:rPr>
              <w:t>Programas responsables</w:t>
            </w:r>
          </w:p>
        </w:tc>
        <w:tc>
          <w:tcPr>
            <w:tcW w:w="851" w:type="dxa"/>
            <w:tcBorders>
              <w:top w:val="single" w:sz="4" w:space="0" w:color="auto"/>
              <w:bottom w:val="single" w:sz="4" w:space="0" w:color="auto"/>
            </w:tcBorders>
            <w:shd w:val="clear" w:color="auto" w:fill="CCFFFF"/>
          </w:tcPr>
          <w:p w:rsidR="00C14248" w:rsidRPr="00332758" w:rsidRDefault="00C14248" w:rsidP="00DA1567">
            <w:pPr>
              <w:spacing w:before="120" w:after="120"/>
              <w:jc w:val="center"/>
              <w:rPr>
                <w:b/>
                <w:bCs/>
                <w:sz w:val="14"/>
                <w:szCs w:val="14"/>
                <w:lang w:val="es-ES_tradnl" w:bidi="th-TH"/>
              </w:rPr>
            </w:pPr>
            <w:r w:rsidRPr="00332758">
              <w:rPr>
                <w:b/>
                <w:bCs/>
                <w:sz w:val="14"/>
                <w:szCs w:val="14"/>
                <w:lang w:val="es-ES_tradnl" w:bidi="th-TH"/>
              </w:rPr>
              <w:t>Clave de colores</w:t>
            </w:r>
          </w:p>
        </w:tc>
      </w:tr>
      <w:tr w:rsidR="00C14248" w:rsidRPr="00A34388" w:rsidTr="00DA1567">
        <w:tc>
          <w:tcPr>
            <w:tcW w:w="3537" w:type="dxa"/>
            <w:vMerge w:val="restart"/>
            <w:tcBorders>
              <w:top w:val="single" w:sz="4" w:space="0" w:color="auto"/>
            </w:tcBorders>
            <w:shd w:val="clear" w:color="auto" w:fill="auto"/>
          </w:tcPr>
          <w:p w:rsidR="00C14248" w:rsidRPr="00ED3F13" w:rsidRDefault="00C14248" w:rsidP="00DA1567">
            <w:pPr>
              <w:spacing w:before="80"/>
              <w:rPr>
                <w:sz w:val="14"/>
                <w:szCs w:val="14"/>
                <w:lang w:val="es-ES_tradnl" w:bidi="th-TH"/>
              </w:rPr>
            </w:pPr>
            <w:r w:rsidRPr="00ED3F13">
              <w:rPr>
                <w:sz w:val="14"/>
                <w:szCs w:val="14"/>
                <w:lang w:val="es-ES_tradnl" w:bidi="th-TH"/>
              </w:rPr>
              <w:t xml:space="preserve">Políticas nacionales, estrategias y planes de desarrollo de innovación y de P.I. claramente definidos y coherentes que estén en sintonía con las metas y los objetivos nacionales de desarrollo. </w:t>
            </w:r>
          </w:p>
          <w:p w:rsidR="00C14248" w:rsidRPr="00332758" w:rsidRDefault="00C14248" w:rsidP="00DA1567">
            <w:pPr>
              <w:spacing w:before="80"/>
              <w:rPr>
                <w:sz w:val="14"/>
                <w:szCs w:val="14"/>
                <w:lang w:val="es-ES_tradnl" w:bidi="th-TH"/>
              </w:rPr>
            </w:pPr>
            <w:r w:rsidRPr="00ED3F13">
              <w:rPr>
                <w:sz w:val="14"/>
                <w:szCs w:val="14"/>
                <w:lang w:val="es-ES_tradnl" w:bidi="th-TH"/>
              </w:rPr>
              <w:t xml:space="preserve"> </w:t>
            </w:r>
          </w:p>
        </w:tc>
        <w:tc>
          <w:tcPr>
            <w:tcW w:w="3991" w:type="dxa"/>
            <w:tcBorders>
              <w:top w:val="single" w:sz="4" w:space="0" w:color="auto"/>
            </w:tcBorders>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que cada año han formulado políticas, estrategias y/o planes de P.I., o los están aplicando (África).</w:t>
            </w:r>
          </w:p>
        </w:tc>
        <w:tc>
          <w:tcPr>
            <w:tcW w:w="1134" w:type="dxa"/>
            <w:tcBorders>
              <w:top w:val="single" w:sz="4" w:space="0" w:color="auto"/>
            </w:tcBorders>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Borders>
              <w:top w:val="single" w:sz="4" w:space="0" w:color="auto"/>
            </w:tcBorders>
          </w:tcPr>
          <w:p w:rsidR="00C14248" w:rsidRPr="006A6EC1" w:rsidRDefault="00C14248" w:rsidP="00DA1567">
            <w:pPr>
              <w:spacing w:before="40"/>
              <w:jc w:val="center"/>
              <w:rPr>
                <w:sz w:val="22"/>
                <w:szCs w:val="22"/>
                <w:lang w:bidi="th-TH"/>
              </w:rPr>
            </w:pPr>
            <w:r w:rsidRPr="006A6EC1">
              <w:rPr>
                <w:rFonts w:cs="Arial"/>
                <w:color w:val="E36C0A" w:themeColor="accent6" w:themeShade="BF"/>
                <w:sz w:val="22"/>
                <w:szCs w:val="22"/>
              </w:rPr>
              <w:sym w:font="Wingdings" w:char="F06C"/>
            </w:r>
            <w:r w:rsidRPr="006A6EC1">
              <w:rPr>
                <w:rFonts w:cs="Arial"/>
                <w:color w:val="FF0000"/>
                <w:sz w:val="22"/>
                <w:szCs w:val="22"/>
              </w:rPr>
              <w:sym w:font="Wingdings" w:char="F06C"/>
            </w: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con mecanismos adecuados para el desarrollo y la aplicación de estrategias de P.I. (región de los países árabes)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E36C0A" w:themeColor="accent6" w:themeShade="BF"/>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con iniciativas vinculadas a los planes nacionales de P.I. (región de los países árabes)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con políticas y estrategias de P.I. en curso de aprobación (Asia y el Pacífico).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E36C0A" w:themeColor="accent6" w:themeShade="BF"/>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que han adoptado políticas y estrategias de P.I. (Asia y el Pacífico).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países en los que se han realizado actividades/proyectos que hayan contribuido a la formulación de leyes/políticas de P.I. (América Latina y el Caribe).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países en los que se han realizado actividades/proyectos que hayan contribuido a la aplicación de estrategias/políticas de P.I. (América Latina y el Caribe).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E36C0A" w:themeColor="accent6" w:themeShade="BF"/>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PMA que han incluido consideraciones de P.I. propias de los PMA en sus estrategias y/o políticas nacionales de P.I. (PMA).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672EC3">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países que han elaborado estrategias o planes nacionales combinados con metas nacionales de desarrollo.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10</w:t>
            </w:r>
          </w:p>
        </w:tc>
        <w:tc>
          <w:tcPr>
            <w:tcW w:w="851" w:type="dxa"/>
            <w:tcBorders>
              <w:bottom w:val="nil"/>
            </w:tcBorders>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672EC3">
        <w:tc>
          <w:tcPr>
            <w:tcW w:w="3537" w:type="dxa"/>
            <w:vMerge w:val="restart"/>
            <w:shd w:val="clear" w:color="auto" w:fill="auto"/>
          </w:tcPr>
          <w:p w:rsidR="00C14248" w:rsidRPr="00ED3F13" w:rsidRDefault="00C14248" w:rsidP="00DA1567">
            <w:pPr>
              <w:spacing w:before="80"/>
              <w:rPr>
                <w:sz w:val="14"/>
                <w:szCs w:val="14"/>
                <w:lang w:val="es-ES_tradnl" w:bidi="th-TH"/>
              </w:rPr>
            </w:pPr>
            <w:r w:rsidRPr="00ED3F13">
              <w:rPr>
                <w:sz w:val="14"/>
                <w:szCs w:val="14"/>
                <w:lang w:val="es-ES_tradnl" w:bidi="th-TH"/>
              </w:rPr>
              <w:t>Mejora de las capacidades en el ámbito de los recursos humanos para hacer frente al amplio espectro de exigencias que supone la utilización eficaz de la P.I. en aras del desarrollo en los países en desarrollo, PMA y países con economías en transición.</w:t>
            </w:r>
          </w:p>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estrategias nacionales de P.I. que tienen un componente dedicado a la innovación y a la tecnología.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Borders>
              <w:top w:val="nil"/>
              <w:bottom w:val="nil"/>
            </w:tcBorders>
            <w:shd w:val="clear" w:color="auto" w:fill="auto"/>
          </w:tcPr>
          <w:p w:rsidR="00C14248" w:rsidRPr="00672EC3" w:rsidRDefault="00C14248" w:rsidP="00672EC3">
            <w:pPr>
              <w:jc w:val="center"/>
              <w:rPr>
                <w:rFonts w:cs="Arial"/>
                <w:color w:val="A6A6A6" w:themeColor="background1" w:themeShade="A6"/>
                <w:sz w:val="22"/>
                <w:szCs w:val="22"/>
              </w:rPr>
            </w:pPr>
            <w:r w:rsidRPr="00672EC3">
              <w:rPr>
                <w:rFonts w:cs="Arial"/>
                <w:color w:val="A6A6A6" w:themeColor="background1" w:themeShade="A6"/>
                <w:sz w:val="22"/>
                <w:szCs w:val="22"/>
              </w:rPr>
              <w:sym w:font="Wingdings" w:char="F06C"/>
            </w:r>
          </w:p>
        </w:tc>
      </w:tr>
      <w:tr w:rsidR="00C14248" w:rsidRPr="00A34388" w:rsidTr="00E36A30">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encargados de la formulación de políticas, funcionarios gubernamentales, profesionales de la P.I. y examinadores, funcionarios encargados de hacer cumplir la ley y usuarios de la P.I. que entienden mejor las cuestiones de P.I. y cómo utilizarla en aras del desarrollo.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Borders>
              <w:top w:val="nil"/>
            </w:tcBorders>
          </w:tcPr>
          <w:p w:rsidR="00C14248" w:rsidRPr="006A6EC1" w:rsidRDefault="00C14248" w:rsidP="00DA1567">
            <w:pPr>
              <w:spacing w:before="20"/>
              <w:jc w:val="center"/>
              <w:rPr>
                <w:color w:val="00B05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que cuentan con programas de formación en P.I. y oportunidades laborales relacionadas con la P.I. (región de los países árabes).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Mar>
              <w:top w:w="113" w:type="dxa"/>
            </w:tcMar>
          </w:tcPr>
          <w:p w:rsidR="00C14248" w:rsidRPr="00332758" w:rsidRDefault="00C14248" w:rsidP="00DA1567">
            <w:pPr>
              <w:spacing w:before="60"/>
              <w:rPr>
                <w:sz w:val="14"/>
                <w:szCs w:val="14"/>
                <w:lang w:val="es-ES_tradnl" w:bidi="th-TH"/>
              </w:rPr>
            </w:pPr>
            <w:r w:rsidRPr="00ED3F13">
              <w:rPr>
                <w:sz w:val="14"/>
                <w:szCs w:val="14"/>
                <w:lang w:val="es-ES_tradnl" w:bidi="th-TH"/>
              </w:rPr>
              <w:t>Porcentaje de examinadores que recibieron formación y que utilizan en su trabajo las nuevas aptitudes adquiridas (Asia y el Pacífico).</w:t>
            </w:r>
          </w:p>
        </w:tc>
        <w:tc>
          <w:tcPr>
            <w:tcW w:w="1134" w:type="dxa"/>
            <w:shd w:val="clear" w:color="auto" w:fill="auto"/>
            <w:tcMar>
              <w:top w:w="113" w:type="dxa"/>
            </w:tcMar>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encargados de la formulación de políticas, funcionarios gubernamentales y profesionales de la P.I. que entienden mejor las cuestiones de P.I., entre otras cosas, cómo utilizarla con eficacia en aras del desarrollo (Asia y el Pacífico).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formadores en P.I./expertos nacionales (América Latina y el Caribe).</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programas nacionales de formación estructurados (América Latina y el Caribe).</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Mar>
              <w:top w:w="142" w:type="dxa"/>
            </w:tcMar>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en los que se han evaluado las necesidades de asistencia técnica y fortalecimiento de las capacidades (PMA).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keepNext/>
              <w:keepLines/>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Número de estudiantes/participantes por año y distribución geográfica (PMA).</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keepNext/>
              <w:keepLines/>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keepNext/>
              <w:keepLines/>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 xml:space="preserve">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 </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9</w:t>
            </w:r>
          </w:p>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4</w:t>
            </w:r>
          </w:p>
        </w:tc>
        <w:tc>
          <w:tcPr>
            <w:tcW w:w="851" w:type="dxa"/>
          </w:tcPr>
          <w:p w:rsidR="00C14248" w:rsidRPr="006A6EC1" w:rsidRDefault="00C14248" w:rsidP="00DA1567">
            <w:pPr>
              <w:keepNext/>
              <w:keepLines/>
              <w:spacing w:before="20"/>
              <w:jc w:val="center"/>
              <w:rPr>
                <w:rFonts w:cs="Arial"/>
                <w:color w:val="008000"/>
                <w:sz w:val="22"/>
                <w:szCs w:val="22"/>
              </w:rPr>
            </w:pPr>
            <w:r w:rsidRPr="006A6EC1">
              <w:rPr>
                <w:rFonts w:cs="Arial"/>
                <w:color w:val="008000"/>
                <w:sz w:val="22"/>
                <w:szCs w:val="22"/>
              </w:rPr>
              <w:sym w:font="Wingdings" w:char="F06C"/>
            </w:r>
          </w:p>
          <w:p w:rsidR="00C14248" w:rsidRPr="006A6EC1" w:rsidRDefault="00C14248" w:rsidP="00DA1567">
            <w:pPr>
              <w:keepNext/>
              <w:keepLines/>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funcionarios de oficinas de P.I. formados que utilizan en su trabajo las nuevas aptitudes adquiridas.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profesionales de la P.I. que afirman entender mejor las cuestiones de P.I.</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10</w:t>
            </w:r>
          </w:p>
        </w:tc>
        <w:tc>
          <w:tcPr>
            <w:tcW w:w="851" w:type="dxa"/>
          </w:tcPr>
          <w:p w:rsidR="00C14248" w:rsidRPr="006A6EC1" w:rsidRDefault="00C14248" w:rsidP="00DA1567">
            <w:pPr>
              <w:spacing w:before="20"/>
              <w:jc w:val="center"/>
              <w:rPr>
                <w:rFonts w:cs="Arial"/>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Inclusión de cuestiones relacionadas con el desarrollo en los programas de formación de la OMPI sobre observancia.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17</w:t>
            </w:r>
          </w:p>
        </w:tc>
        <w:tc>
          <w:tcPr>
            <w:tcW w:w="851" w:type="dxa"/>
          </w:tcPr>
          <w:p w:rsidR="00C14248" w:rsidRPr="006A6EC1" w:rsidRDefault="00C14248" w:rsidP="00DA1567">
            <w:pPr>
              <w:jc w:val="center"/>
              <w:rPr>
                <w:rFonts w:cs="Arial"/>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Porcentaje de funcionarios de observancia que recibieron formación y que están satisfechos con la formación recibida </w:t>
            </w:r>
            <w:r w:rsidRPr="00ED3F13">
              <w:rPr>
                <w:sz w:val="14"/>
                <w:szCs w:val="14"/>
                <w:lang w:val="es-ES_tradnl" w:bidi="th-TH"/>
              </w:rPr>
              <w:lastRenderedPageBreak/>
              <w:t xml:space="preserve">y su utilidad en la vida profesional.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lastRenderedPageBreak/>
              <w:t>Programa 9</w:t>
            </w:r>
          </w:p>
          <w:p w:rsidR="00C14248" w:rsidRPr="00ED3F13" w:rsidRDefault="00C14248" w:rsidP="00DA1567">
            <w:pPr>
              <w:spacing w:before="120"/>
              <w:jc w:val="center"/>
              <w:rPr>
                <w:sz w:val="14"/>
                <w:szCs w:val="14"/>
                <w:lang w:val="es-ES_tradnl" w:bidi="th-TH"/>
              </w:rPr>
            </w:pPr>
            <w:r w:rsidRPr="00ED3F13">
              <w:rPr>
                <w:sz w:val="14"/>
                <w:szCs w:val="14"/>
                <w:lang w:val="es-ES_tradnl" w:bidi="th-TH"/>
              </w:rPr>
              <w:lastRenderedPageBreak/>
              <w:t>Programa 17</w:t>
            </w:r>
          </w:p>
        </w:tc>
        <w:tc>
          <w:tcPr>
            <w:tcW w:w="851" w:type="dxa"/>
          </w:tcPr>
          <w:p w:rsidR="00C14248" w:rsidRPr="006A6EC1" w:rsidRDefault="00C14248" w:rsidP="00DA1567">
            <w:pPr>
              <w:jc w:val="center"/>
              <w:rPr>
                <w:rFonts w:cs="Arial"/>
                <w:color w:val="008000"/>
                <w:sz w:val="22"/>
                <w:szCs w:val="22"/>
                <w:highlight w:val="yellow"/>
              </w:rPr>
            </w:pPr>
            <w:r w:rsidRPr="006A6EC1">
              <w:rPr>
                <w:rFonts w:cs="Arial"/>
                <w:color w:val="008000"/>
                <w:sz w:val="22"/>
                <w:szCs w:val="22"/>
              </w:rPr>
              <w:lastRenderedPageBreak/>
              <w:sym w:font="Wingdings" w:char="F06C"/>
            </w:r>
          </w:p>
          <w:p w:rsidR="00C14248" w:rsidRPr="006A6EC1" w:rsidRDefault="00C14248" w:rsidP="00DA1567">
            <w:pPr>
              <w:jc w:val="center"/>
              <w:rPr>
                <w:rFonts w:cs="Arial"/>
                <w:color w:val="008000"/>
                <w:sz w:val="22"/>
                <w:szCs w:val="22"/>
                <w:highlight w:val="yellow"/>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lastRenderedPageBreak/>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participantes satisfechos con la calidad de los talleres y seminarios sobre la innovación y su comercialización.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10</w:t>
            </w:r>
          </w:p>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jc w:val="center"/>
              <w:rPr>
                <w:rFonts w:cs="Arial"/>
                <w:color w:val="008000"/>
                <w:sz w:val="22"/>
                <w:szCs w:val="22"/>
                <w:highlight w:val="yellow"/>
              </w:rPr>
            </w:pPr>
            <w:r w:rsidRPr="006A6EC1">
              <w:rPr>
                <w:rFonts w:cs="Arial"/>
                <w:color w:val="008000"/>
                <w:sz w:val="22"/>
                <w:szCs w:val="22"/>
              </w:rPr>
              <w:sym w:font="Wingdings" w:char="F06C"/>
            </w:r>
          </w:p>
          <w:p w:rsidR="00C14248" w:rsidRPr="006A6EC1" w:rsidRDefault="00C14248" w:rsidP="00DA1567">
            <w:pPr>
              <w:jc w:val="center"/>
              <w:rPr>
                <w:rFonts w:cs="Arial"/>
                <w:color w:val="008000"/>
                <w:sz w:val="22"/>
                <w:szCs w:val="22"/>
              </w:rPr>
            </w:pPr>
            <w:r w:rsidRPr="006A6EC1">
              <w:rPr>
                <w:rFonts w:cs="Arial"/>
                <w:color w:val="008000"/>
                <w:sz w:val="22"/>
                <w:szCs w:val="22"/>
              </w:rPr>
              <w:sym w:font="Wingdings" w:char="F06C"/>
            </w:r>
          </w:p>
          <w:p w:rsidR="00C14248" w:rsidRPr="006A6EC1" w:rsidRDefault="00C14248" w:rsidP="00DA1567">
            <w:pPr>
              <w:jc w:val="center"/>
              <w:rPr>
                <w:color w:val="008000"/>
                <w:sz w:val="22"/>
                <w:szCs w:val="22"/>
                <w:highlight w:val="yellow"/>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Porcentaje de participantes en talleres de creación de capacidad sobre cuestiones de derecho de autor que expresaron satisfacción al respecto.</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3</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Porcentaje de participantes en talleres sobre derecho de autor que manifestaron satisfacción al respecto además de la utilidad práctica de los conocimientos adquiridos seis meses después del taller.</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3</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iniciativas nacionales en el ámbito del derecho de autor y los derechos conexos emprendidas y directamente relacionadas con los temas objeto de los talleres.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val="restart"/>
            <w:shd w:val="clear" w:color="auto" w:fill="auto"/>
            <w:vAlign w:val="center"/>
          </w:tcPr>
          <w:p w:rsidR="00C14248" w:rsidRPr="00ED3F13" w:rsidRDefault="00C14248" w:rsidP="00DA1567">
            <w:pPr>
              <w:spacing w:before="80"/>
              <w:rPr>
                <w:sz w:val="14"/>
                <w:szCs w:val="14"/>
                <w:lang w:val="es-ES_tradnl" w:bidi="th-TH"/>
              </w:rPr>
            </w:pPr>
            <w:r w:rsidRPr="00ED3F13">
              <w:rPr>
                <w:sz w:val="14"/>
                <w:szCs w:val="14"/>
                <w:lang w:val="es-ES_tradnl" w:bidi="th-TH"/>
              </w:rPr>
              <w:t xml:space="preserve"> </w:t>
            </w:r>
          </w:p>
          <w:p w:rsidR="00C14248" w:rsidRPr="00ED3F13" w:rsidRDefault="00C14248" w:rsidP="00DA1567">
            <w:pPr>
              <w:spacing w:before="80"/>
              <w:rPr>
                <w:sz w:val="14"/>
                <w:szCs w:val="14"/>
                <w:lang w:val="es-ES_tradnl" w:bidi="th-TH"/>
              </w:rPr>
            </w:pPr>
            <w:r w:rsidRPr="00ED3F13">
              <w:rPr>
                <w:sz w:val="14"/>
                <w:szCs w:val="14"/>
                <w:lang w:val="es-ES_tradnl" w:bidi="th-TH"/>
              </w:rPr>
              <w:t xml:space="preserve">Mecanismos de cooperación, programas y asociaciones </w:t>
            </w:r>
            <w:proofErr w:type="gramStart"/>
            <w:r w:rsidRPr="00ED3F13">
              <w:rPr>
                <w:sz w:val="14"/>
                <w:szCs w:val="14"/>
                <w:lang w:val="es-ES_tradnl" w:bidi="th-TH"/>
              </w:rPr>
              <w:t>nuevos o consolidados</w:t>
            </w:r>
            <w:proofErr w:type="gramEnd"/>
            <w:r w:rsidRPr="00ED3F13">
              <w:rPr>
                <w:sz w:val="14"/>
                <w:szCs w:val="14"/>
                <w:lang w:val="es-ES_tradnl" w:bidi="th-TH"/>
              </w:rPr>
              <w:t xml:space="preserve"> en los PMA.</w:t>
            </w:r>
          </w:p>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usuarios de países en desarrollo de herramientas, modelos y material elaborado por la OMPI en materia de innovación y su comercialización.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spacing w:before="20"/>
              <w:jc w:val="center"/>
              <w:rPr>
                <w:rFonts w:cs="Arial"/>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asociaciones establecidas en los PMA entre organizaciones gubernamentales, sector privado, ONG y otros asociados en el desarrollo (PMA).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programas de P.I. aplicados conjuntamente con otros órganos de las Naciones Unidas y otras OIG (PMA).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9</w:t>
            </w:r>
          </w:p>
        </w:tc>
        <w:tc>
          <w:tcPr>
            <w:tcW w:w="851" w:type="dxa"/>
          </w:tcPr>
          <w:p w:rsidR="00C14248" w:rsidRPr="006A6EC1" w:rsidRDefault="00C14248" w:rsidP="00DA1567">
            <w:pPr>
              <w:spacing w:before="20"/>
              <w:jc w:val="center"/>
              <w:rPr>
                <w:sz w:val="22"/>
                <w:szCs w:val="22"/>
              </w:rPr>
            </w:pPr>
            <w:r w:rsidRPr="006A6EC1">
              <w:rPr>
                <w:rFonts w:cs="Arial"/>
                <w:color w:val="E36C0A" w:themeColor="accent6" w:themeShade="BF"/>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estudiantes procedentes de oficinas de P.I. que se muestran satisfechos con la formación proporcionada.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estudiantes que utilizan en la práctica las capacidades adquiridas en la formación.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6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Mar>
              <w:top w:w="113" w:type="dxa"/>
            </w:tcMar>
          </w:tcPr>
          <w:p w:rsidR="00C14248" w:rsidRPr="00332758" w:rsidRDefault="00C14248" w:rsidP="00DA1567">
            <w:pPr>
              <w:spacing w:before="60"/>
              <w:rPr>
                <w:sz w:val="14"/>
                <w:szCs w:val="14"/>
                <w:lang w:val="es-ES_tradnl" w:bidi="th-TH"/>
              </w:rPr>
            </w:pPr>
            <w:r w:rsidRPr="00ED3F13">
              <w:rPr>
                <w:sz w:val="14"/>
                <w:szCs w:val="14"/>
                <w:lang w:val="es-ES_tradnl" w:bidi="th-TH"/>
              </w:rPr>
              <w:t>Porcentaje de supervisores que aplican satisfactoriamente las capacidades adquiridas un año después de la formación.</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graduados de la Academia de la OMPI y de instituciones académicas asociadas (oferta conjunta).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participantes formados anualmente en los cursos de verano de la OMPI.</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Nº de profesores de P.I. que recibieron formación en la Academia.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academias nacionales de P.I. establecidas.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nuevos acuerdos de cooperación interinstitucional.</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Mayor facilidad de acceso a la formación en P.I.</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inscripciones en línea en los cursos de enseñanza a distancia.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estudiantes que completan los cursos de enseñanza a distancia.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Porcentaje de participantes en cursos de enseñanza a distancia que superan el examen.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cursos de la Academia incorporados a los planes de estudios de instituciones docentes.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nuevos cursos en línea/a diferentes niveles de especialización.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sz w:val="22"/>
                <w:szCs w:val="22"/>
              </w:rPr>
            </w:pPr>
            <w:r w:rsidRPr="006A6EC1">
              <w:rPr>
                <w:rFonts w:cs="Arial"/>
                <w:color w:val="FF0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idiomas en los que se imparten los cursos.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keepNext/>
              <w:keepLines/>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keepNext/>
              <w:keepLines/>
              <w:spacing w:before="80"/>
              <w:rPr>
                <w:sz w:val="14"/>
                <w:szCs w:val="14"/>
                <w:lang w:val="es-ES_tradnl" w:bidi="th-TH"/>
              </w:rPr>
            </w:pPr>
            <w:r w:rsidRPr="00ED3F13">
              <w:rPr>
                <w:sz w:val="14"/>
                <w:szCs w:val="14"/>
                <w:lang w:val="es-ES_tradnl" w:bidi="th-TH"/>
              </w:rPr>
              <w:t>Número de becas para países en desarrollo, PMA y países con economías en transición.</w:t>
            </w:r>
          </w:p>
        </w:tc>
        <w:tc>
          <w:tcPr>
            <w:tcW w:w="1134" w:type="dxa"/>
            <w:shd w:val="clear" w:color="auto" w:fill="auto"/>
          </w:tcPr>
          <w:p w:rsidR="00C14248" w:rsidRPr="00ED3F13" w:rsidRDefault="00C14248" w:rsidP="00DA1567">
            <w:pPr>
              <w:keepNext/>
              <w:keepLines/>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keepNext/>
              <w:keepLines/>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Fomento de las capacidades de gestión de P.I. para las empresas.</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participantes satisfechos con la formación recibida.</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Porcentaje de estudiantes que utilizan en la práctica las capacidades adquiridas en la formación.</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peticiones de cursos.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11</w:t>
            </w:r>
          </w:p>
        </w:tc>
        <w:tc>
          <w:tcPr>
            <w:tcW w:w="851" w:type="dxa"/>
          </w:tcPr>
          <w:p w:rsidR="00C14248" w:rsidRPr="006A6EC1" w:rsidRDefault="00C14248" w:rsidP="00DA1567">
            <w:pPr>
              <w:spacing w:before="20"/>
              <w:jc w:val="center"/>
              <w:rPr>
                <w:color w:val="00B050"/>
                <w:sz w:val="22"/>
                <w:szCs w:val="22"/>
              </w:rPr>
            </w:pPr>
            <w:r w:rsidRPr="006A6EC1">
              <w:rPr>
                <w:rFonts w:cs="Arial"/>
                <w:color w:val="FF0000"/>
                <w:sz w:val="22"/>
                <w:szCs w:val="22"/>
              </w:rPr>
              <w:sym w:font="Wingdings" w:char="F06C"/>
            </w:r>
          </w:p>
        </w:tc>
      </w:tr>
      <w:tr w:rsidR="00C14248" w:rsidRPr="00A34388" w:rsidTr="00DA1567">
        <w:tc>
          <w:tcPr>
            <w:tcW w:w="3537" w:type="dxa"/>
            <w:vMerge w:val="restart"/>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 xml:space="preserve">Mejor comprensión / capacidad de las pymes y las instituciones de apoyo a las pymes para utilizar con eficacia la P.I. en aras de la innovación y la comercialización.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 xml:space="preserve">Porcentaje de instituciones de respaldo a las pymes que recibieron asistencia y proporcionan información, respaldo y servicios de asesoramiento sobre la gestión de activos de P.I.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6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rFonts w:cs="Arial"/>
                <w:sz w:val="14"/>
                <w:szCs w:val="14"/>
                <w:lang w:val="es-ES_tradnl" w:bidi="th-TH"/>
              </w:rPr>
              <w:t xml:space="preserve">Número de programas nacionales/regionales de formación en gestión de activos de P.I.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6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rFonts w:cs="Arial"/>
                <w:sz w:val="14"/>
                <w:szCs w:val="14"/>
                <w:lang w:val="es-ES_tradnl" w:bidi="th-TH"/>
              </w:rPr>
              <w:t xml:space="preserve">Porcentaje de instituciones de respaldo a las pymes satisfechas en la formación proporcionada en gestión de activos de P.I.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30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val="restart"/>
            <w:shd w:val="clear" w:color="auto" w:fill="auto"/>
          </w:tcPr>
          <w:p w:rsidR="00C14248" w:rsidRPr="00ED3F13" w:rsidRDefault="00C14248" w:rsidP="00DA1567">
            <w:pPr>
              <w:spacing w:before="60"/>
              <w:rPr>
                <w:sz w:val="14"/>
                <w:szCs w:val="14"/>
                <w:lang w:val="es-ES_tradnl" w:bidi="th-TH"/>
              </w:rPr>
            </w:pPr>
            <w:r w:rsidRPr="00ED3F13">
              <w:rPr>
                <w:sz w:val="14"/>
                <w:szCs w:val="14"/>
                <w:lang w:val="es-ES_tradnl" w:bidi="th-TH"/>
              </w:rPr>
              <w:t>Los principios de la Agenda para el Desarrollo siguen incorporándose en los programas y actividades de la Organización.</w:t>
            </w:r>
          </w:p>
          <w:p w:rsidR="00C14248" w:rsidRPr="00332758" w:rsidRDefault="00C14248" w:rsidP="00DA1567">
            <w:pPr>
              <w:spacing w:before="60"/>
              <w:ind w:firstLine="140"/>
              <w:rPr>
                <w:sz w:val="14"/>
                <w:szCs w:val="14"/>
                <w:lang w:val="es-ES_tradnl" w:bidi="th-TH"/>
              </w:rPr>
            </w:pPr>
            <w:r w:rsidRPr="00ED3F13">
              <w:rPr>
                <w:sz w:val="14"/>
                <w:szCs w:val="14"/>
                <w:lang w:val="es-ES_tradnl" w:bidi="th-TH"/>
              </w:rPr>
              <w:lastRenderedPageBreak/>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lastRenderedPageBreak/>
              <w:t>Número de recomendaciones de la Agenda para el Desarrollo vinculadas con los resultados previstos en el presupuesto por programas de 2010/11.</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60"/>
              <w:ind w:firstLine="14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Número de recomendaciones de la Agenda para el Desarrollo vinculadas con los indicadores de rendimiento en el presupuesto por programas de 2010/11.</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60"/>
              <w:ind w:firstLine="140"/>
              <w:rPr>
                <w:sz w:val="14"/>
                <w:szCs w:val="14"/>
                <w:lang w:val="es-ES_tradnl" w:bidi="th-TH"/>
              </w:rPr>
            </w:pPr>
            <w:r w:rsidRPr="00ED3F13">
              <w:rPr>
                <w:sz w:val="14"/>
                <w:szCs w:val="14"/>
                <w:lang w:val="es-ES_tradnl" w:bidi="th-TH"/>
              </w:rPr>
              <w:lastRenderedPageBreak/>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 xml:space="preserve">Aplicación del mecanismo de coordinación aprobado por los Estados miembros. </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val="restart"/>
            <w:shd w:val="clear" w:color="auto" w:fill="auto"/>
          </w:tcPr>
          <w:p w:rsidR="00C14248" w:rsidRPr="00ED3F13" w:rsidRDefault="00C14248" w:rsidP="00DA1567">
            <w:pPr>
              <w:spacing w:before="80"/>
              <w:rPr>
                <w:sz w:val="14"/>
                <w:szCs w:val="14"/>
                <w:lang w:val="es-ES_tradnl" w:bidi="th-TH"/>
              </w:rPr>
            </w:pPr>
            <w:r w:rsidRPr="00ED3F13">
              <w:rPr>
                <w:sz w:val="14"/>
                <w:szCs w:val="14"/>
                <w:lang w:val="es-ES_tradnl" w:bidi="th-TH"/>
              </w:rPr>
              <w:t>Eficacia en la planificación, aplicación, supervisión, evaluación y presentación de informes respecto de las recomendaciones de la Agenda para el Desarrollo.</w:t>
            </w:r>
          </w:p>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recomendaciones de la Agenda para el Desarrollo que abordó el CDIP mediante proyectos, actividades y estudios.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Número de proyectos aprobados por el CDIP.</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ind w:firstLine="140"/>
              <w:rPr>
                <w:sz w:val="14"/>
                <w:szCs w:val="14"/>
                <w:lang w:val="es-ES_tradnl" w:bidi="th-TH"/>
              </w:rPr>
            </w:pP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Número de proyectos sometidos a examen del CDIP propuestos por los Estados miembros.</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Porcentaje de proyectos que son objeto de supervisión sistemática.</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Porcentaje de proyectos que han sido evaluados durante el bienio.</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ind w:firstLine="140"/>
              <w:rPr>
                <w:sz w:val="14"/>
                <w:szCs w:val="14"/>
                <w:lang w:val="es-ES_tradnl" w:bidi="th-TH"/>
              </w:rPr>
            </w:pPr>
            <w:r w:rsidRPr="00ED3F13">
              <w:rPr>
                <w:sz w:val="14"/>
                <w:szCs w:val="14"/>
                <w:lang w:val="es-ES_tradnl" w:bidi="th-TH"/>
              </w:rPr>
              <w:t xml:space="preserve"> </w:t>
            </w:r>
          </w:p>
        </w:tc>
        <w:tc>
          <w:tcPr>
            <w:tcW w:w="3991" w:type="dxa"/>
            <w:shd w:val="clear" w:color="auto" w:fill="auto"/>
          </w:tcPr>
          <w:p w:rsidR="00C14248" w:rsidRPr="00332758" w:rsidRDefault="00C14248" w:rsidP="00DA1567">
            <w:pPr>
              <w:spacing w:before="60"/>
              <w:rPr>
                <w:sz w:val="14"/>
                <w:szCs w:val="14"/>
                <w:lang w:val="es-ES_tradnl" w:bidi="th-TH"/>
              </w:rPr>
            </w:pPr>
            <w:r w:rsidRPr="00ED3F13">
              <w:rPr>
                <w:sz w:val="14"/>
                <w:szCs w:val="14"/>
                <w:lang w:val="es-ES_tradnl" w:bidi="th-TH"/>
              </w:rPr>
              <w:t>Información recibida acerca de la calidad de los informes presentados al CDIP sobre la aplicación de las recomendaciones de la Agenda para el Desarrollo.</w:t>
            </w:r>
          </w:p>
        </w:tc>
        <w:tc>
          <w:tcPr>
            <w:tcW w:w="1134" w:type="dxa"/>
            <w:shd w:val="clear" w:color="auto" w:fill="auto"/>
          </w:tcPr>
          <w:p w:rsidR="00C14248" w:rsidRPr="00ED3F13" w:rsidRDefault="00C14248" w:rsidP="00DA1567">
            <w:pPr>
              <w:spacing w:before="6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Mejor comprensión de la Agenda para el Desarrollo por los Estados miembros, las OIG, la sociedad civil y demás sectores interesados.</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de países que solicitan asistencia técnica mediante proyectos de la Agenda para el Desarrollo y que expresan interés en las actividades relacionadas con la Agenda para el Desarrollo.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8</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Reconocimiento por los Estados miembros, las comunidades, las organizaciones y otros sectores interesados de la utilidad y eficacia de los recursos, programas e instrumentos de la OMPI.</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 xml:space="preserve">Número de solicitudes de asistencia recibidas por la OMPI. </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4</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val="restart"/>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Aumento de los recursos extrapresupuestarios disponibles para utilizar la P.I. en aras del desarrollo por medio de contribuciones directas a la OMPI o gracias al acceso a otros mecanismos de financiación externos.</w:t>
            </w: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Aumento de los fondos disponibles por medio de acuerdos de fondos fiduciarios.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20</w:t>
            </w:r>
          </w:p>
        </w:tc>
        <w:tc>
          <w:tcPr>
            <w:tcW w:w="851" w:type="dxa"/>
          </w:tcPr>
          <w:p w:rsidR="00C14248" w:rsidRPr="006A6EC1" w:rsidRDefault="00C14248" w:rsidP="00DA1567">
            <w:pPr>
              <w:spacing w:before="20"/>
              <w:jc w:val="center"/>
              <w:rPr>
                <w:color w:val="008000"/>
                <w:sz w:val="22"/>
                <w:szCs w:val="22"/>
              </w:rPr>
            </w:pPr>
            <w:r w:rsidRPr="006A6EC1">
              <w:rPr>
                <w:rFonts w:cs="Arial"/>
                <w:color w:val="008000"/>
                <w:sz w:val="22"/>
                <w:szCs w:val="22"/>
              </w:rPr>
              <w:sym w:font="Wingdings" w:char="F06C"/>
            </w:r>
          </w:p>
        </w:tc>
      </w:tr>
      <w:tr w:rsidR="00C14248" w:rsidRPr="00A34388" w:rsidTr="00DA1567">
        <w:tc>
          <w:tcPr>
            <w:tcW w:w="3537" w:type="dxa"/>
            <w:vMerge/>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Número y valor financiero de los proyectos ejecutados por la OMPI con financiación proveniente de mecanismos externos existentes financiados por donantes.</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20</w:t>
            </w:r>
          </w:p>
        </w:tc>
        <w:tc>
          <w:tcPr>
            <w:tcW w:w="851" w:type="dxa"/>
          </w:tcPr>
          <w:p w:rsidR="00C14248" w:rsidRPr="006A6EC1" w:rsidRDefault="00C14248" w:rsidP="00DA1567">
            <w:pPr>
              <w:spacing w:before="20"/>
              <w:jc w:val="center"/>
              <w:rPr>
                <w:sz w:val="22"/>
                <w:szCs w:val="22"/>
              </w:rPr>
            </w:pPr>
            <w:r w:rsidRPr="006A6EC1">
              <w:rPr>
                <w:rFonts w:cs="Arial"/>
                <w:sz w:val="22"/>
                <w:szCs w:val="22"/>
              </w:rPr>
              <w:sym w:font="Wingdings" w:char="F06C"/>
            </w:r>
          </w:p>
        </w:tc>
      </w:tr>
      <w:tr w:rsidR="00C14248" w:rsidRPr="00A34388" w:rsidTr="00DA1567">
        <w:tc>
          <w:tcPr>
            <w:tcW w:w="3537" w:type="dxa"/>
            <w:shd w:val="clear" w:color="auto" w:fill="auto"/>
          </w:tcPr>
          <w:p w:rsidR="00C14248" w:rsidRPr="00332758" w:rsidRDefault="00C14248" w:rsidP="00DA1567">
            <w:pPr>
              <w:spacing w:before="80"/>
              <w:rPr>
                <w:sz w:val="14"/>
                <w:szCs w:val="14"/>
                <w:lang w:val="es-ES_tradnl" w:bidi="th-TH"/>
              </w:rPr>
            </w:pPr>
          </w:p>
        </w:tc>
        <w:tc>
          <w:tcPr>
            <w:tcW w:w="3991" w:type="dxa"/>
            <w:shd w:val="clear" w:color="auto" w:fill="auto"/>
          </w:tcPr>
          <w:p w:rsidR="00C14248" w:rsidRPr="00332758" w:rsidRDefault="00C14248" w:rsidP="00DA1567">
            <w:pPr>
              <w:spacing w:before="80"/>
              <w:rPr>
                <w:sz w:val="14"/>
                <w:szCs w:val="14"/>
                <w:lang w:val="es-ES_tradnl" w:bidi="th-TH"/>
              </w:rPr>
            </w:pPr>
            <w:r w:rsidRPr="00ED3F13">
              <w:rPr>
                <w:sz w:val="14"/>
                <w:szCs w:val="14"/>
                <w:lang w:val="es-ES_tradnl" w:bidi="th-TH"/>
              </w:rPr>
              <w:t>Elaboración de las Directrices de la OMPI para la Colaboración con el Sector Privado.</w:t>
            </w:r>
          </w:p>
        </w:tc>
        <w:tc>
          <w:tcPr>
            <w:tcW w:w="1134" w:type="dxa"/>
            <w:shd w:val="clear" w:color="auto" w:fill="auto"/>
          </w:tcPr>
          <w:p w:rsidR="00C14248" w:rsidRPr="00ED3F13" w:rsidRDefault="00C14248" w:rsidP="00DA1567">
            <w:pPr>
              <w:spacing w:before="80"/>
              <w:jc w:val="center"/>
              <w:rPr>
                <w:sz w:val="14"/>
                <w:szCs w:val="14"/>
                <w:lang w:val="es-ES_tradnl" w:bidi="th-TH"/>
              </w:rPr>
            </w:pPr>
            <w:r w:rsidRPr="00ED3F13">
              <w:rPr>
                <w:sz w:val="14"/>
                <w:szCs w:val="14"/>
                <w:lang w:val="es-ES_tradnl" w:bidi="th-TH"/>
              </w:rPr>
              <w:t>Programa 20</w:t>
            </w:r>
          </w:p>
        </w:tc>
        <w:tc>
          <w:tcPr>
            <w:tcW w:w="851" w:type="dxa"/>
          </w:tcPr>
          <w:p w:rsidR="00C14248" w:rsidRPr="006A6EC1" w:rsidRDefault="00C14248" w:rsidP="00DA1567">
            <w:pPr>
              <w:spacing w:before="20"/>
              <w:jc w:val="center"/>
              <w:rPr>
                <w:sz w:val="22"/>
                <w:szCs w:val="22"/>
                <w:lang w:bidi="th-TH"/>
              </w:rPr>
            </w:pPr>
            <w:r w:rsidRPr="006A6EC1">
              <w:rPr>
                <w:rFonts w:cs="Arial"/>
                <w:color w:val="FF0000"/>
                <w:sz w:val="22"/>
                <w:szCs w:val="22"/>
              </w:rPr>
              <w:sym w:font="Wingdings" w:char="F06C"/>
            </w:r>
          </w:p>
        </w:tc>
      </w:tr>
    </w:tbl>
    <w:p w:rsidR="00C14248" w:rsidRPr="00A34388" w:rsidRDefault="00C14248" w:rsidP="00C14248">
      <w:pPr>
        <w:jc w:val="both"/>
        <w:rPr>
          <w:lang w:val="es-ES_tradnl"/>
        </w:rPr>
      </w:pPr>
    </w:p>
    <w:p w:rsidR="00F134E3" w:rsidRPr="00332758" w:rsidRDefault="00F134E3" w:rsidP="00F134E3">
      <w:pPr>
        <w:jc w:val="both"/>
        <w:rPr>
          <w:lang w:val="es-ES_tradnl"/>
        </w:rPr>
      </w:pPr>
      <w:r w:rsidRPr="00332758">
        <w:rPr>
          <w:lang w:val="es-ES_tradnl"/>
        </w:rPr>
        <w:t xml:space="preserve">Facilitar el uso de la P.I. en aras del desarrollo y potenciar a los países en desarrollo y los PMA a fin de que utilicen la P.I. para aumentar el potencial y las capacidades de innovación nacional siguieron siendo prioridades en 2012.  </w:t>
      </w:r>
    </w:p>
    <w:p w:rsidR="00F134E3" w:rsidRPr="00A34388" w:rsidRDefault="00F134E3" w:rsidP="00F134E3">
      <w:pPr>
        <w:jc w:val="both"/>
        <w:rPr>
          <w:lang w:val="es-ES_tradnl"/>
        </w:rPr>
      </w:pPr>
    </w:p>
    <w:p w:rsidR="00F134E3" w:rsidRPr="00A34388" w:rsidRDefault="006C30F5" w:rsidP="00F134E3">
      <w:pPr>
        <w:autoSpaceDE w:val="0"/>
        <w:autoSpaceDN w:val="0"/>
        <w:adjustRightInd w:val="0"/>
        <w:jc w:val="both"/>
        <w:rPr>
          <w:rFonts w:cs="Arial"/>
          <w:szCs w:val="20"/>
          <w:lang w:val="es-ES_tradnl"/>
        </w:rPr>
      </w:pPr>
      <w:r w:rsidRPr="00332758">
        <w:rPr>
          <w:lang w:val="es-ES_tradnl"/>
        </w:rPr>
        <w:t>La</w:t>
      </w:r>
      <w:r w:rsidR="00536E54" w:rsidRPr="00332758">
        <w:rPr>
          <w:lang w:val="es-ES_tradnl"/>
        </w:rPr>
        <w:t xml:space="preserve"> OMPI siguió asistiendo a los países en desarrollo y los PMA en el diseño, desarrollo y aplicación de estrategias nacionales de P.I. coherentes con sus planes generales de desarrollo y, al </w:t>
      </w:r>
      <w:r w:rsidR="00536E54" w:rsidRPr="00332758">
        <w:rPr>
          <w:rFonts w:cs="Arial"/>
          <w:szCs w:val="20"/>
          <w:lang w:val="es-ES_tradnl"/>
        </w:rPr>
        <w:t xml:space="preserve">mismo tiempo, capaces de fomentar la innovación y la creatividad.  </w:t>
      </w:r>
      <w:r w:rsidR="00FF49CF" w:rsidRPr="00A34388">
        <w:rPr>
          <w:rFonts w:cs="Arial"/>
          <w:szCs w:val="20"/>
          <w:lang w:val="es-ES_tradnl"/>
        </w:rPr>
        <w:t xml:space="preserve">Mediante el proyecto de mejora de la capacidad de las instituciones de P.I. de ámbito nacional, subregional y regional y de los respectivos usuarios que finalizó en mayo de 2012, se creó un método normalizado y flexible, así como un conjunto de instrumentos prácticos para la formulación de estrategias y planes nacionales en materia de P.I.  </w:t>
      </w:r>
      <w:r w:rsidR="00F81B8F" w:rsidRPr="00A34388">
        <w:rPr>
          <w:rFonts w:cs="Arial"/>
          <w:szCs w:val="20"/>
          <w:lang w:val="es-ES_tradnl"/>
        </w:rPr>
        <w:t xml:space="preserve">Este </w:t>
      </w:r>
      <w:r w:rsidR="00135910" w:rsidRPr="00A34388">
        <w:rPr>
          <w:rFonts w:cs="Arial"/>
          <w:szCs w:val="20"/>
          <w:lang w:val="es-ES_tradnl"/>
        </w:rPr>
        <w:t xml:space="preserve">método e </w:t>
      </w:r>
      <w:r w:rsidR="00F134E3" w:rsidRPr="00A34388">
        <w:rPr>
          <w:rFonts w:cs="Arial"/>
          <w:szCs w:val="20"/>
          <w:lang w:val="es-ES_tradnl"/>
        </w:rPr>
        <w:t xml:space="preserve">instrumentos fueron incorporados en 2013 para </w:t>
      </w:r>
      <w:r w:rsidR="00F81B8F" w:rsidRPr="00A34388">
        <w:rPr>
          <w:rFonts w:cs="Arial"/>
          <w:szCs w:val="20"/>
          <w:lang w:val="es-ES_tradnl"/>
        </w:rPr>
        <w:t xml:space="preserve">ser utilizados </w:t>
      </w:r>
      <w:r w:rsidR="00F134E3" w:rsidRPr="00A34388">
        <w:rPr>
          <w:rFonts w:cs="Arial"/>
          <w:szCs w:val="20"/>
          <w:lang w:val="es-ES_tradnl"/>
        </w:rPr>
        <w:t xml:space="preserve">en los procesos de formulación de estrategias nacionales </w:t>
      </w:r>
      <w:r w:rsidR="00F81B8F" w:rsidRPr="00A34388">
        <w:rPr>
          <w:rFonts w:cs="Arial"/>
          <w:szCs w:val="20"/>
          <w:lang w:val="es-ES_tradnl"/>
        </w:rPr>
        <w:t xml:space="preserve">en materia de </w:t>
      </w:r>
      <w:r w:rsidR="00F134E3" w:rsidRPr="00A34388">
        <w:rPr>
          <w:rFonts w:cs="Arial"/>
          <w:szCs w:val="20"/>
          <w:lang w:val="es-ES_tradnl"/>
        </w:rPr>
        <w:t>P.I. en los países en desarrollo y los PMA.  Durante el bienio, se adoptaron estrategias</w:t>
      </w:r>
      <w:r w:rsidR="00F81B8F" w:rsidRPr="00A34388">
        <w:rPr>
          <w:rFonts w:cs="Arial"/>
          <w:szCs w:val="20"/>
          <w:lang w:val="es-ES_tradnl"/>
        </w:rPr>
        <w:t xml:space="preserve"> y </w:t>
      </w:r>
      <w:r w:rsidR="00F134E3" w:rsidRPr="00A34388">
        <w:rPr>
          <w:rFonts w:cs="Arial"/>
          <w:szCs w:val="20"/>
          <w:lang w:val="es-ES_tradnl"/>
        </w:rPr>
        <w:t>planes de P.I. en 11 países (tres en África, dos en la región árabe, tres en la región de Asia y el Pacífico</w:t>
      </w:r>
      <w:r w:rsidR="00F81B8F" w:rsidRPr="00A34388">
        <w:rPr>
          <w:rFonts w:cs="Arial"/>
          <w:szCs w:val="20"/>
          <w:lang w:val="es-ES_tradnl"/>
        </w:rPr>
        <w:t>,</w:t>
      </w:r>
      <w:r w:rsidR="00F134E3" w:rsidRPr="00A34388">
        <w:rPr>
          <w:rFonts w:cs="Arial"/>
          <w:szCs w:val="20"/>
          <w:lang w:val="es-ES_tradnl"/>
        </w:rPr>
        <w:t xml:space="preserve"> y tres en la región de América Latina y el Caribe). </w:t>
      </w:r>
      <w:r w:rsidR="00F134E3" w:rsidRPr="00332758">
        <w:rPr>
          <w:rFonts w:cs="Arial"/>
          <w:szCs w:val="20"/>
          <w:lang w:val="es-ES_tradnl"/>
        </w:rPr>
        <w:t xml:space="preserve"> Los procesos de formulación</w:t>
      </w:r>
      <w:r w:rsidR="00F134E3" w:rsidRPr="00332758">
        <w:rPr>
          <w:lang w:val="es-ES_tradnl"/>
        </w:rPr>
        <w:t xml:space="preserve"> de estrategias de P.I. y de aplicación se iniciaron en 32 países (cinco en África, cinco en la región árabe, nueve en la región de Asia y el Pacífico y 13 en la región de América Latina y el Caribe)</w:t>
      </w:r>
      <w:r w:rsidR="00F134E3" w:rsidRPr="00A34388">
        <w:rPr>
          <w:lang w:val="es-ES_tradnl"/>
        </w:rPr>
        <w:t xml:space="preserve">.  </w:t>
      </w:r>
      <w:r w:rsidR="006B04E8" w:rsidRPr="00A34388">
        <w:rPr>
          <w:lang w:val="es-ES_tradnl"/>
        </w:rPr>
        <w:t>En el bienio, d</w:t>
      </w:r>
      <w:r w:rsidR="00F134E3" w:rsidRPr="00A34388">
        <w:rPr>
          <w:lang w:val="es-ES_tradnl"/>
        </w:rPr>
        <w:t xml:space="preserve">os PMA (Bangladesh y Etiopía) </w:t>
      </w:r>
      <w:r w:rsidR="006B04E8" w:rsidRPr="00A34388">
        <w:rPr>
          <w:lang w:val="es-ES_tradnl"/>
        </w:rPr>
        <w:t xml:space="preserve">incluyeron </w:t>
      </w:r>
      <w:r w:rsidR="00F134E3" w:rsidRPr="00A34388">
        <w:rPr>
          <w:lang w:val="es-ES_tradnl"/>
        </w:rPr>
        <w:t xml:space="preserve">consideraciones </w:t>
      </w:r>
      <w:r w:rsidR="00135910" w:rsidRPr="00A34388">
        <w:rPr>
          <w:lang w:val="es-ES_tradnl"/>
        </w:rPr>
        <w:t xml:space="preserve">de P.I. </w:t>
      </w:r>
      <w:r w:rsidR="006D60CB" w:rsidRPr="00A34388">
        <w:rPr>
          <w:lang w:val="es-ES_tradnl"/>
        </w:rPr>
        <w:t xml:space="preserve">propias de los PMA </w:t>
      </w:r>
      <w:r w:rsidR="00F134E3" w:rsidRPr="00A34388">
        <w:rPr>
          <w:lang w:val="es-ES_tradnl"/>
        </w:rPr>
        <w:t xml:space="preserve">en sus estrategias y/o políticas nacionales de P.I., </w:t>
      </w:r>
      <w:r w:rsidR="006D60CB" w:rsidRPr="00A34388">
        <w:rPr>
          <w:lang w:val="es-ES_tradnl"/>
        </w:rPr>
        <w:t xml:space="preserve">con lo que el número total de PMA que han incorporado consideraciones de este tipo asciende a seis, y </w:t>
      </w:r>
      <w:r w:rsidR="00F134E3" w:rsidRPr="00A34388">
        <w:rPr>
          <w:lang w:val="es-ES_tradnl"/>
        </w:rPr>
        <w:t xml:space="preserve">otros dos (Madagascar y Nepal) </w:t>
      </w:r>
      <w:r w:rsidR="00FF49CF" w:rsidRPr="00A34388">
        <w:rPr>
          <w:lang w:val="es-ES_tradnl"/>
        </w:rPr>
        <w:t xml:space="preserve">se </w:t>
      </w:r>
      <w:r w:rsidR="006D60CB" w:rsidRPr="00A34388">
        <w:rPr>
          <w:lang w:val="es-ES_tradnl"/>
        </w:rPr>
        <w:t xml:space="preserve">encuentran </w:t>
      </w:r>
      <w:r w:rsidR="00F134E3" w:rsidRPr="00A34388">
        <w:rPr>
          <w:lang w:val="es-ES_tradnl"/>
        </w:rPr>
        <w:t>en la</w:t>
      </w:r>
      <w:r w:rsidR="006D60CB" w:rsidRPr="00A34388">
        <w:rPr>
          <w:lang w:val="es-ES_tradnl"/>
        </w:rPr>
        <w:t>s</w:t>
      </w:r>
      <w:r w:rsidR="00F134E3" w:rsidRPr="00A34388">
        <w:rPr>
          <w:lang w:val="es-ES_tradnl"/>
        </w:rPr>
        <w:t xml:space="preserve"> </w:t>
      </w:r>
      <w:r w:rsidR="00D53C24" w:rsidRPr="00A34388">
        <w:rPr>
          <w:lang w:val="es-ES_tradnl"/>
        </w:rPr>
        <w:t xml:space="preserve">etapas </w:t>
      </w:r>
      <w:r w:rsidR="00F134E3" w:rsidRPr="00A34388">
        <w:rPr>
          <w:lang w:val="es-ES_tradnl"/>
        </w:rPr>
        <w:t>finales</w:t>
      </w:r>
      <w:r w:rsidR="006B04E8" w:rsidRPr="00A34388">
        <w:rPr>
          <w:lang w:val="es-ES_tradnl"/>
        </w:rPr>
        <w:t xml:space="preserve"> de este proceso</w:t>
      </w:r>
      <w:r w:rsidR="00F134E3" w:rsidRPr="00A34388">
        <w:rPr>
          <w:lang w:val="es-ES_tradnl"/>
        </w:rPr>
        <w:t xml:space="preserve">.  </w:t>
      </w:r>
      <w:r w:rsidR="006D60CB" w:rsidRPr="00A34388">
        <w:rPr>
          <w:lang w:val="es-ES_tradnl"/>
        </w:rPr>
        <w:t>S</w:t>
      </w:r>
      <w:r w:rsidR="006B04E8" w:rsidRPr="00A34388">
        <w:rPr>
          <w:lang w:val="es-ES_tradnl"/>
        </w:rPr>
        <w:t xml:space="preserve">e han llevado </w:t>
      </w:r>
      <w:r w:rsidR="0015222C" w:rsidRPr="00A34388">
        <w:rPr>
          <w:lang w:val="es-ES_tradnl"/>
        </w:rPr>
        <w:t xml:space="preserve">también </w:t>
      </w:r>
      <w:r w:rsidR="006B04E8" w:rsidRPr="00A34388">
        <w:rPr>
          <w:lang w:val="es-ES_tradnl"/>
        </w:rPr>
        <w:t xml:space="preserve">a cabo </w:t>
      </w:r>
      <w:r w:rsidR="00F134E3" w:rsidRPr="00A34388">
        <w:rPr>
          <w:lang w:val="es-ES_tradnl"/>
        </w:rPr>
        <w:t xml:space="preserve">actividades/proyectos que contribuyen a la aplicación de </w:t>
      </w:r>
      <w:r w:rsidR="006D60CB" w:rsidRPr="00A34388">
        <w:rPr>
          <w:lang w:val="es-ES_tradnl"/>
        </w:rPr>
        <w:t xml:space="preserve">las </w:t>
      </w:r>
      <w:r w:rsidR="00F134E3" w:rsidRPr="00A34388">
        <w:rPr>
          <w:lang w:val="es-ES_tradnl"/>
        </w:rPr>
        <w:t>estrategias/políticas de P.I.</w:t>
      </w:r>
      <w:r w:rsidR="006D60CB" w:rsidRPr="00A34388">
        <w:rPr>
          <w:lang w:val="es-ES_tradnl"/>
        </w:rPr>
        <w:t xml:space="preserve"> en 21 países (cinco en Áfri</w:t>
      </w:r>
      <w:r w:rsidR="003F11A0">
        <w:rPr>
          <w:lang w:val="es-ES_tradnl"/>
        </w:rPr>
        <w:t>ca, cuatro en la región árabe y </w:t>
      </w:r>
      <w:r w:rsidR="006D60CB" w:rsidRPr="00A34388">
        <w:rPr>
          <w:lang w:val="es-ES_tradnl"/>
        </w:rPr>
        <w:t>12 en la región de América Latina y el Caribe).</w:t>
      </w:r>
    </w:p>
    <w:p w:rsidR="00F134E3" w:rsidRPr="00A34388" w:rsidRDefault="00F134E3" w:rsidP="00F134E3">
      <w:pPr>
        <w:jc w:val="both"/>
        <w:rPr>
          <w:lang w:val="es-ES_tradnl"/>
        </w:rPr>
      </w:pPr>
    </w:p>
    <w:p w:rsidR="00F134E3" w:rsidRPr="00A34388" w:rsidRDefault="00F134E3" w:rsidP="00F134E3">
      <w:pPr>
        <w:jc w:val="both"/>
        <w:rPr>
          <w:lang w:val="es-ES_tradnl"/>
        </w:rPr>
      </w:pPr>
      <w:r w:rsidRPr="00A34388">
        <w:rPr>
          <w:lang w:val="es-ES_tradnl"/>
        </w:rPr>
        <w:t xml:space="preserve">Los siguientes </w:t>
      </w:r>
      <w:r w:rsidR="00BB0FC9" w:rsidRPr="00A34388">
        <w:rPr>
          <w:lang w:val="es-ES_tradnl"/>
        </w:rPr>
        <w:t xml:space="preserve">Estados de </w:t>
      </w:r>
      <w:r w:rsidRPr="00A34388">
        <w:rPr>
          <w:lang w:val="es-ES_tradnl"/>
        </w:rPr>
        <w:t xml:space="preserve">Europa Central y del Báltico, Asia Central, Europa Oriental y el Cáucaso, así como algunos países mediterráneos, modificaron su legislación nacional en materia de P.I. </w:t>
      </w:r>
      <w:r w:rsidR="003D7680" w:rsidRPr="00A34388">
        <w:rPr>
          <w:lang w:val="es-ES_tradnl"/>
        </w:rPr>
        <w:t xml:space="preserve">en sintonía </w:t>
      </w:r>
      <w:r w:rsidRPr="00A34388">
        <w:rPr>
          <w:lang w:val="es-ES_tradnl"/>
        </w:rPr>
        <w:t xml:space="preserve">con sus estrategias nacionales </w:t>
      </w:r>
      <w:r w:rsidR="003D7680" w:rsidRPr="00A34388">
        <w:rPr>
          <w:lang w:val="es-ES_tradnl"/>
        </w:rPr>
        <w:t xml:space="preserve">de </w:t>
      </w:r>
      <w:r w:rsidR="00BB0FC9" w:rsidRPr="00A34388">
        <w:rPr>
          <w:lang w:val="es-ES_tradnl"/>
        </w:rPr>
        <w:t>P.I.</w:t>
      </w:r>
      <w:r w:rsidRPr="00A34388">
        <w:rPr>
          <w:lang w:val="es-ES_tradnl"/>
        </w:rPr>
        <w:t xml:space="preserve">:  Albania, Armenia, </w:t>
      </w:r>
      <w:proofErr w:type="spellStart"/>
      <w:r w:rsidRPr="00A34388">
        <w:rPr>
          <w:lang w:val="es-ES_tradnl"/>
        </w:rPr>
        <w:t>Belarús</w:t>
      </w:r>
      <w:proofErr w:type="spellEnd"/>
      <w:r w:rsidRPr="00A34388">
        <w:rPr>
          <w:lang w:val="es-ES_tradnl"/>
        </w:rPr>
        <w:t>, Bosnia y Herzegovina, Polonia, Ruman</w:t>
      </w:r>
      <w:r w:rsidR="00BB0FC9" w:rsidRPr="00A34388">
        <w:rPr>
          <w:lang w:val="es-ES_tradnl"/>
        </w:rPr>
        <w:t>i</w:t>
      </w:r>
      <w:r w:rsidRPr="00A34388">
        <w:rPr>
          <w:lang w:val="es-ES_tradnl"/>
        </w:rPr>
        <w:t>a, Eslovenia y Tayikistán.</w:t>
      </w:r>
      <w:r w:rsidR="00537926" w:rsidRPr="00A34388">
        <w:rPr>
          <w:lang w:val="es-ES_tradnl"/>
        </w:rPr>
        <w:t xml:space="preserve"> </w:t>
      </w:r>
      <w:r w:rsidRPr="00A34388">
        <w:rPr>
          <w:lang w:val="es-ES_tradnl"/>
        </w:rPr>
        <w:t xml:space="preserve"> Kazajstán y la Federación de Rusia </w:t>
      </w:r>
      <w:r w:rsidR="005360EC" w:rsidRPr="00A34388">
        <w:rPr>
          <w:lang w:val="es-ES_tradnl"/>
        </w:rPr>
        <w:t xml:space="preserve">han iniciado el proceso para modificar su legislación nacional. </w:t>
      </w:r>
    </w:p>
    <w:p w:rsidR="00F134E3" w:rsidRPr="00A34388" w:rsidRDefault="00F134E3" w:rsidP="00F134E3">
      <w:pPr>
        <w:autoSpaceDE w:val="0"/>
        <w:autoSpaceDN w:val="0"/>
        <w:adjustRightInd w:val="0"/>
        <w:jc w:val="both"/>
        <w:rPr>
          <w:rFonts w:eastAsia="MS Mincho"/>
          <w:lang w:val="es-ES_tradnl" w:eastAsia="ja-JP"/>
        </w:rPr>
      </w:pPr>
    </w:p>
    <w:p w:rsidR="00F134E3" w:rsidRPr="00A34388" w:rsidRDefault="00F134E3" w:rsidP="00F134E3">
      <w:pPr>
        <w:autoSpaceDE w:val="0"/>
        <w:autoSpaceDN w:val="0"/>
        <w:adjustRightInd w:val="0"/>
        <w:jc w:val="both"/>
        <w:rPr>
          <w:lang w:val="es-ES_tradnl"/>
        </w:rPr>
      </w:pPr>
      <w:r w:rsidRPr="00332758">
        <w:rPr>
          <w:rFonts w:eastAsia="MS Mincho"/>
          <w:lang w:val="es-ES_tradnl" w:eastAsia="ja-JP"/>
        </w:rPr>
        <w:t>Dentro de los esfuerzos encaminados a mejorar las capacidades nacionales y regionales para el uso eficaz de la P.I. en aras del desarrollo, a finales de 2011 se creó una plataforma nueva y más funcional de enseñanza a distancia</w:t>
      </w:r>
      <w:r w:rsidRPr="00A34388">
        <w:rPr>
          <w:rFonts w:eastAsia="MS Mincho"/>
          <w:lang w:val="es-ES_tradnl" w:eastAsia="ja-JP"/>
        </w:rPr>
        <w:t xml:space="preserve">.  </w:t>
      </w:r>
      <w:r w:rsidR="00BB0FC9" w:rsidRPr="00A34388">
        <w:rPr>
          <w:rFonts w:eastAsia="MS Mincho"/>
          <w:lang w:val="es-ES_tradnl" w:eastAsia="ja-JP"/>
        </w:rPr>
        <w:t>Un</w:t>
      </w:r>
      <w:r w:rsidRPr="00A34388">
        <w:rPr>
          <w:rFonts w:eastAsia="MS Mincho"/>
          <w:lang w:val="es-ES_tradnl" w:eastAsia="ja-JP"/>
        </w:rPr>
        <w:t xml:space="preserve"> total de 81.484 personas procedentes de 189 </w:t>
      </w:r>
      <w:r w:rsidR="00BB0FC9" w:rsidRPr="00A34388">
        <w:rPr>
          <w:rFonts w:eastAsia="MS Mincho"/>
          <w:lang w:val="es-ES_tradnl" w:eastAsia="ja-JP"/>
        </w:rPr>
        <w:t xml:space="preserve">países pudieron </w:t>
      </w:r>
      <w:r w:rsidR="00BB0FC9" w:rsidRPr="00A34388">
        <w:rPr>
          <w:rFonts w:eastAsia="MS Mincho"/>
          <w:lang w:val="es-ES_tradnl" w:eastAsia="ja-JP"/>
        </w:rPr>
        <w:lastRenderedPageBreak/>
        <w:t>beneficiarse en 2012 d</w:t>
      </w:r>
      <w:r w:rsidRPr="00A34388">
        <w:rPr>
          <w:rFonts w:eastAsia="MS Mincho"/>
          <w:lang w:val="es-ES_tradnl" w:eastAsia="ja-JP"/>
        </w:rPr>
        <w:t>e las actividades plurilingüe</w:t>
      </w:r>
      <w:r w:rsidR="00BB0FC9" w:rsidRPr="00A34388">
        <w:rPr>
          <w:rFonts w:eastAsia="MS Mincho"/>
          <w:lang w:val="es-ES_tradnl" w:eastAsia="ja-JP"/>
        </w:rPr>
        <w:t>s</w:t>
      </w:r>
      <w:r w:rsidRPr="00A34388">
        <w:rPr>
          <w:rFonts w:eastAsia="MS Mincho"/>
          <w:lang w:val="es-ES_tradnl" w:eastAsia="ja-JP"/>
        </w:rPr>
        <w:t xml:space="preserve"> (</w:t>
      </w:r>
      <w:r w:rsidR="00BB0FC9" w:rsidRPr="00A34388">
        <w:rPr>
          <w:rFonts w:eastAsia="MS Mincho"/>
          <w:lang w:val="es-ES_tradnl" w:eastAsia="ja-JP"/>
        </w:rPr>
        <w:t>en 11</w:t>
      </w:r>
      <w:r w:rsidRPr="00A34388">
        <w:rPr>
          <w:rFonts w:eastAsia="MS Mincho"/>
          <w:lang w:val="es-ES_tradnl" w:eastAsia="ja-JP"/>
        </w:rPr>
        <w:t xml:space="preserve"> idiomas)</w:t>
      </w:r>
      <w:r w:rsidR="00BB0FC9" w:rsidRPr="00A34388">
        <w:rPr>
          <w:rFonts w:eastAsia="MS Mincho"/>
          <w:lang w:val="es-ES_tradnl" w:eastAsia="ja-JP"/>
        </w:rPr>
        <w:t xml:space="preserve"> </w:t>
      </w:r>
      <w:r w:rsidR="003D7680" w:rsidRPr="00A34388">
        <w:rPr>
          <w:rFonts w:eastAsia="MS Mincho"/>
          <w:lang w:val="es-ES_tradnl" w:eastAsia="ja-JP"/>
        </w:rPr>
        <w:t xml:space="preserve">llevadas a cabo </w:t>
      </w:r>
      <w:r w:rsidR="00BB0FC9" w:rsidRPr="00A34388">
        <w:rPr>
          <w:rFonts w:eastAsia="MS Mincho"/>
          <w:lang w:val="es-ES_tradnl" w:eastAsia="ja-JP"/>
        </w:rPr>
        <w:t xml:space="preserve">en el marco del programa de </w:t>
      </w:r>
      <w:r w:rsidRPr="00A34388">
        <w:rPr>
          <w:rFonts w:eastAsia="MS Mincho"/>
          <w:lang w:val="es-ES_tradnl" w:eastAsia="ja-JP"/>
        </w:rPr>
        <w:t xml:space="preserve">enseñanza a distancia de la Academia de la OMPI.  Con vistas a armonizar los contenidos académicos con los objetivos de la </w:t>
      </w:r>
      <w:r w:rsidRPr="00A34388">
        <w:rPr>
          <w:lang w:val="es-ES_tradnl"/>
        </w:rPr>
        <w:t xml:space="preserve">Agenda para el Desarrollo, más de un centenar de profesionales de los seis países beneficiarios </w:t>
      </w:r>
      <w:r w:rsidR="009538A3" w:rsidRPr="00A34388">
        <w:rPr>
          <w:lang w:val="es-ES_tradnl"/>
        </w:rPr>
        <w:t>d</w:t>
      </w:r>
      <w:r w:rsidRPr="00A34388">
        <w:rPr>
          <w:lang w:val="es-ES_tradnl"/>
        </w:rPr>
        <w:t xml:space="preserve">el proyecto de creación de academias nacionales de P.I. recibieron </w:t>
      </w:r>
      <w:r w:rsidR="005360EC" w:rsidRPr="00A34388">
        <w:rPr>
          <w:lang w:val="es-ES_tradnl"/>
        </w:rPr>
        <w:t xml:space="preserve">formación en el marco de </w:t>
      </w:r>
      <w:r w:rsidRPr="00A34388">
        <w:rPr>
          <w:lang w:val="es-ES_tradnl"/>
        </w:rPr>
        <w:t xml:space="preserve">una sesión </w:t>
      </w:r>
      <w:r w:rsidR="003242C1" w:rsidRPr="00A34388">
        <w:rPr>
          <w:lang w:val="es-ES_tradnl"/>
        </w:rPr>
        <w:t xml:space="preserve">especial </w:t>
      </w:r>
      <w:r w:rsidRPr="00A34388">
        <w:rPr>
          <w:lang w:val="es-ES_tradnl"/>
        </w:rPr>
        <w:t xml:space="preserve">de formación </w:t>
      </w:r>
      <w:r w:rsidR="005360EC" w:rsidRPr="00A34388">
        <w:rPr>
          <w:lang w:val="es-ES_tradnl"/>
        </w:rPr>
        <w:t xml:space="preserve">de </w:t>
      </w:r>
      <w:r w:rsidRPr="00A34388">
        <w:rPr>
          <w:lang w:val="es-ES_tradnl"/>
        </w:rPr>
        <w:t xml:space="preserve">formadores </w:t>
      </w:r>
      <w:r w:rsidR="005360EC" w:rsidRPr="00A34388">
        <w:rPr>
          <w:lang w:val="es-ES_tradnl"/>
        </w:rPr>
        <w:t xml:space="preserve">para futuros tutores </w:t>
      </w:r>
      <w:r w:rsidR="00E71E20" w:rsidRPr="00A34388">
        <w:rPr>
          <w:lang w:val="es-ES_tradnl"/>
        </w:rPr>
        <w:t xml:space="preserve">de enseñanza </w:t>
      </w:r>
      <w:r w:rsidR="005360EC" w:rsidRPr="00A34388">
        <w:rPr>
          <w:lang w:val="es-ES_tradnl"/>
        </w:rPr>
        <w:t>a distancia</w:t>
      </w:r>
      <w:r w:rsidRPr="00A34388">
        <w:rPr>
          <w:lang w:val="es-ES_tradnl"/>
        </w:rPr>
        <w:t xml:space="preserve">.  </w:t>
      </w:r>
      <w:r w:rsidR="005360EC" w:rsidRPr="00A34388">
        <w:rPr>
          <w:lang w:val="es-ES_tradnl"/>
        </w:rPr>
        <w:t xml:space="preserve">Se organizaron también varias sesiones </w:t>
      </w:r>
      <w:r w:rsidR="00D53C24" w:rsidRPr="00A34388">
        <w:rPr>
          <w:lang w:val="es-ES_tradnl"/>
        </w:rPr>
        <w:t xml:space="preserve">diseñadas </w:t>
      </w:r>
      <w:r w:rsidR="005360EC" w:rsidRPr="00A34388">
        <w:rPr>
          <w:lang w:val="es-ES_tradnl"/>
        </w:rPr>
        <w:t xml:space="preserve">a medida </w:t>
      </w:r>
      <w:r w:rsidRPr="00A34388">
        <w:rPr>
          <w:lang w:val="es-ES_tradnl"/>
        </w:rPr>
        <w:t>con</w:t>
      </w:r>
      <w:proofErr w:type="gramStart"/>
      <w:r w:rsidRPr="00A34388">
        <w:rPr>
          <w:lang w:val="es-ES_tradnl"/>
        </w:rPr>
        <w:t>:  i</w:t>
      </w:r>
      <w:proofErr w:type="gramEnd"/>
      <w:r w:rsidRPr="00A34388">
        <w:rPr>
          <w:lang w:val="es-ES_tradnl"/>
        </w:rPr>
        <w:t>) oficinas de P.I. (</w:t>
      </w:r>
      <w:r w:rsidR="0065614B" w:rsidRPr="00A34388">
        <w:rPr>
          <w:lang w:val="es-ES_tradnl"/>
        </w:rPr>
        <w:t xml:space="preserve">el </w:t>
      </w:r>
      <w:r w:rsidRPr="00A34388">
        <w:rPr>
          <w:lang w:val="es-ES_tradnl"/>
        </w:rPr>
        <w:t xml:space="preserve">Brasil, China, México y la Federación de Rusia);  ii) otras </w:t>
      </w:r>
      <w:r w:rsidR="003242C1" w:rsidRPr="00A34388">
        <w:rPr>
          <w:lang w:val="es-ES_tradnl"/>
        </w:rPr>
        <w:t xml:space="preserve">instituciones </w:t>
      </w:r>
      <w:r w:rsidRPr="00A34388">
        <w:rPr>
          <w:lang w:val="es-ES_tradnl"/>
        </w:rPr>
        <w:t>nacionales interesadas (</w:t>
      </w:r>
      <w:r w:rsidR="0065614B" w:rsidRPr="00A34388">
        <w:rPr>
          <w:lang w:val="es-ES_tradnl"/>
        </w:rPr>
        <w:t xml:space="preserve">el </w:t>
      </w:r>
      <w:r w:rsidRPr="00A34388">
        <w:rPr>
          <w:lang w:val="es-ES_tradnl"/>
        </w:rPr>
        <w:t>Brasil, Bulgaria, China, Croacia, Honduras, México, la República de Corea, Serbia y la Organización Regional Africana de la Propiedad Intelectual (ARIPO));  iii) CATI (Etiopía, Filipinas, la Federación de Rusia y el Uruguay);  y iv) once universidades.</w:t>
      </w:r>
      <w:r w:rsidRPr="00A34388">
        <w:rPr>
          <w:rFonts w:eastAsia="MS Mincho"/>
          <w:szCs w:val="22"/>
          <w:lang w:val="es-ES_tradnl" w:eastAsia="ja-JP"/>
        </w:rPr>
        <w:t xml:space="preserve">  Al </w:t>
      </w:r>
      <w:r w:rsidR="00C11AC0" w:rsidRPr="00A34388">
        <w:rPr>
          <w:rFonts w:eastAsia="MS Mincho"/>
          <w:szCs w:val="22"/>
          <w:lang w:val="es-ES_tradnl" w:eastAsia="ja-JP"/>
        </w:rPr>
        <w:t>cierre de</w:t>
      </w:r>
      <w:r w:rsidRPr="00A34388">
        <w:rPr>
          <w:rFonts w:eastAsia="MS Mincho"/>
          <w:szCs w:val="22"/>
          <w:lang w:val="es-ES_tradnl" w:eastAsia="ja-JP"/>
        </w:rPr>
        <w:t xml:space="preserve"> 2013, se habían </w:t>
      </w:r>
      <w:r w:rsidR="009538A3" w:rsidRPr="00A34388">
        <w:rPr>
          <w:rFonts w:eastAsia="MS Mincho"/>
          <w:szCs w:val="22"/>
          <w:lang w:val="es-ES_tradnl" w:eastAsia="ja-JP"/>
        </w:rPr>
        <w:t xml:space="preserve">establecido </w:t>
      </w:r>
      <w:r w:rsidRPr="00A34388">
        <w:rPr>
          <w:rFonts w:eastAsia="MS Mincho"/>
          <w:szCs w:val="22"/>
          <w:lang w:val="es-ES_tradnl" w:eastAsia="ja-JP"/>
        </w:rPr>
        <w:t>cuatro nuevas academias de P.I.</w:t>
      </w:r>
      <w:proofErr w:type="gramStart"/>
      <w:r w:rsidR="006C30F5">
        <w:rPr>
          <w:rFonts w:eastAsia="MS Mincho"/>
          <w:szCs w:val="22"/>
          <w:lang w:val="es-ES_tradnl" w:eastAsia="ja-JP"/>
        </w:rPr>
        <w:t xml:space="preserve">: </w:t>
      </w:r>
      <w:r w:rsidRPr="00A34388">
        <w:rPr>
          <w:rFonts w:eastAsia="MS Mincho"/>
          <w:szCs w:val="22"/>
          <w:lang w:val="es-ES_tradnl" w:eastAsia="ja-JP"/>
        </w:rPr>
        <w:t xml:space="preserve"> las</w:t>
      </w:r>
      <w:proofErr w:type="gramEnd"/>
      <w:r w:rsidRPr="00A34388">
        <w:rPr>
          <w:rFonts w:eastAsia="MS Mincho"/>
          <w:szCs w:val="22"/>
          <w:lang w:val="es-ES_tradnl" w:eastAsia="ja-JP"/>
        </w:rPr>
        <w:t xml:space="preserve"> correspondientes a Colombia, la República Dominicana, el Perú y Túnez</w:t>
      </w:r>
      <w:r w:rsidRPr="00A34388">
        <w:rPr>
          <w:lang w:val="es-ES_tradnl"/>
        </w:rPr>
        <w:t xml:space="preserve">.  A finales de ese mismo año, </w:t>
      </w:r>
      <w:r w:rsidR="003242C1" w:rsidRPr="00A34388">
        <w:rPr>
          <w:lang w:val="es-ES_tradnl"/>
        </w:rPr>
        <w:t xml:space="preserve">el establecimiento </w:t>
      </w:r>
      <w:r w:rsidRPr="00A34388">
        <w:rPr>
          <w:lang w:val="es-ES_tradnl"/>
        </w:rPr>
        <w:t xml:space="preserve">de </w:t>
      </w:r>
      <w:r w:rsidR="009538A3" w:rsidRPr="00A34388">
        <w:rPr>
          <w:lang w:val="es-ES_tradnl"/>
        </w:rPr>
        <w:t xml:space="preserve">este tipo de </w:t>
      </w:r>
      <w:r w:rsidRPr="00A34388">
        <w:rPr>
          <w:lang w:val="es-ES_tradnl"/>
        </w:rPr>
        <w:t xml:space="preserve">instituciones </w:t>
      </w:r>
      <w:r w:rsidR="00D80FE9" w:rsidRPr="00A34388">
        <w:rPr>
          <w:lang w:val="es-ES_tradnl"/>
        </w:rPr>
        <w:t xml:space="preserve">se encontraba </w:t>
      </w:r>
      <w:r w:rsidR="009538A3" w:rsidRPr="00A34388">
        <w:rPr>
          <w:lang w:val="es-ES_tradnl"/>
        </w:rPr>
        <w:t xml:space="preserve">bastante </w:t>
      </w:r>
      <w:r w:rsidR="003A53BE" w:rsidRPr="00A34388">
        <w:rPr>
          <w:lang w:val="es-ES_tradnl"/>
        </w:rPr>
        <w:t xml:space="preserve">avanzado </w:t>
      </w:r>
      <w:r w:rsidR="009538A3" w:rsidRPr="00A34388">
        <w:rPr>
          <w:lang w:val="es-ES_tradnl"/>
        </w:rPr>
        <w:t>en Egipto y Etiopía</w:t>
      </w:r>
      <w:r w:rsidRPr="00A34388">
        <w:rPr>
          <w:lang w:val="es-ES_tradnl"/>
        </w:rPr>
        <w:t>.  Se espera que estas últimas que</w:t>
      </w:r>
      <w:r w:rsidR="00D80FE9" w:rsidRPr="00A34388">
        <w:rPr>
          <w:lang w:val="es-ES_tradnl"/>
        </w:rPr>
        <w:t>den</w:t>
      </w:r>
      <w:r w:rsidRPr="00A34388">
        <w:rPr>
          <w:lang w:val="es-ES_tradnl"/>
        </w:rPr>
        <w:t xml:space="preserve"> </w:t>
      </w:r>
      <w:r w:rsidR="00D53C24" w:rsidRPr="00A34388">
        <w:rPr>
          <w:lang w:val="es-ES_tradnl"/>
        </w:rPr>
        <w:t xml:space="preserve">completadas </w:t>
      </w:r>
      <w:r w:rsidRPr="00A34388">
        <w:rPr>
          <w:lang w:val="es-ES_tradnl"/>
        </w:rPr>
        <w:t xml:space="preserve">en el bienio 2014/15.  </w:t>
      </w:r>
    </w:p>
    <w:p w:rsidR="00F134E3" w:rsidRPr="00A34388" w:rsidRDefault="00F134E3" w:rsidP="00F134E3">
      <w:pPr>
        <w:jc w:val="both"/>
        <w:rPr>
          <w:rFonts w:cs="Tahoma"/>
          <w:lang w:val="es-ES_tradnl"/>
        </w:rPr>
      </w:pPr>
    </w:p>
    <w:p w:rsidR="00F134E3" w:rsidRPr="00A34388" w:rsidRDefault="00F134E3" w:rsidP="00F134E3">
      <w:pPr>
        <w:autoSpaceDE w:val="0"/>
        <w:autoSpaceDN w:val="0"/>
        <w:adjustRightInd w:val="0"/>
        <w:jc w:val="both"/>
        <w:rPr>
          <w:rFonts w:cs="Tahoma"/>
          <w:lang w:val="es-ES_tradnl"/>
        </w:rPr>
      </w:pPr>
      <w:r w:rsidRPr="00A34388">
        <w:rPr>
          <w:rFonts w:cs="Tahoma"/>
          <w:lang w:val="es-ES_tradnl"/>
        </w:rPr>
        <w:t>Con el</w:t>
      </w:r>
      <w:r w:rsidR="00B569A1" w:rsidRPr="00A34388">
        <w:rPr>
          <w:rFonts w:cs="Tahoma"/>
          <w:lang w:val="es-ES_tradnl"/>
        </w:rPr>
        <w:t xml:space="preserve"> objetivo </w:t>
      </w:r>
      <w:r w:rsidRPr="00A34388">
        <w:rPr>
          <w:rFonts w:cs="Tahoma"/>
          <w:lang w:val="es-ES_tradnl"/>
        </w:rPr>
        <w:t xml:space="preserve">de mejorar la coordinación de proyectos </w:t>
      </w:r>
      <w:r w:rsidR="006C30F5">
        <w:rPr>
          <w:rFonts w:cs="Tahoma"/>
          <w:lang w:val="es-ES_tradnl"/>
        </w:rPr>
        <w:t>en toda</w:t>
      </w:r>
      <w:r w:rsidRPr="00A34388">
        <w:rPr>
          <w:rFonts w:cs="Tahoma"/>
          <w:lang w:val="es-ES_tradnl"/>
        </w:rPr>
        <w:t xml:space="preserve"> la Organización, la División de Proyectos Especiales, creada en mayo de 2012, continuó centrándose en </w:t>
      </w:r>
      <w:r w:rsidR="006C30F5">
        <w:rPr>
          <w:rFonts w:cs="Tahoma"/>
          <w:lang w:val="es-ES_tradnl"/>
        </w:rPr>
        <w:t>la elaboración</w:t>
      </w:r>
      <w:r w:rsidRPr="00A34388">
        <w:rPr>
          <w:rFonts w:cs="Tahoma"/>
          <w:lang w:val="es-ES_tradnl"/>
        </w:rPr>
        <w:t xml:space="preserve"> de proyectos</w:t>
      </w:r>
      <w:r w:rsidR="00A6107A" w:rsidRPr="00A34388">
        <w:rPr>
          <w:rFonts w:cs="Tahoma"/>
          <w:lang w:val="es-ES_tradnl"/>
        </w:rPr>
        <w:t xml:space="preserve"> innovadores en materia de P.I. y desarrollo, en colaboración con los Sectores y las Oficinas Regionales afectados</w:t>
      </w:r>
      <w:r w:rsidRPr="00A34388">
        <w:rPr>
          <w:rFonts w:cs="Tahoma"/>
          <w:lang w:val="es-ES_tradnl"/>
        </w:rPr>
        <w:t xml:space="preserve">.  Esto incluye la </w:t>
      </w:r>
      <w:r w:rsidR="003242C1" w:rsidRPr="00A34388">
        <w:rPr>
          <w:rFonts w:cs="Tahoma"/>
          <w:lang w:val="es-ES_tradnl"/>
        </w:rPr>
        <w:t xml:space="preserve">aplicación de </w:t>
      </w:r>
      <w:r w:rsidR="00774C51" w:rsidRPr="00A34388">
        <w:rPr>
          <w:rFonts w:cs="Tahoma"/>
          <w:lang w:val="es-ES_tradnl"/>
        </w:rPr>
        <w:t xml:space="preserve">métodos </w:t>
      </w:r>
      <w:r w:rsidRPr="00A34388">
        <w:rPr>
          <w:rFonts w:cs="Tahoma"/>
          <w:lang w:val="es-ES_tradnl"/>
        </w:rPr>
        <w:t xml:space="preserve">para identificar, proteger y desarrollar marcas basadas en el origen del producto </w:t>
      </w:r>
      <w:r w:rsidR="00774C51" w:rsidRPr="00A34388">
        <w:rPr>
          <w:rFonts w:cs="Tahoma"/>
          <w:lang w:val="es-ES_tradnl"/>
        </w:rPr>
        <w:t xml:space="preserve">de </w:t>
      </w:r>
      <w:r w:rsidRPr="00A34388">
        <w:rPr>
          <w:rFonts w:cs="Tahoma"/>
          <w:lang w:val="es-ES_tradnl"/>
        </w:rPr>
        <w:t xml:space="preserve">países en desarrollo seleccionados; </w:t>
      </w:r>
      <w:r w:rsidR="00A6107A" w:rsidRPr="00A34388">
        <w:rPr>
          <w:rFonts w:cs="Tahoma"/>
          <w:lang w:val="es-ES_tradnl"/>
        </w:rPr>
        <w:t xml:space="preserve"> </w:t>
      </w:r>
      <w:r w:rsidR="00AA5937" w:rsidRPr="00A34388">
        <w:rPr>
          <w:rFonts w:cs="Tahoma"/>
          <w:lang w:val="es-ES_tradnl"/>
        </w:rPr>
        <w:t xml:space="preserve">fomentar la sensibilización </w:t>
      </w:r>
      <w:r w:rsidR="00774C51" w:rsidRPr="00A34388">
        <w:rPr>
          <w:rFonts w:cs="Tahoma"/>
          <w:lang w:val="es-ES_tradnl"/>
        </w:rPr>
        <w:t xml:space="preserve">con respecto a las </w:t>
      </w:r>
      <w:r w:rsidR="003D7680" w:rsidRPr="00A34388">
        <w:rPr>
          <w:rFonts w:cs="Tahoma"/>
          <w:lang w:val="es-ES_tradnl"/>
        </w:rPr>
        <w:t xml:space="preserve">consideraciones de P.I. </w:t>
      </w:r>
      <w:r w:rsidR="00774C51" w:rsidRPr="00A34388">
        <w:rPr>
          <w:rFonts w:cs="Tahoma"/>
          <w:lang w:val="es-ES_tradnl"/>
        </w:rPr>
        <w:t xml:space="preserve">entre las empresas </w:t>
      </w:r>
      <w:r w:rsidRPr="00A34388">
        <w:rPr>
          <w:rFonts w:cs="Tahoma"/>
          <w:lang w:val="es-ES_tradnl"/>
        </w:rPr>
        <w:t>african</w:t>
      </w:r>
      <w:r w:rsidR="003D7680" w:rsidRPr="00A34388">
        <w:rPr>
          <w:rFonts w:cs="Tahoma"/>
          <w:lang w:val="es-ES_tradnl"/>
        </w:rPr>
        <w:t>a</w:t>
      </w:r>
      <w:r w:rsidR="00774C51" w:rsidRPr="00A34388">
        <w:rPr>
          <w:rFonts w:cs="Tahoma"/>
          <w:lang w:val="es-ES_tradnl"/>
        </w:rPr>
        <w:t>s</w:t>
      </w:r>
      <w:r w:rsidRPr="00A34388">
        <w:rPr>
          <w:rFonts w:cs="Tahoma"/>
          <w:lang w:val="es-ES_tradnl"/>
        </w:rPr>
        <w:t xml:space="preserve"> </w:t>
      </w:r>
      <w:r w:rsidR="00774C51" w:rsidRPr="00A34388">
        <w:rPr>
          <w:rFonts w:cs="Tahoma"/>
          <w:lang w:val="es-ES_tradnl"/>
        </w:rPr>
        <w:t xml:space="preserve">dedicadas al </w:t>
      </w:r>
      <w:r w:rsidRPr="00A34388">
        <w:rPr>
          <w:rFonts w:cs="Arial"/>
          <w:szCs w:val="20"/>
          <w:lang w:val="es-ES_tradnl"/>
        </w:rPr>
        <w:t xml:space="preserve">diseño de moda;  </w:t>
      </w:r>
      <w:r w:rsidR="00774C51" w:rsidRPr="00A34388">
        <w:rPr>
          <w:rFonts w:cs="Arial"/>
          <w:szCs w:val="20"/>
          <w:lang w:val="es-ES_tradnl"/>
        </w:rPr>
        <w:t xml:space="preserve">proteger </w:t>
      </w:r>
      <w:r w:rsidRPr="00A34388">
        <w:rPr>
          <w:rFonts w:cs="Arial"/>
          <w:szCs w:val="20"/>
          <w:lang w:val="es-ES_tradnl"/>
        </w:rPr>
        <w:t xml:space="preserve">el patrimonio cultural y las expresiones culturales </w:t>
      </w:r>
      <w:r w:rsidR="00774C51" w:rsidRPr="00A34388">
        <w:rPr>
          <w:rFonts w:cs="Arial"/>
          <w:szCs w:val="20"/>
          <w:lang w:val="es-ES_tradnl"/>
        </w:rPr>
        <w:t xml:space="preserve">en el </w:t>
      </w:r>
      <w:r w:rsidRPr="00A34388">
        <w:rPr>
          <w:rFonts w:cs="Arial"/>
          <w:szCs w:val="20"/>
          <w:lang w:val="es-ES_tradnl"/>
        </w:rPr>
        <w:t xml:space="preserve">Caribe;  </w:t>
      </w:r>
      <w:r w:rsidR="00774C51" w:rsidRPr="00A34388">
        <w:rPr>
          <w:rFonts w:cs="Arial"/>
          <w:szCs w:val="20"/>
          <w:lang w:val="es-ES_tradnl"/>
        </w:rPr>
        <w:t xml:space="preserve">así como </w:t>
      </w:r>
      <w:r w:rsidRPr="00A34388">
        <w:rPr>
          <w:rFonts w:cs="Arial"/>
          <w:szCs w:val="20"/>
          <w:lang w:val="es-ES_tradnl"/>
        </w:rPr>
        <w:t xml:space="preserve">el desarrollo de herramientas prácticas para la </w:t>
      </w:r>
      <w:r w:rsidR="00774C51" w:rsidRPr="00A34388">
        <w:rPr>
          <w:rFonts w:cs="Arial"/>
          <w:szCs w:val="20"/>
          <w:lang w:val="es-ES_tradnl"/>
        </w:rPr>
        <w:t xml:space="preserve">valoración </w:t>
      </w:r>
      <w:r w:rsidRPr="00A34388">
        <w:rPr>
          <w:rFonts w:cs="Arial"/>
          <w:szCs w:val="20"/>
          <w:lang w:val="es-ES_tradnl"/>
        </w:rPr>
        <w:t xml:space="preserve">de la P.I.  La gestión y </w:t>
      </w:r>
      <w:r w:rsidR="003A53BE" w:rsidRPr="00A34388">
        <w:rPr>
          <w:rFonts w:cs="Arial"/>
          <w:szCs w:val="20"/>
          <w:lang w:val="es-ES_tradnl"/>
        </w:rPr>
        <w:t xml:space="preserve">las operaciones </w:t>
      </w:r>
      <w:r w:rsidRPr="00A34388">
        <w:rPr>
          <w:rFonts w:cs="Arial"/>
          <w:szCs w:val="20"/>
          <w:lang w:val="es-ES_tradnl"/>
        </w:rPr>
        <w:t xml:space="preserve">de tres bases de datos </w:t>
      </w:r>
      <w:r w:rsidR="003A53BE" w:rsidRPr="00A34388">
        <w:rPr>
          <w:rFonts w:cs="Arial"/>
          <w:szCs w:val="20"/>
          <w:lang w:val="es-ES_tradnl"/>
        </w:rPr>
        <w:t>d</w:t>
      </w:r>
      <w:r w:rsidRPr="00A34388">
        <w:rPr>
          <w:rFonts w:cs="Arial"/>
          <w:szCs w:val="20"/>
          <w:lang w:val="es-ES_tradnl"/>
        </w:rPr>
        <w:t xml:space="preserve">el Sector de Desarrollo, </w:t>
      </w:r>
      <w:r w:rsidR="003A53BE" w:rsidRPr="00A34388">
        <w:rPr>
          <w:rFonts w:cs="Arial"/>
          <w:szCs w:val="20"/>
          <w:lang w:val="es-ES_tradnl"/>
        </w:rPr>
        <w:t xml:space="preserve">a saber, </w:t>
      </w:r>
      <w:r w:rsidRPr="00A34388">
        <w:rPr>
          <w:rFonts w:cs="Arial"/>
          <w:szCs w:val="20"/>
          <w:lang w:val="es-ES_tradnl"/>
        </w:rPr>
        <w:t>la</w:t>
      </w:r>
      <w:r w:rsidRPr="00A34388">
        <w:rPr>
          <w:rFonts w:eastAsiaTheme="minorHAnsi" w:cs="Arial"/>
          <w:szCs w:val="20"/>
          <w:lang w:val="es-ES_tradnl"/>
        </w:rPr>
        <w:t xml:space="preserve"> base de datos de asistencia técnica en materia de P.I. (IP-TAD), la lista de consultores (ROC) y la base de datos de vinculación para atender las necesidades de desarrollo en materia de P.I. (IP-DMD),</w:t>
      </w:r>
      <w:r w:rsidRPr="00A34388">
        <w:rPr>
          <w:rFonts w:cs="Arial"/>
          <w:szCs w:val="20"/>
          <w:lang w:val="es-ES_tradnl"/>
        </w:rPr>
        <w:t xml:space="preserve"> </w:t>
      </w:r>
      <w:r w:rsidR="00AA5937" w:rsidRPr="00A34388">
        <w:rPr>
          <w:rFonts w:cs="Arial"/>
          <w:szCs w:val="20"/>
          <w:lang w:val="es-ES_tradnl"/>
        </w:rPr>
        <w:t xml:space="preserve">quedaron </w:t>
      </w:r>
      <w:r w:rsidRPr="00A34388">
        <w:rPr>
          <w:rFonts w:cs="Arial"/>
          <w:szCs w:val="20"/>
          <w:lang w:val="es-ES_tradnl"/>
        </w:rPr>
        <w:t xml:space="preserve">incorporadas </w:t>
      </w:r>
      <w:r w:rsidR="00AA5937" w:rsidRPr="00A34388">
        <w:rPr>
          <w:rFonts w:cs="Arial"/>
          <w:szCs w:val="20"/>
          <w:lang w:val="es-ES_tradnl"/>
        </w:rPr>
        <w:t xml:space="preserve">en la labor ordinaria </w:t>
      </w:r>
      <w:r w:rsidRPr="00A34388">
        <w:rPr>
          <w:rFonts w:cs="Arial"/>
          <w:szCs w:val="20"/>
          <w:lang w:val="es-ES_tradnl"/>
        </w:rPr>
        <w:t>de la Organización en 2013</w:t>
      </w:r>
      <w:r w:rsidR="003242C1" w:rsidRPr="00A34388">
        <w:rPr>
          <w:rFonts w:cs="Arial"/>
          <w:szCs w:val="20"/>
          <w:lang w:val="es-ES_tradnl"/>
        </w:rPr>
        <w:t>,</w:t>
      </w:r>
      <w:r w:rsidRPr="00A34388">
        <w:rPr>
          <w:rFonts w:cs="Arial"/>
          <w:szCs w:val="20"/>
          <w:lang w:val="es-ES_tradnl"/>
        </w:rPr>
        <w:t xml:space="preserve"> teni</w:t>
      </w:r>
      <w:r w:rsidR="00CE3616" w:rsidRPr="00A34388">
        <w:rPr>
          <w:rFonts w:cs="Arial"/>
          <w:szCs w:val="20"/>
          <w:lang w:val="es-ES_tradnl"/>
        </w:rPr>
        <w:t xml:space="preserve">éndose a tal efecto </w:t>
      </w:r>
      <w:r w:rsidRPr="00A34388">
        <w:rPr>
          <w:rFonts w:cs="Arial"/>
          <w:szCs w:val="20"/>
          <w:lang w:val="es-ES_tradnl"/>
        </w:rPr>
        <w:t>debidamente en cuenta las recomendaciones formuladas en las evaluaciones de los proyectos correspondientes de la A.D.</w:t>
      </w:r>
      <w:r w:rsidRPr="00A34388">
        <w:rPr>
          <w:rFonts w:cs="Tahoma"/>
          <w:lang w:val="es-ES_tradnl"/>
        </w:rPr>
        <w:t xml:space="preserve">  A</w:t>
      </w:r>
      <w:r w:rsidR="003A53BE" w:rsidRPr="00A34388">
        <w:rPr>
          <w:rFonts w:cs="Tahoma"/>
          <w:lang w:val="es-ES_tradnl"/>
        </w:rPr>
        <w:t>simismo</w:t>
      </w:r>
      <w:r w:rsidRPr="00A34388">
        <w:rPr>
          <w:rFonts w:cs="Tahoma"/>
          <w:lang w:val="es-ES_tradnl"/>
        </w:rPr>
        <w:t xml:space="preserve">, se </w:t>
      </w:r>
      <w:r w:rsidR="00197F6D" w:rsidRPr="00A34388">
        <w:rPr>
          <w:rFonts w:cs="Tahoma"/>
          <w:lang w:val="es-ES_tradnl"/>
        </w:rPr>
        <w:t xml:space="preserve">desarrollaron y pusieron en marcha </w:t>
      </w:r>
      <w:r w:rsidRPr="00A34388">
        <w:rPr>
          <w:rFonts w:cs="Tahoma"/>
          <w:lang w:val="es-ES_tradnl"/>
        </w:rPr>
        <w:t xml:space="preserve">dos nuevas bases de datos a medida para </w:t>
      </w:r>
      <w:r w:rsidR="00197F6D" w:rsidRPr="00A34388">
        <w:rPr>
          <w:rFonts w:cs="Tahoma"/>
          <w:lang w:val="es-ES_tradnl"/>
        </w:rPr>
        <w:t xml:space="preserve">contribuir a </w:t>
      </w:r>
      <w:r w:rsidRPr="00A34388">
        <w:rPr>
          <w:rFonts w:cs="Tahoma"/>
          <w:lang w:val="es-ES_tradnl"/>
        </w:rPr>
        <w:t xml:space="preserve">la </w:t>
      </w:r>
      <w:r w:rsidR="00CE3616" w:rsidRPr="00A34388">
        <w:rPr>
          <w:rFonts w:cs="Tahoma"/>
          <w:lang w:val="es-ES_tradnl"/>
        </w:rPr>
        <w:t xml:space="preserve">incorporación </w:t>
      </w:r>
      <w:r w:rsidRPr="00A34388">
        <w:rPr>
          <w:rFonts w:cs="Tahoma"/>
          <w:lang w:val="es-ES_tradnl"/>
        </w:rPr>
        <w:t xml:space="preserve">de las recomendaciones de la A.D. en la labor de la OMPI orientada al desarrollo, </w:t>
      </w:r>
      <w:r w:rsidR="003A53BE" w:rsidRPr="00A34388">
        <w:rPr>
          <w:rFonts w:cs="Tahoma"/>
          <w:lang w:val="es-ES_tradnl"/>
        </w:rPr>
        <w:t xml:space="preserve">a saber, </w:t>
      </w:r>
      <w:r w:rsidRPr="00A34388">
        <w:rPr>
          <w:rFonts w:cs="Tahoma"/>
          <w:lang w:val="es-ES_tradnl"/>
        </w:rPr>
        <w:t xml:space="preserve">una base de datos </w:t>
      </w:r>
      <w:r w:rsidR="003A53BE" w:rsidRPr="00A34388">
        <w:rPr>
          <w:rFonts w:cs="Tahoma"/>
          <w:lang w:val="es-ES_tradnl"/>
        </w:rPr>
        <w:t xml:space="preserve">para </w:t>
      </w:r>
      <w:r w:rsidR="006C30F5">
        <w:rPr>
          <w:rFonts w:cs="Tahoma"/>
          <w:lang w:val="es-ES_tradnl"/>
        </w:rPr>
        <w:t>recabar</w:t>
      </w:r>
      <w:r w:rsidR="00197F6D" w:rsidRPr="00A34388">
        <w:rPr>
          <w:rFonts w:cs="Tahoma"/>
          <w:lang w:val="es-ES_tradnl"/>
        </w:rPr>
        <w:t xml:space="preserve"> </w:t>
      </w:r>
      <w:r w:rsidRPr="00A34388">
        <w:rPr>
          <w:rFonts w:cs="Tahoma"/>
          <w:lang w:val="es-ES_tradnl"/>
        </w:rPr>
        <w:t xml:space="preserve">datos de referencia </w:t>
      </w:r>
      <w:r w:rsidR="00197F6D" w:rsidRPr="00A34388">
        <w:rPr>
          <w:rFonts w:cs="Tahoma"/>
          <w:lang w:val="es-ES_tradnl"/>
        </w:rPr>
        <w:t xml:space="preserve">que se puedan utilizar en </w:t>
      </w:r>
      <w:r w:rsidR="003A53BE" w:rsidRPr="00A34388">
        <w:rPr>
          <w:rFonts w:cs="Tahoma"/>
          <w:lang w:val="es-ES_tradnl"/>
        </w:rPr>
        <w:t xml:space="preserve">procesos nacionales </w:t>
      </w:r>
      <w:r w:rsidR="00197F6D" w:rsidRPr="00A34388">
        <w:rPr>
          <w:rFonts w:cs="Tahoma"/>
          <w:lang w:val="es-ES_tradnl"/>
        </w:rPr>
        <w:t xml:space="preserve">para </w:t>
      </w:r>
      <w:r w:rsidR="003A53BE" w:rsidRPr="00A34388">
        <w:rPr>
          <w:rFonts w:cs="Tahoma"/>
          <w:lang w:val="es-ES_tradnl"/>
        </w:rPr>
        <w:t xml:space="preserve">la </w:t>
      </w:r>
      <w:r w:rsidRPr="00A34388">
        <w:rPr>
          <w:rFonts w:cs="Tahoma"/>
          <w:lang w:val="es-ES_tradnl"/>
        </w:rPr>
        <w:t xml:space="preserve">formulación de estrategias </w:t>
      </w:r>
      <w:r w:rsidR="00535610" w:rsidRPr="00A34388">
        <w:rPr>
          <w:rFonts w:cs="Tahoma"/>
          <w:lang w:val="es-ES_tradnl"/>
        </w:rPr>
        <w:t>nacionales</w:t>
      </w:r>
      <w:r w:rsidRPr="00A34388">
        <w:rPr>
          <w:rFonts w:cs="Tahoma"/>
          <w:lang w:val="es-ES_tradnl"/>
        </w:rPr>
        <w:t xml:space="preserve"> </w:t>
      </w:r>
      <w:r w:rsidR="00197F6D" w:rsidRPr="00A34388">
        <w:rPr>
          <w:rFonts w:cs="Tahoma"/>
          <w:lang w:val="es-ES_tradnl"/>
        </w:rPr>
        <w:t xml:space="preserve">en materia de </w:t>
      </w:r>
      <w:r w:rsidRPr="00A34388">
        <w:rPr>
          <w:rFonts w:cs="Tahoma"/>
          <w:lang w:val="es-ES_tradnl"/>
        </w:rPr>
        <w:t xml:space="preserve">P.I. (NIPS-D);  y una interfaz para el proyecto Sur-Sur de la A.D. que </w:t>
      </w:r>
      <w:r w:rsidR="00AA5937" w:rsidRPr="00A34388">
        <w:rPr>
          <w:rFonts w:cs="Tahoma"/>
          <w:lang w:val="es-ES_tradnl"/>
        </w:rPr>
        <w:t>permit</w:t>
      </w:r>
      <w:r w:rsidR="00197F6D" w:rsidRPr="00A34388">
        <w:rPr>
          <w:rFonts w:cs="Tahoma"/>
          <w:lang w:val="es-ES_tradnl"/>
        </w:rPr>
        <w:t>a</w:t>
      </w:r>
      <w:r w:rsidR="00AA5937" w:rsidRPr="00A34388">
        <w:rPr>
          <w:rFonts w:cs="Tahoma"/>
          <w:lang w:val="es-ES_tradnl"/>
        </w:rPr>
        <w:t xml:space="preserve"> </w:t>
      </w:r>
      <w:r w:rsidR="00197F6D" w:rsidRPr="00A34388">
        <w:rPr>
          <w:rFonts w:cs="Tahoma"/>
          <w:lang w:val="es-ES_tradnl"/>
        </w:rPr>
        <w:t xml:space="preserve">intercambiar la </w:t>
      </w:r>
      <w:r w:rsidRPr="00A34388">
        <w:rPr>
          <w:rFonts w:cs="Tahoma"/>
          <w:lang w:val="es-ES_tradnl"/>
        </w:rPr>
        <w:t xml:space="preserve">información </w:t>
      </w:r>
      <w:r w:rsidR="00AA5937" w:rsidRPr="00A34388">
        <w:rPr>
          <w:rFonts w:cs="Tahoma"/>
          <w:lang w:val="es-ES_tradnl"/>
        </w:rPr>
        <w:t xml:space="preserve">contenida </w:t>
      </w:r>
      <w:r w:rsidRPr="00A34388">
        <w:rPr>
          <w:rFonts w:cs="Tahoma"/>
          <w:lang w:val="es-ES_tradnl"/>
        </w:rPr>
        <w:t xml:space="preserve">en la IP-TAD </w:t>
      </w:r>
      <w:r w:rsidR="00197F6D" w:rsidRPr="00A34388">
        <w:rPr>
          <w:rFonts w:cs="Tahoma"/>
          <w:lang w:val="es-ES_tradnl"/>
        </w:rPr>
        <w:t xml:space="preserve">y la </w:t>
      </w:r>
      <w:r w:rsidRPr="00A34388">
        <w:rPr>
          <w:rFonts w:cs="Tahoma"/>
          <w:lang w:val="es-ES_tradnl"/>
        </w:rPr>
        <w:t xml:space="preserve">IP-ROC con países del hemisferio sur. </w:t>
      </w:r>
    </w:p>
    <w:p w:rsidR="00F134E3" w:rsidRPr="00A34388" w:rsidRDefault="00F134E3" w:rsidP="00F134E3">
      <w:pPr>
        <w:jc w:val="both"/>
        <w:rPr>
          <w:rFonts w:cs="Tahoma"/>
          <w:lang w:val="es-ES_tradnl"/>
        </w:rPr>
      </w:pPr>
    </w:p>
    <w:p w:rsidR="00F134E3" w:rsidRPr="00A34388" w:rsidRDefault="00F134E3" w:rsidP="00F134E3">
      <w:pPr>
        <w:autoSpaceDE w:val="0"/>
        <w:autoSpaceDN w:val="0"/>
        <w:adjustRightInd w:val="0"/>
        <w:jc w:val="both"/>
        <w:rPr>
          <w:bCs/>
          <w:lang w:val="es-ES_tradnl"/>
        </w:rPr>
      </w:pPr>
      <w:r w:rsidRPr="00A34388">
        <w:rPr>
          <w:bCs/>
          <w:lang w:val="es-ES_tradnl"/>
        </w:rPr>
        <w:t>Durante sus cuatro sesiones celebradas en el bienio 2012/13, el CDIP aprobó dos nuevos proyectos propuestos por Burkina Faso y la República de Corea, y</w:t>
      </w:r>
      <w:r w:rsidR="00535610" w:rsidRPr="00A34388">
        <w:rPr>
          <w:bCs/>
          <w:lang w:val="es-ES_tradnl"/>
        </w:rPr>
        <w:t xml:space="preserve"> examinó</w:t>
      </w:r>
      <w:r w:rsidRPr="00A34388">
        <w:rPr>
          <w:bCs/>
          <w:lang w:val="es-ES_tradnl"/>
        </w:rPr>
        <w:t xml:space="preserve"> dos informes anuales presentados por el Director General sobre la </w:t>
      </w:r>
      <w:r w:rsidR="00535610" w:rsidRPr="00A34388">
        <w:rPr>
          <w:bCs/>
          <w:lang w:val="es-ES_tradnl"/>
        </w:rPr>
        <w:t>a</w:t>
      </w:r>
      <w:r w:rsidRPr="00A34388">
        <w:rPr>
          <w:bCs/>
          <w:lang w:val="es-ES_tradnl"/>
        </w:rPr>
        <w:t xml:space="preserve">plicación de la Agenda para el Desarrollo, dos informes sobre la marcha de la labor relativa a las recomendaciones que deben aplicarse inmediatamente y los proyectos </w:t>
      </w:r>
      <w:r w:rsidR="006C30F5">
        <w:rPr>
          <w:bCs/>
          <w:lang w:val="es-ES_tradnl"/>
        </w:rPr>
        <w:t>d</w:t>
      </w:r>
      <w:r w:rsidRPr="00A34388">
        <w:rPr>
          <w:bCs/>
          <w:lang w:val="es-ES_tradnl"/>
        </w:rPr>
        <w:t xml:space="preserve">e la Agenda </w:t>
      </w:r>
      <w:r w:rsidR="006C30F5">
        <w:rPr>
          <w:bCs/>
          <w:lang w:val="es-ES_tradnl"/>
        </w:rPr>
        <w:t xml:space="preserve">para el </w:t>
      </w:r>
      <w:r w:rsidRPr="00A34388">
        <w:rPr>
          <w:bCs/>
          <w:lang w:val="es-ES_tradnl"/>
        </w:rPr>
        <w:t xml:space="preserve">Desarrollo, así como catorce informes de evaluación independiente de los proyectos.  </w:t>
      </w:r>
      <w:r w:rsidRPr="00332758">
        <w:rPr>
          <w:bCs/>
          <w:lang w:val="es-ES_tradnl"/>
        </w:rPr>
        <w:t xml:space="preserve">Además, el Comité aprobó ejecutar la </w:t>
      </w:r>
      <w:r w:rsidRPr="00332758">
        <w:rPr>
          <w:rFonts w:cs="Arial"/>
          <w:bCs/>
          <w:szCs w:val="20"/>
          <w:lang w:val="es-ES_tradnl"/>
        </w:rPr>
        <w:t xml:space="preserve">segunda fase de tres proyectos finalizados y evaluados. </w:t>
      </w:r>
      <w:r w:rsidRPr="00A34388">
        <w:rPr>
          <w:rFonts w:cs="Arial"/>
          <w:bCs/>
          <w:szCs w:val="20"/>
          <w:lang w:val="es-ES_tradnl"/>
        </w:rPr>
        <w:t xml:space="preserve"> El Comité debatió </w:t>
      </w:r>
      <w:r w:rsidR="00535610" w:rsidRPr="00A34388">
        <w:rPr>
          <w:rFonts w:cs="Arial"/>
          <w:bCs/>
          <w:szCs w:val="20"/>
          <w:lang w:val="es-ES_tradnl"/>
        </w:rPr>
        <w:t xml:space="preserve">dos documentos remitidos por la </w:t>
      </w:r>
      <w:r w:rsidRPr="00A34388">
        <w:rPr>
          <w:rFonts w:cs="Arial"/>
          <w:bCs/>
          <w:szCs w:val="20"/>
          <w:lang w:val="es-ES_tradnl"/>
        </w:rPr>
        <w:t xml:space="preserve">Asamblea General, a saber, </w:t>
      </w:r>
      <w:r w:rsidR="00535610" w:rsidRPr="00A34388">
        <w:rPr>
          <w:rFonts w:cs="Arial"/>
          <w:bCs/>
          <w:szCs w:val="20"/>
          <w:lang w:val="es-ES_tradnl"/>
        </w:rPr>
        <w:t>“</w:t>
      </w:r>
      <w:r w:rsidRPr="00A34388">
        <w:rPr>
          <w:rFonts w:eastAsiaTheme="minorHAnsi" w:cs="Arial"/>
          <w:szCs w:val="20"/>
          <w:lang w:val="es-ES_tradnl"/>
        </w:rPr>
        <w:t>Descripción de la contribución de los órganos pertinentes de la OMPI a la aplicación de las recomendaciones de la Agenda para el Desarrollo que les concierne</w:t>
      </w:r>
      <w:r w:rsidR="00535610" w:rsidRPr="00A34388">
        <w:rPr>
          <w:rFonts w:eastAsiaTheme="minorHAnsi" w:cs="Arial"/>
          <w:szCs w:val="20"/>
          <w:lang w:val="es-ES_tradnl"/>
        </w:rPr>
        <w:t>”</w:t>
      </w:r>
      <w:r w:rsidRPr="00A34388">
        <w:rPr>
          <w:rFonts w:eastAsiaTheme="minorHAnsi" w:cs="Arial"/>
          <w:szCs w:val="20"/>
          <w:lang w:val="es-ES_tradnl"/>
        </w:rPr>
        <w:t>, y una decisión sobre cuestiones relacionadas con el CDIP</w:t>
      </w:r>
      <w:r w:rsidRPr="00A34388">
        <w:rPr>
          <w:rFonts w:cs="Arial"/>
          <w:bCs/>
          <w:szCs w:val="20"/>
          <w:lang w:val="es-ES_tradnl"/>
        </w:rPr>
        <w:t xml:space="preserve">.  </w:t>
      </w:r>
      <w:r w:rsidR="00535610" w:rsidRPr="00A34388">
        <w:rPr>
          <w:rFonts w:cs="Arial"/>
          <w:bCs/>
          <w:szCs w:val="20"/>
          <w:lang w:val="es-ES_tradnl"/>
        </w:rPr>
        <w:t>Asimismo, e</w:t>
      </w:r>
      <w:r w:rsidRPr="00A34388">
        <w:rPr>
          <w:rFonts w:cs="Arial"/>
          <w:bCs/>
          <w:szCs w:val="20"/>
          <w:lang w:val="es-ES_tradnl"/>
        </w:rPr>
        <w:t xml:space="preserve">l Comité examinó un estudio acerca de la contribución de la OMPI a la consecución de los Objetivos de Desarrollo del Milenio </w:t>
      </w:r>
      <w:r w:rsidR="006C30F5">
        <w:rPr>
          <w:rFonts w:cs="Arial"/>
          <w:bCs/>
          <w:szCs w:val="20"/>
          <w:lang w:val="es-ES_tradnl"/>
        </w:rPr>
        <w:t xml:space="preserve">(ODM) </w:t>
      </w:r>
      <w:r w:rsidRPr="00A34388">
        <w:rPr>
          <w:rFonts w:cs="Arial"/>
          <w:bCs/>
          <w:szCs w:val="20"/>
          <w:lang w:val="es-ES_tradnl"/>
        </w:rPr>
        <w:t>de las Naciones Unidas</w:t>
      </w:r>
      <w:r w:rsidRPr="00A34388">
        <w:rPr>
          <w:bCs/>
          <w:lang w:val="es-ES_tradnl"/>
        </w:rPr>
        <w:t>, y tomó nota de</w:t>
      </w:r>
      <w:proofErr w:type="gramStart"/>
      <w:r w:rsidRPr="00A34388">
        <w:rPr>
          <w:bCs/>
          <w:lang w:val="es-ES_tradnl"/>
        </w:rPr>
        <w:t>:  i</w:t>
      </w:r>
      <w:proofErr w:type="gramEnd"/>
      <w:r w:rsidRPr="00A34388">
        <w:rPr>
          <w:bCs/>
          <w:lang w:val="es-ES_tradnl"/>
        </w:rPr>
        <w:t xml:space="preserve">) un </w:t>
      </w:r>
      <w:r w:rsidR="006D60CB" w:rsidRPr="00A34388">
        <w:rPr>
          <w:bCs/>
          <w:lang w:val="es-ES_tradnl"/>
        </w:rPr>
        <w:t xml:space="preserve">informe </w:t>
      </w:r>
      <w:r w:rsidRPr="00A34388">
        <w:rPr>
          <w:bCs/>
          <w:lang w:val="es-ES_tradnl"/>
        </w:rPr>
        <w:t xml:space="preserve">sobre la viabilidad de </w:t>
      </w:r>
      <w:r w:rsidR="006D60CB" w:rsidRPr="00A34388">
        <w:rPr>
          <w:bCs/>
          <w:lang w:val="es-ES_tradnl"/>
        </w:rPr>
        <w:t xml:space="preserve">integrar </w:t>
      </w:r>
      <w:r w:rsidRPr="00A34388">
        <w:rPr>
          <w:bCs/>
          <w:lang w:val="es-ES_tradnl"/>
        </w:rPr>
        <w:t xml:space="preserve">las necesidades/resultados relativos a los ODM en el marco de resultados bienales de la OMPI;  y ii) un documento sobre la medición de los ODM en otros organismos de las Naciones Unidas y la contribución de la OMPI a </w:t>
      </w:r>
      <w:r w:rsidR="006D60CB" w:rsidRPr="00A34388">
        <w:rPr>
          <w:bCs/>
          <w:lang w:val="es-ES_tradnl"/>
        </w:rPr>
        <w:t>estos objetivos</w:t>
      </w:r>
      <w:r w:rsidRPr="00A34388">
        <w:rPr>
          <w:bCs/>
          <w:lang w:val="es-ES_tradnl"/>
        </w:rPr>
        <w:t xml:space="preserve">.  </w:t>
      </w:r>
    </w:p>
    <w:p w:rsidR="00197073" w:rsidRPr="00A34388" w:rsidRDefault="00197073" w:rsidP="00197073">
      <w:pPr>
        <w:jc w:val="both"/>
        <w:rPr>
          <w:bCs/>
          <w:lang w:val="es-ES_tradnl"/>
        </w:rPr>
      </w:pPr>
    </w:p>
    <w:p w:rsidR="003230BA" w:rsidRPr="00332758" w:rsidRDefault="003230BA">
      <w:pPr>
        <w:rPr>
          <w:b/>
          <w:iCs/>
          <w:lang w:val="es-ES_tradnl"/>
        </w:rPr>
      </w:pPr>
      <w:r w:rsidRPr="00332758">
        <w:rPr>
          <w:b/>
          <w:iCs/>
          <w:lang w:val="es-ES_tradnl"/>
        </w:rPr>
        <w:br w:type="page"/>
      </w:r>
    </w:p>
    <w:p w:rsidR="00197073" w:rsidRPr="00332758" w:rsidRDefault="00197073" w:rsidP="00197073">
      <w:pPr>
        <w:jc w:val="center"/>
        <w:rPr>
          <w:b/>
          <w:iCs/>
          <w:lang w:val="es-ES_tradnl"/>
        </w:rPr>
      </w:pPr>
      <w:r w:rsidRPr="00332758">
        <w:rPr>
          <w:b/>
          <w:iCs/>
          <w:lang w:val="es-ES_tradnl"/>
        </w:rPr>
        <w:lastRenderedPageBreak/>
        <w:t>Meta estratégica IV</w:t>
      </w:r>
      <w:proofErr w:type="gramStart"/>
      <w:r w:rsidRPr="00332758">
        <w:rPr>
          <w:b/>
          <w:iCs/>
          <w:lang w:val="es-ES_tradnl"/>
        </w:rPr>
        <w:t>:  Coordinación</w:t>
      </w:r>
      <w:proofErr w:type="gramEnd"/>
      <w:r w:rsidRPr="00332758">
        <w:rPr>
          <w:b/>
          <w:iCs/>
          <w:lang w:val="es-ES_tradnl"/>
        </w:rPr>
        <w:t xml:space="preserve"> y desarrollo de la infraestructura mundial de P.I.</w:t>
      </w:r>
    </w:p>
    <w:p w:rsidR="00197073" w:rsidRPr="00A34388" w:rsidRDefault="00197073" w:rsidP="00197073">
      <w:pPr>
        <w:jc w:val="both"/>
        <w:rPr>
          <w:b/>
          <w:iCs/>
          <w:lang w:val="es-ES_tradnl"/>
        </w:rPr>
      </w:pPr>
    </w:p>
    <w:p w:rsidR="00197073" w:rsidRPr="00A34388" w:rsidRDefault="00197073" w:rsidP="00197073">
      <w:pPr>
        <w:jc w:val="both"/>
        <w:rPr>
          <w:lang w:val="es-ES_tradnl"/>
        </w:rPr>
      </w:pPr>
    </w:p>
    <w:p w:rsidR="003024FE" w:rsidRPr="00A34388" w:rsidRDefault="003024FE" w:rsidP="003024FE">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197073">
      <w:pPr>
        <w:jc w:val="center"/>
        <w:rPr>
          <w:b/>
          <w:sz w:val="18"/>
          <w:szCs w:val="18"/>
          <w:lang w:val="es-ES_tradnl"/>
        </w:rPr>
      </w:pPr>
    </w:p>
    <w:p w:rsidR="005E68A3" w:rsidRDefault="005635FE" w:rsidP="00197073">
      <w:pPr>
        <w:jc w:val="center"/>
        <w:rPr>
          <w:b/>
          <w:sz w:val="18"/>
          <w:szCs w:val="18"/>
          <w:lang w:val="es-ES_tradnl"/>
        </w:rPr>
      </w:pPr>
      <w:r w:rsidRPr="005635FE">
        <w:rPr>
          <w:noProof/>
        </w:rPr>
        <w:drawing>
          <wp:inline distT="0" distB="0" distL="0" distR="0" wp14:anchorId="3D58032E" wp14:editId="747EDAB8">
            <wp:extent cx="6120000" cy="268750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2687501"/>
                    </a:xfrm>
                    <a:prstGeom prst="rect">
                      <a:avLst/>
                    </a:prstGeom>
                    <a:noFill/>
                    <a:ln>
                      <a:noFill/>
                    </a:ln>
                  </pic:spPr>
                </pic:pic>
              </a:graphicData>
            </a:graphic>
          </wp:inline>
        </w:drawing>
      </w:r>
      <w:r w:rsidRPr="00A9508D">
        <w:rPr>
          <w:lang w:val="es-ES"/>
        </w:rPr>
        <w:t xml:space="preserve"> </w:t>
      </w:r>
    </w:p>
    <w:p w:rsidR="005E68A3" w:rsidRDefault="005E68A3" w:rsidP="00197073">
      <w:pPr>
        <w:jc w:val="center"/>
        <w:rPr>
          <w:b/>
          <w:sz w:val="18"/>
          <w:szCs w:val="18"/>
          <w:lang w:val="es-ES_tradnl"/>
        </w:rPr>
      </w:pPr>
    </w:p>
    <w:p w:rsidR="004441AA" w:rsidRPr="00A34388" w:rsidRDefault="004441AA" w:rsidP="00197073">
      <w:pPr>
        <w:jc w:val="center"/>
        <w:rPr>
          <w:b/>
          <w:sz w:val="18"/>
          <w:szCs w:val="18"/>
          <w:lang w:val="es-ES_tradnl"/>
        </w:rPr>
      </w:pPr>
    </w:p>
    <w:p w:rsidR="00197073" w:rsidRPr="00332758" w:rsidRDefault="00197073" w:rsidP="00197073">
      <w:pPr>
        <w:jc w:val="center"/>
        <w:rPr>
          <w:b/>
          <w:szCs w:val="20"/>
          <w:lang w:val="es-ES_tradnl"/>
        </w:rPr>
      </w:pPr>
      <w:r w:rsidRPr="00332758">
        <w:rPr>
          <w:b/>
          <w:szCs w:val="20"/>
          <w:lang w:val="es-ES_tradnl"/>
        </w:rPr>
        <w:t>Cuadro sobre el rendimiento bienal</w:t>
      </w:r>
    </w:p>
    <w:p w:rsidR="00197073" w:rsidRPr="00A34388" w:rsidRDefault="00197073" w:rsidP="00197073">
      <w:pPr>
        <w:rPr>
          <w:b/>
          <w:sz w:val="18"/>
          <w:szCs w:val="18"/>
          <w:lang w:val="es-ES_tradnl"/>
        </w:rPr>
      </w:pPr>
    </w:p>
    <w:p w:rsidR="00C535EB"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w:t>
      </w:r>
      <w:r w:rsidR="00C535EB" w:rsidRPr="00A34388">
        <w:rPr>
          <w:rFonts w:cs="Arial"/>
          <w:lang w:val="es-ES_tradnl"/>
        </w:rPr>
        <w:t xml:space="preserve">a los programas </w:t>
      </w:r>
      <w:r w:rsidR="00853209" w:rsidRPr="00A34388">
        <w:rPr>
          <w:rFonts w:cs="Arial"/>
          <w:lang w:val="es-ES_tradnl"/>
        </w:rPr>
        <w:t>que contribuyen a esta meta estratégica</w:t>
      </w:r>
      <w:r w:rsidR="003242C1" w:rsidRPr="00A34388">
        <w:rPr>
          <w:rFonts w:cs="Arial"/>
          <w:lang w:val="es-ES_tradnl"/>
        </w:rPr>
        <w:t xml:space="preserve">.  </w:t>
      </w:r>
    </w:p>
    <w:p w:rsidR="00C14248" w:rsidRPr="00A34388" w:rsidRDefault="00C14248" w:rsidP="00C14248">
      <w:pPr>
        <w:autoSpaceDE w:val="0"/>
        <w:autoSpaceDN w:val="0"/>
        <w:adjustRightInd w:val="0"/>
        <w:jc w:val="both"/>
        <w:rPr>
          <w:rFonts w:cs="Arial"/>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C14248" w:rsidRPr="00A34388" w:rsidTr="00672EC3">
        <w:trPr>
          <w:tblHeader/>
        </w:trPr>
        <w:tc>
          <w:tcPr>
            <w:tcW w:w="3226"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588"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418"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162" w:type="dxa"/>
            <w:tcBorders>
              <w:top w:val="single" w:sz="4" w:space="0" w:color="auto"/>
              <w:bottom w:val="single" w:sz="4" w:space="0" w:color="auto"/>
            </w:tcBorders>
            <w:shd w:val="clear" w:color="auto" w:fill="CCFFFF"/>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672EC3">
        <w:tc>
          <w:tcPr>
            <w:tcW w:w="3226" w:type="dxa"/>
            <w:vMerge w:val="restart"/>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Sistema actualizado y aceptado mundialmente de clasificaciones internacionales y normas técnicas de la OMPI para facilitar el acceso, el uso y la difusión de información de P.I. entre los sectores interesados de todo el mundo.</w:t>
            </w:r>
          </w:p>
        </w:tc>
        <w:tc>
          <w:tcPr>
            <w:tcW w:w="3588" w:type="dxa"/>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que utilizan las normas técnicas de la OMPI</w:t>
            </w:r>
          </w:p>
        </w:tc>
        <w:tc>
          <w:tcPr>
            <w:tcW w:w="1418" w:type="dxa"/>
            <w:tcBorders>
              <w:top w:val="single" w:sz="4" w:space="0" w:color="auto"/>
            </w:tcBorders>
            <w:shd w:val="clear" w:color="auto" w:fill="auto"/>
            <w:tcMar>
              <w:top w:w="113" w:type="dxa"/>
            </w:tcMar>
          </w:tcPr>
          <w:p w:rsidR="00C14248" w:rsidRPr="00A34388" w:rsidRDefault="00C14248" w:rsidP="00DA1567">
            <w:pPr>
              <w:spacing w:before="80"/>
              <w:ind w:left="175"/>
              <w:rPr>
                <w:rFonts w:cs="Arial"/>
                <w:color w:val="A6A6A6" w:themeColor="background1" w:themeShade="A6"/>
                <w:sz w:val="14"/>
                <w:szCs w:val="14"/>
                <w:lang w:val="es-ES_tradnl"/>
              </w:rPr>
            </w:pPr>
            <w:r w:rsidRPr="00332758">
              <w:rPr>
                <w:rFonts w:cs="Arial"/>
                <w:sz w:val="14"/>
                <w:szCs w:val="14"/>
                <w:lang w:val="es-ES_tradnl"/>
              </w:rPr>
              <w:t>Programa 12</w:t>
            </w:r>
          </w:p>
        </w:tc>
        <w:tc>
          <w:tcPr>
            <w:tcW w:w="1162" w:type="dxa"/>
            <w:tcBorders>
              <w:top w:val="single" w:sz="4" w:space="0" w:color="auto"/>
              <w:bottom w:val="nil"/>
            </w:tcBorders>
            <w:shd w:val="clear" w:color="auto" w:fill="auto"/>
          </w:tcPr>
          <w:p w:rsidR="00C14248" w:rsidRPr="00672EC3" w:rsidRDefault="00C14248" w:rsidP="00DA1567">
            <w:pPr>
              <w:spacing w:before="20"/>
              <w:jc w:val="center"/>
              <w:rPr>
                <w:rFonts w:cs="Arial"/>
                <w:color w:val="A6A6A6" w:themeColor="background1" w:themeShade="A6"/>
                <w:sz w:val="22"/>
                <w:szCs w:val="22"/>
              </w:rPr>
            </w:pPr>
            <w:r w:rsidRPr="00672EC3">
              <w:rPr>
                <w:rFonts w:cs="Arial"/>
                <w:color w:val="A6A6A6" w:themeColor="background1" w:themeShade="A6"/>
                <w:sz w:val="22"/>
                <w:szCs w:val="22"/>
              </w:rPr>
              <w:sym w:font="Wingdings" w:char="F06C"/>
            </w:r>
          </w:p>
        </w:tc>
      </w:tr>
      <w:tr w:rsidR="00C14248" w:rsidRPr="00A34388" w:rsidTr="00ED3F13">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modificaciones de la Clasificación de Niza</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12</w:t>
            </w:r>
          </w:p>
        </w:tc>
        <w:tc>
          <w:tcPr>
            <w:tcW w:w="1162" w:type="dxa"/>
            <w:tcBorders>
              <w:top w:val="nil"/>
            </w:tcBorders>
          </w:tcPr>
          <w:p w:rsidR="00C14248" w:rsidRPr="00477A1D" w:rsidRDefault="00C14248" w:rsidP="00DA1567">
            <w:pPr>
              <w:spacing w:before="20"/>
              <w:jc w:val="center"/>
              <w:rPr>
                <w:sz w:val="22"/>
                <w:szCs w:val="22"/>
              </w:rPr>
            </w:pPr>
            <w:r w:rsidRPr="00477A1D">
              <w:rPr>
                <w:rFonts w:cs="Arial"/>
                <w:color w:val="FF0000"/>
                <w:sz w:val="22"/>
                <w:szCs w:val="22"/>
              </w:rPr>
              <w:sym w:font="Wingdings" w:char="F06C"/>
            </w:r>
          </w:p>
        </w:tc>
      </w:tr>
      <w:tr w:rsidR="00C14248" w:rsidRPr="00A34388" w:rsidTr="00DA1567">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ECLA e Índice de archivos unificados en la CIP.</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12</w:t>
            </w:r>
          </w:p>
        </w:tc>
        <w:tc>
          <w:tcPr>
            <w:tcW w:w="1162" w:type="dxa"/>
          </w:tcPr>
          <w:p w:rsidR="00C14248" w:rsidRPr="00477A1D" w:rsidRDefault="00C14248" w:rsidP="00DA1567">
            <w:pPr>
              <w:spacing w:before="20"/>
              <w:jc w:val="center"/>
              <w:rPr>
                <w:sz w:val="22"/>
                <w:szCs w:val="22"/>
              </w:rPr>
            </w:pPr>
            <w:r w:rsidRPr="00477A1D">
              <w:rPr>
                <w:rFonts w:cs="Arial"/>
                <w:color w:val="E36C0A" w:themeColor="accent6" w:themeShade="BF"/>
                <w:sz w:val="22"/>
                <w:szCs w:val="22"/>
              </w:rPr>
              <w:sym w:font="Wingdings" w:char="F06C"/>
            </w:r>
          </w:p>
        </w:tc>
      </w:tr>
      <w:tr w:rsidR="00C14248" w:rsidRPr="00A34388" w:rsidTr="00672EC3">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Integración en la Clasificación de </w:t>
            </w:r>
            <w:proofErr w:type="spellStart"/>
            <w:r w:rsidRPr="00332758">
              <w:rPr>
                <w:rFonts w:cs="Arial"/>
                <w:sz w:val="14"/>
                <w:szCs w:val="14"/>
                <w:lang w:val="es-ES_tradnl"/>
              </w:rPr>
              <w:t>Locarno</w:t>
            </w:r>
            <w:proofErr w:type="spellEnd"/>
            <w:r w:rsidRPr="00332758">
              <w:rPr>
                <w:rFonts w:cs="Arial"/>
                <w:sz w:val="14"/>
                <w:szCs w:val="14"/>
                <w:lang w:val="es-ES_tradnl"/>
              </w:rPr>
              <w:t xml:space="preserve"> de una herramienta para efectuar búsquedas de características visuales de las solicitudes de dibujos o modelos.</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12</w:t>
            </w:r>
          </w:p>
        </w:tc>
        <w:tc>
          <w:tcPr>
            <w:tcW w:w="1162" w:type="dxa"/>
            <w:tcBorders>
              <w:bottom w:val="nil"/>
            </w:tcBorders>
          </w:tcPr>
          <w:p w:rsidR="00C14248" w:rsidRPr="00477A1D" w:rsidRDefault="00C14248" w:rsidP="00DA1567">
            <w:pPr>
              <w:spacing w:before="20"/>
              <w:jc w:val="center"/>
              <w:rPr>
                <w:sz w:val="22"/>
                <w:szCs w:val="22"/>
              </w:rPr>
            </w:pPr>
            <w:r w:rsidRPr="00477A1D">
              <w:rPr>
                <w:rFonts w:cs="Arial"/>
                <w:color w:val="FF0000"/>
                <w:sz w:val="22"/>
                <w:szCs w:val="22"/>
              </w:rPr>
              <w:sym w:font="Wingdings" w:char="F06C"/>
            </w:r>
          </w:p>
        </w:tc>
      </w:tr>
      <w:tr w:rsidR="00C14248" w:rsidRPr="00A34388" w:rsidTr="00672EC3">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normas técnicas modificadas y nuevas normas técnicas adoptadas.</w:t>
            </w:r>
          </w:p>
        </w:tc>
        <w:tc>
          <w:tcPr>
            <w:tcW w:w="1418" w:type="dxa"/>
            <w:shd w:val="clear" w:color="auto" w:fill="auto"/>
            <w:tcMar>
              <w:top w:w="113" w:type="dxa"/>
            </w:tcMar>
          </w:tcPr>
          <w:p w:rsidR="00C14248" w:rsidRPr="00A34388" w:rsidRDefault="00C14248" w:rsidP="00DA1567">
            <w:pPr>
              <w:spacing w:before="80"/>
              <w:ind w:left="175"/>
              <w:rPr>
                <w:rFonts w:cs="Arial"/>
                <w:color w:val="A6A6A6" w:themeColor="background1" w:themeShade="A6"/>
                <w:sz w:val="14"/>
                <w:szCs w:val="14"/>
                <w:lang w:val="es-ES_tradnl"/>
              </w:rPr>
            </w:pPr>
            <w:r w:rsidRPr="00332758">
              <w:rPr>
                <w:rFonts w:cs="Arial"/>
                <w:sz w:val="14"/>
                <w:szCs w:val="14"/>
                <w:lang w:val="es-ES_tradnl"/>
              </w:rPr>
              <w:t>Programa 12</w:t>
            </w:r>
          </w:p>
        </w:tc>
        <w:tc>
          <w:tcPr>
            <w:tcW w:w="1162" w:type="dxa"/>
            <w:tcBorders>
              <w:top w:val="nil"/>
              <w:bottom w:val="nil"/>
            </w:tcBorders>
            <w:shd w:val="clear" w:color="auto" w:fill="auto"/>
          </w:tcPr>
          <w:p w:rsidR="00C14248" w:rsidRPr="00672EC3" w:rsidRDefault="00C14248" w:rsidP="00DA1567">
            <w:pPr>
              <w:spacing w:before="20"/>
              <w:jc w:val="center"/>
              <w:rPr>
                <w:color w:val="A6A6A6" w:themeColor="background1" w:themeShade="A6"/>
                <w:sz w:val="22"/>
                <w:szCs w:val="22"/>
              </w:rPr>
            </w:pPr>
            <w:r w:rsidRPr="00672EC3">
              <w:rPr>
                <w:rFonts w:cs="Arial"/>
                <w:color w:val="A6A6A6" w:themeColor="background1" w:themeShade="A6"/>
                <w:sz w:val="22"/>
                <w:szCs w:val="22"/>
              </w:rPr>
              <w:sym w:font="Wingdings" w:char="F06C"/>
            </w:r>
          </w:p>
        </w:tc>
      </w:tr>
      <w:tr w:rsidR="00C14248" w:rsidRPr="00A34388" w:rsidTr="00672EC3">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que se muestran satisfechas de la formación recibida para mejorar sus capacidades en el uso de las clasificaciones.</w:t>
            </w:r>
          </w:p>
        </w:tc>
        <w:tc>
          <w:tcPr>
            <w:tcW w:w="1418" w:type="dxa"/>
            <w:shd w:val="clear" w:color="auto" w:fill="auto"/>
            <w:tcMar>
              <w:top w:w="113" w:type="dxa"/>
            </w:tcMar>
          </w:tcPr>
          <w:p w:rsidR="00C14248" w:rsidRPr="00A34388" w:rsidRDefault="00C14248" w:rsidP="00DA1567">
            <w:pPr>
              <w:spacing w:before="80"/>
              <w:ind w:left="175"/>
              <w:rPr>
                <w:rFonts w:cs="Arial"/>
                <w:color w:val="A6A6A6" w:themeColor="background1" w:themeShade="A6"/>
                <w:sz w:val="14"/>
                <w:szCs w:val="14"/>
                <w:lang w:val="es-ES_tradnl"/>
              </w:rPr>
            </w:pPr>
            <w:r w:rsidRPr="00332758">
              <w:rPr>
                <w:rFonts w:cs="Arial"/>
                <w:sz w:val="14"/>
                <w:szCs w:val="14"/>
                <w:lang w:val="es-ES_tradnl"/>
              </w:rPr>
              <w:t>Programa 12</w:t>
            </w:r>
          </w:p>
        </w:tc>
        <w:tc>
          <w:tcPr>
            <w:tcW w:w="1162" w:type="dxa"/>
            <w:tcBorders>
              <w:top w:val="nil"/>
              <w:bottom w:val="nil"/>
            </w:tcBorders>
            <w:shd w:val="clear" w:color="auto" w:fill="auto"/>
          </w:tcPr>
          <w:p w:rsidR="00C14248" w:rsidRPr="00672EC3" w:rsidRDefault="00C14248" w:rsidP="00DA1567">
            <w:pPr>
              <w:spacing w:before="20"/>
              <w:jc w:val="center"/>
              <w:rPr>
                <w:color w:val="A6A6A6" w:themeColor="background1" w:themeShade="A6"/>
                <w:sz w:val="22"/>
                <w:szCs w:val="22"/>
              </w:rPr>
            </w:pPr>
            <w:r w:rsidRPr="00672EC3">
              <w:rPr>
                <w:rFonts w:cs="Arial"/>
                <w:color w:val="A6A6A6" w:themeColor="background1" w:themeShade="A6"/>
                <w:sz w:val="22"/>
                <w:szCs w:val="22"/>
              </w:rPr>
              <w:sym w:font="Wingdings" w:char="F06C"/>
            </w:r>
          </w:p>
        </w:tc>
      </w:tr>
      <w:tr w:rsidR="00C14248" w:rsidRPr="00A34388" w:rsidTr="00672EC3">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usuarios que tienen acceso a las publicaciones de clasificaciones internacionales y normas técnicas, especialmente de países en desarrollo.</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12</w:t>
            </w:r>
          </w:p>
        </w:tc>
        <w:tc>
          <w:tcPr>
            <w:tcW w:w="1162" w:type="dxa"/>
            <w:tcBorders>
              <w:top w:val="nil"/>
              <w:bottom w:val="nil"/>
            </w:tcBorders>
            <w:shd w:val="clear" w:color="auto" w:fill="auto"/>
          </w:tcPr>
          <w:p w:rsidR="00C14248" w:rsidRPr="00477A1D" w:rsidRDefault="00C14248" w:rsidP="00DA1567">
            <w:pPr>
              <w:spacing w:before="20"/>
              <w:jc w:val="center"/>
              <w:rPr>
                <w:color w:val="008000"/>
                <w:sz w:val="22"/>
                <w:szCs w:val="22"/>
              </w:rPr>
            </w:pPr>
            <w:r w:rsidRPr="00477A1D">
              <w:rPr>
                <w:rFonts w:cs="Arial"/>
                <w:color w:val="008000"/>
                <w:sz w:val="22"/>
                <w:szCs w:val="22"/>
              </w:rPr>
              <w:sym w:font="Wingdings" w:char="F06C"/>
            </w:r>
          </w:p>
        </w:tc>
      </w:tr>
      <w:tr w:rsidR="00C14248" w:rsidRPr="00A34388" w:rsidTr="00672EC3">
        <w:tc>
          <w:tcPr>
            <w:tcW w:w="3226"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usuarios por trimestre y sistema (PATENTSCOPE y Base Mundial de Datos sobre Marcas)</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13</w:t>
            </w:r>
          </w:p>
        </w:tc>
        <w:tc>
          <w:tcPr>
            <w:tcW w:w="1162" w:type="dxa"/>
            <w:tcBorders>
              <w:top w:val="nil"/>
            </w:tcBorders>
          </w:tcPr>
          <w:p w:rsidR="00C14248" w:rsidRPr="00477A1D" w:rsidRDefault="00C14248" w:rsidP="00DA1567">
            <w:pPr>
              <w:spacing w:before="20"/>
              <w:jc w:val="center"/>
              <w:rPr>
                <w:color w:val="008000"/>
                <w:sz w:val="22"/>
                <w:szCs w:val="22"/>
              </w:rPr>
            </w:pPr>
            <w:r w:rsidRPr="00477A1D">
              <w:rPr>
                <w:rFonts w:cs="Arial"/>
                <w:color w:val="008000"/>
                <w:sz w:val="22"/>
                <w:szCs w:val="22"/>
              </w:rPr>
              <w:sym w:font="Wingdings" w:char="F06C"/>
            </w:r>
          </w:p>
        </w:tc>
      </w:tr>
      <w:tr w:rsidR="00C14248" w:rsidRPr="00A34388" w:rsidTr="004441AA">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idiomas en los que se pueden efectuar búsquedas simultáneamente.</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13</w:t>
            </w:r>
          </w:p>
        </w:tc>
        <w:tc>
          <w:tcPr>
            <w:tcW w:w="1162" w:type="dxa"/>
            <w:tcBorders>
              <w:bottom w:val="nil"/>
            </w:tcBorders>
          </w:tcPr>
          <w:p w:rsidR="00C14248" w:rsidRPr="00477A1D" w:rsidRDefault="00C14248" w:rsidP="00DA1567">
            <w:pPr>
              <w:spacing w:before="20"/>
              <w:jc w:val="center"/>
              <w:rPr>
                <w:color w:val="008000"/>
                <w:sz w:val="22"/>
                <w:szCs w:val="22"/>
              </w:rPr>
            </w:pPr>
            <w:r w:rsidRPr="00477A1D">
              <w:rPr>
                <w:rFonts w:cs="Arial"/>
                <w:color w:val="008000"/>
                <w:sz w:val="22"/>
                <w:szCs w:val="22"/>
              </w:rPr>
              <w:sym w:font="Wingdings" w:char="F06C"/>
            </w:r>
          </w:p>
        </w:tc>
      </w:tr>
      <w:tr w:rsidR="00C14248" w:rsidRPr="00A34388" w:rsidTr="005635FE">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redes nacionales de CATI puestas en marcha.</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p w:rsidR="00C14248" w:rsidRPr="00332758" w:rsidRDefault="00C14248" w:rsidP="004441AA">
            <w:pPr>
              <w:spacing w:before="120"/>
              <w:ind w:left="176"/>
              <w:rPr>
                <w:rFonts w:cs="Arial"/>
                <w:sz w:val="14"/>
                <w:szCs w:val="14"/>
                <w:lang w:val="es-ES_tradnl"/>
              </w:rPr>
            </w:pPr>
            <w:r w:rsidRPr="00332758">
              <w:rPr>
                <w:rFonts w:cs="Arial"/>
                <w:sz w:val="14"/>
                <w:szCs w:val="14"/>
                <w:lang w:val="es-ES_tradnl"/>
              </w:rPr>
              <w:t>Programa 9 Programa 10</w:t>
            </w:r>
          </w:p>
        </w:tc>
        <w:tc>
          <w:tcPr>
            <w:tcW w:w="1162" w:type="dxa"/>
            <w:tcBorders>
              <w:top w:val="nil"/>
              <w:bottom w:val="nil"/>
            </w:tcBorders>
          </w:tcPr>
          <w:p w:rsidR="00C14248" w:rsidRPr="00477A1D" w:rsidRDefault="00C14248" w:rsidP="00DA1567">
            <w:pPr>
              <w:spacing w:before="20"/>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sz w:val="22"/>
                <w:szCs w:val="22"/>
              </w:rPr>
            </w:pPr>
            <w:r w:rsidRPr="00477A1D">
              <w:rPr>
                <w:rFonts w:cs="Arial"/>
                <w:color w:val="FF0000"/>
                <w:sz w:val="22"/>
                <w:szCs w:val="22"/>
              </w:rPr>
              <w:sym w:font="Wingdings" w:char="F06C"/>
            </w:r>
          </w:p>
        </w:tc>
      </w:tr>
      <w:tr w:rsidR="00C14248" w:rsidRPr="00A34388" w:rsidTr="005635FE">
        <w:tc>
          <w:tcPr>
            <w:tcW w:w="3226"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usuarios que utilizan los servicios de los </w:t>
            </w:r>
            <w:r w:rsidRPr="00332758">
              <w:rPr>
                <w:rFonts w:cs="Arial"/>
                <w:sz w:val="14"/>
                <w:szCs w:val="14"/>
                <w:lang w:val="es-ES_tradnl"/>
              </w:rPr>
              <w:lastRenderedPageBreak/>
              <w:t>CATI por trimestre y por país.</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lastRenderedPageBreak/>
              <w:t>Programa 14</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lastRenderedPageBreak/>
              <w:t xml:space="preserve">Programa 9 </w:t>
            </w:r>
          </w:p>
          <w:p w:rsidR="00C14248" w:rsidRPr="00A34388" w:rsidRDefault="00C14248" w:rsidP="00DA1567">
            <w:pPr>
              <w:spacing w:before="120"/>
              <w:ind w:left="176"/>
              <w:rPr>
                <w:rFonts w:cs="Arial"/>
                <w:color w:val="A6A6A6" w:themeColor="background1" w:themeShade="A6"/>
                <w:sz w:val="14"/>
                <w:szCs w:val="14"/>
                <w:lang w:val="es-ES_tradnl"/>
              </w:rPr>
            </w:pPr>
            <w:r w:rsidRPr="00332758">
              <w:rPr>
                <w:rFonts w:cs="Arial"/>
                <w:sz w:val="14"/>
                <w:szCs w:val="14"/>
                <w:lang w:val="es-ES_tradnl"/>
              </w:rPr>
              <w:t>Programa 10</w:t>
            </w:r>
          </w:p>
        </w:tc>
        <w:tc>
          <w:tcPr>
            <w:tcW w:w="1162" w:type="dxa"/>
            <w:tcBorders>
              <w:top w:val="nil"/>
              <w:bottom w:val="nil"/>
            </w:tcBorders>
            <w:shd w:val="clear" w:color="auto" w:fill="auto"/>
          </w:tcPr>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lastRenderedPageBreak/>
              <w:sym w:font="Wingdings" w:char="F06C"/>
            </w:r>
          </w:p>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lastRenderedPageBreak/>
              <w:sym w:font="Wingdings" w:char="F06C"/>
            </w:r>
          </w:p>
          <w:p w:rsidR="00C14248" w:rsidRPr="004C2A49" w:rsidRDefault="00C14248" w:rsidP="00DA1567">
            <w:pPr>
              <w:jc w:val="center"/>
              <w:rPr>
                <w:color w:val="A6A6A6" w:themeColor="background1" w:themeShade="A6"/>
                <w:sz w:val="22"/>
                <w:szCs w:val="22"/>
                <w:lang w:val="es-ES_tradnl"/>
              </w:rPr>
            </w:pPr>
            <w:r w:rsidRPr="004C2A49">
              <w:rPr>
                <w:rFonts w:cs="Arial"/>
                <w:color w:val="A6A6A6" w:themeColor="background1" w:themeShade="A6"/>
                <w:sz w:val="22"/>
                <w:szCs w:val="22"/>
              </w:rPr>
              <w:sym w:font="Wingdings" w:char="F06C"/>
            </w:r>
          </w:p>
        </w:tc>
      </w:tr>
      <w:tr w:rsidR="00C14248" w:rsidRPr="00A34388" w:rsidTr="005635FE">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usuarios de los servicios de información con valor añadido (servicio de búsqueda de la tecnología, informes sobre análisis de la actividad de </w:t>
            </w:r>
            <w:proofErr w:type="spellStart"/>
            <w:r w:rsidRPr="00332758">
              <w:rPr>
                <w:rFonts w:cs="Arial"/>
                <w:sz w:val="14"/>
                <w:szCs w:val="14"/>
                <w:lang w:val="es-ES_tradnl"/>
              </w:rPr>
              <w:t>patentamiento</w:t>
            </w:r>
            <w:proofErr w:type="spellEnd"/>
            <w:r w:rsidRPr="00332758">
              <w:rPr>
                <w:rFonts w:cs="Arial"/>
                <w:sz w:val="14"/>
                <w:szCs w:val="14"/>
                <w:lang w:val="es-ES_tradnl"/>
              </w:rPr>
              <w:t xml:space="preserve"> y cooperación internacional en el examen).</w:t>
            </w:r>
          </w:p>
        </w:tc>
        <w:tc>
          <w:tcPr>
            <w:tcW w:w="1418" w:type="dxa"/>
            <w:shd w:val="clear" w:color="auto" w:fill="auto"/>
            <w:tcMar>
              <w:top w:w="113" w:type="dxa"/>
            </w:tcMar>
          </w:tcPr>
          <w:p w:rsidR="00C14248" w:rsidRPr="00A34388" w:rsidRDefault="00C14248" w:rsidP="00DA1567">
            <w:pPr>
              <w:spacing w:before="80"/>
              <w:ind w:left="175"/>
              <w:rPr>
                <w:rFonts w:cs="Arial"/>
                <w:color w:val="A6A6A6" w:themeColor="background1" w:themeShade="A6"/>
                <w:sz w:val="14"/>
                <w:szCs w:val="14"/>
                <w:lang w:val="es-ES_tradnl"/>
              </w:rPr>
            </w:pPr>
            <w:r w:rsidRPr="00332758">
              <w:rPr>
                <w:rFonts w:cs="Arial"/>
                <w:sz w:val="14"/>
                <w:szCs w:val="14"/>
                <w:lang w:val="es-ES_tradnl"/>
              </w:rPr>
              <w:t>Programa 14</w:t>
            </w:r>
          </w:p>
        </w:tc>
        <w:tc>
          <w:tcPr>
            <w:tcW w:w="1162"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r w:rsidRPr="004C2A49">
              <w:rPr>
                <w:rFonts w:cs="Arial"/>
                <w:color w:val="A6A6A6" w:themeColor="background1" w:themeShade="A6"/>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usuarios satisfechos de los servicios de información con valor añadido (servicio de búsqueda de la tecnología, informes sobre análisis de la actividad de </w:t>
            </w:r>
            <w:proofErr w:type="spellStart"/>
            <w:r w:rsidRPr="00332758">
              <w:rPr>
                <w:rFonts w:cs="Arial"/>
                <w:sz w:val="14"/>
                <w:szCs w:val="14"/>
                <w:lang w:val="es-ES_tradnl"/>
              </w:rPr>
              <w:t>patentamiento</w:t>
            </w:r>
            <w:proofErr w:type="spellEnd"/>
            <w:r w:rsidRPr="00332758">
              <w:rPr>
                <w:rFonts w:cs="Arial"/>
                <w:sz w:val="14"/>
                <w:szCs w:val="14"/>
                <w:lang w:val="es-ES_tradnl"/>
              </w:rPr>
              <w:t xml:space="preserve"> y cooperación internacional en el examen).  </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tc>
        <w:tc>
          <w:tcPr>
            <w:tcW w:w="1162" w:type="dxa"/>
            <w:tcBorders>
              <w:top w:val="nil"/>
              <w:bottom w:val="nil"/>
            </w:tcBorders>
            <w:shd w:val="clear" w:color="auto" w:fill="auto"/>
          </w:tcPr>
          <w:p w:rsidR="00C14248" w:rsidRPr="00477A1D" w:rsidRDefault="00C14248" w:rsidP="00DA1567">
            <w:pPr>
              <w:jc w:val="center"/>
              <w:rPr>
                <w:sz w:val="22"/>
                <w:szCs w:val="22"/>
              </w:rPr>
            </w:pPr>
            <w:r w:rsidRPr="00477A1D">
              <w:rPr>
                <w:rFonts w:cs="Arial"/>
                <w:color w:val="FF0000"/>
                <w:sz w:val="22"/>
                <w:szCs w:val="22"/>
              </w:rPr>
              <w:sym w:font="Wingdings" w:char="F06C"/>
            </w:r>
            <w:r w:rsidRPr="00477A1D">
              <w:rPr>
                <w:rFonts w:cs="Arial"/>
                <w:color w:val="008000"/>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usuarios satisfechos de los servicios de los CATI.</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tc>
        <w:tc>
          <w:tcPr>
            <w:tcW w:w="1162" w:type="dxa"/>
            <w:tcBorders>
              <w:top w:val="nil"/>
              <w:bottom w:val="nil"/>
            </w:tcBorders>
            <w:shd w:val="clear" w:color="auto" w:fill="auto"/>
          </w:tcPr>
          <w:p w:rsidR="00C14248" w:rsidRPr="00477A1D" w:rsidRDefault="00C14248" w:rsidP="00DA1567">
            <w:pPr>
              <w:jc w:val="center"/>
              <w:rPr>
                <w:sz w:val="22"/>
                <w:szCs w:val="22"/>
              </w:rPr>
            </w:pPr>
            <w:r w:rsidRPr="00477A1D">
              <w:rPr>
                <w:rFonts w:cs="Arial"/>
                <w:color w:val="FF0000"/>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usuarios inscritos en </w:t>
            </w:r>
            <w:proofErr w:type="spellStart"/>
            <w:r w:rsidRPr="00332758">
              <w:rPr>
                <w:rFonts w:cs="Arial"/>
                <w:sz w:val="14"/>
                <w:szCs w:val="14"/>
                <w:lang w:val="es-ES_tradnl"/>
              </w:rPr>
              <w:t>aRDI</w:t>
            </w:r>
            <w:proofErr w:type="spellEnd"/>
            <w:r w:rsidRPr="00332758">
              <w:rPr>
                <w:rFonts w:cs="Arial"/>
                <w:sz w:val="14"/>
                <w:szCs w:val="14"/>
                <w:lang w:val="es-ES_tradnl"/>
              </w:rPr>
              <w:t xml:space="preserve"> y ASPI.</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14</w:t>
            </w:r>
          </w:p>
        </w:tc>
        <w:tc>
          <w:tcPr>
            <w:tcW w:w="1162" w:type="dxa"/>
            <w:tcBorders>
              <w:top w:val="nil"/>
              <w:bottom w:val="nil"/>
            </w:tcBorders>
            <w:shd w:val="clear" w:color="auto" w:fill="auto"/>
          </w:tcPr>
          <w:p w:rsidR="00C14248" w:rsidRPr="00477A1D" w:rsidRDefault="00C14248" w:rsidP="00DA1567">
            <w:pPr>
              <w:jc w:val="center"/>
              <w:rPr>
                <w:sz w:val="22"/>
                <w:szCs w:val="22"/>
              </w:rPr>
            </w:pPr>
            <w:r w:rsidRPr="00477A1D">
              <w:rPr>
                <w:rFonts w:cs="Arial"/>
                <w:color w:val="008000"/>
                <w:sz w:val="22"/>
                <w:szCs w:val="22"/>
              </w:rPr>
              <w:sym w:font="Wingdings" w:char="F06C"/>
            </w:r>
          </w:p>
        </w:tc>
      </w:tr>
      <w:tr w:rsidR="00C14248" w:rsidRPr="00A34388" w:rsidTr="004C2A49">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Estados miembros que han desarrollado su marco de P.I. y establecido oficinas universitarias de transferencia de tecnología (OTT). </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30</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10</w:t>
            </w:r>
          </w:p>
        </w:tc>
        <w:tc>
          <w:tcPr>
            <w:tcW w:w="1162" w:type="dxa"/>
            <w:tcBorders>
              <w:top w:val="nil"/>
              <w:bottom w:val="nil"/>
            </w:tcBorders>
            <w:shd w:val="clear" w:color="auto" w:fill="auto"/>
          </w:tcPr>
          <w:p w:rsidR="00C14248" w:rsidRPr="004C2A49" w:rsidRDefault="005635FE" w:rsidP="00DA1567">
            <w:pPr>
              <w:jc w:val="center"/>
              <w:rPr>
                <w:rFonts w:cs="Arial"/>
                <w:color w:val="A6A6A6" w:themeColor="background1" w:themeShade="A6"/>
                <w:sz w:val="22"/>
                <w:szCs w:val="22"/>
              </w:rPr>
            </w:pPr>
            <w:r w:rsidRPr="00477A1D">
              <w:rPr>
                <w:rFonts w:cs="Arial"/>
                <w:color w:val="E36C0A" w:themeColor="accent6" w:themeShade="BF"/>
                <w:sz w:val="22"/>
                <w:szCs w:val="22"/>
              </w:rPr>
              <w:sym w:font="Wingdings" w:char="F06C"/>
            </w:r>
          </w:p>
          <w:p w:rsidR="00C14248" w:rsidRPr="00477A1D" w:rsidRDefault="005635FE" w:rsidP="00DA1567">
            <w:pPr>
              <w:jc w:val="center"/>
              <w:rPr>
                <w:sz w:val="22"/>
                <w:szCs w:val="22"/>
              </w:rPr>
            </w:pPr>
            <w:r w:rsidRPr="004C2A49">
              <w:rPr>
                <w:rFonts w:cs="Arial"/>
                <w:color w:val="A6A6A6" w:themeColor="background1" w:themeShade="A6"/>
                <w:sz w:val="22"/>
                <w:szCs w:val="22"/>
              </w:rPr>
              <w:sym w:font="Wingdings" w:char="F06C"/>
            </w:r>
          </w:p>
        </w:tc>
      </w:tr>
      <w:tr w:rsidR="00C14248" w:rsidRPr="00A34388" w:rsidTr="00800175">
        <w:tc>
          <w:tcPr>
            <w:tcW w:w="3226" w:type="dxa"/>
            <w:shd w:val="clear" w:color="auto" w:fill="auto"/>
            <w:tcMar>
              <w:top w:w="113" w:type="dxa"/>
            </w:tcMar>
          </w:tcPr>
          <w:p w:rsidR="00C14248" w:rsidRPr="00A34388" w:rsidRDefault="00C14248" w:rsidP="00DA1567">
            <w:pPr>
              <w:keepNext/>
              <w:keepLines/>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Número de intermediarios de confianza y titulares de derechos que se han adherido a la red de sistemas TIGAR, incluidos los procedentes de países en desarrollo y PMA.</w:t>
            </w:r>
          </w:p>
        </w:tc>
        <w:tc>
          <w:tcPr>
            <w:tcW w:w="1418" w:type="dxa"/>
            <w:shd w:val="clear" w:color="auto" w:fill="auto"/>
            <w:tcMar>
              <w:top w:w="113" w:type="dxa"/>
            </w:tcMar>
          </w:tcPr>
          <w:p w:rsidR="00C14248" w:rsidRPr="00332758" w:rsidRDefault="00C14248" w:rsidP="00DA1567">
            <w:pPr>
              <w:keepNext/>
              <w:keepLines/>
              <w:spacing w:before="80"/>
              <w:ind w:left="175"/>
              <w:rPr>
                <w:rFonts w:cs="Arial"/>
                <w:sz w:val="14"/>
                <w:szCs w:val="14"/>
                <w:lang w:val="es-ES_tradnl"/>
              </w:rPr>
            </w:pPr>
            <w:r w:rsidRPr="00332758">
              <w:rPr>
                <w:rFonts w:cs="Arial"/>
                <w:sz w:val="14"/>
                <w:szCs w:val="14"/>
                <w:lang w:val="es-ES_tradnl"/>
              </w:rPr>
              <w:t>Programa 3</w:t>
            </w:r>
          </w:p>
        </w:tc>
        <w:tc>
          <w:tcPr>
            <w:tcW w:w="1162" w:type="dxa"/>
            <w:tcBorders>
              <w:top w:val="nil"/>
            </w:tcBorders>
          </w:tcPr>
          <w:p w:rsidR="00C14248" w:rsidRPr="00477A1D" w:rsidRDefault="00C14248" w:rsidP="00DA1567">
            <w:pPr>
              <w:keepNext/>
              <w:keepLines/>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obras protegidas por derecho de autor y distribuidas entre intermediarios de confianza puestas a disposición de las personas con discapacidad visual a escala internacional por medio de la red de sistemas TIGAR. </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Mayor difusión de colecciones digitalizadas sobre patentes de las oficinas nacionales/regionales de los Estados miembros de la OMPI.</w:t>
            </w: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registros en PATENTSCOPE/Base Mundial de Datos sobre Marcas que no produce la Oficina Internacional.</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6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Número de colecciones nacionales en PATENTSCOPE.</w:t>
            </w:r>
          </w:p>
        </w:tc>
        <w:tc>
          <w:tcPr>
            <w:tcW w:w="1418" w:type="dxa"/>
            <w:shd w:val="clear" w:color="auto" w:fill="auto"/>
            <w:tcMar>
              <w:top w:w="113" w:type="dxa"/>
            </w:tcMar>
          </w:tcPr>
          <w:p w:rsidR="00C14248" w:rsidRPr="00332758" w:rsidRDefault="00C14248" w:rsidP="00DA1567">
            <w:pPr>
              <w:spacing w:before="6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6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Número de colecciones nacionales en la Base Mundial de Datos sobre Marcas.</w:t>
            </w:r>
          </w:p>
        </w:tc>
        <w:tc>
          <w:tcPr>
            <w:tcW w:w="1418" w:type="dxa"/>
            <w:shd w:val="clear" w:color="auto" w:fill="auto"/>
            <w:tcMar>
              <w:top w:w="113" w:type="dxa"/>
            </w:tcMar>
          </w:tcPr>
          <w:p w:rsidR="00C14248" w:rsidRPr="00332758" w:rsidRDefault="00C14248" w:rsidP="00DA1567">
            <w:pPr>
              <w:spacing w:before="6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Puntualidad de las actualizaciones de PATENTSCOPE en relación con las solicitudes PCT.</w:t>
            </w:r>
          </w:p>
        </w:tc>
        <w:tc>
          <w:tcPr>
            <w:tcW w:w="3588"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Plazo (en meses) de aplicación de cambios en PATENTSCOPE en relación con el Reglamento del PCT.</w:t>
            </w:r>
          </w:p>
        </w:tc>
        <w:tc>
          <w:tcPr>
            <w:tcW w:w="1418" w:type="dxa"/>
            <w:shd w:val="clear" w:color="auto" w:fill="auto"/>
            <w:tcMar>
              <w:top w:w="113" w:type="dxa"/>
            </w:tcMar>
          </w:tcPr>
          <w:p w:rsidR="00C14248" w:rsidRPr="00332758" w:rsidRDefault="00C14248" w:rsidP="00DA1567">
            <w:pPr>
              <w:keepNext/>
              <w:keepLines/>
              <w:spacing w:before="8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keepNext/>
              <w:keepLines/>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keepNext/>
              <w:keepLines/>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Número de semanas por año en que la publicación no está disponible a las 8.00 de la noche hora de Ginebra en la fecha de publicación.</w:t>
            </w:r>
          </w:p>
        </w:tc>
        <w:tc>
          <w:tcPr>
            <w:tcW w:w="1418" w:type="dxa"/>
            <w:shd w:val="clear" w:color="auto" w:fill="auto"/>
            <w:tcMar>
              <w:top w:w="113" w:type="dxa"/>
            </w:tcMar>
          </w:tcPr>
          <w:p w:rsidR="00C14248" w:rsidRPr="00332758" w:rsidRDefault="00C14248" w:rsidP="00DA1567">
            <w:pPr>
              <w:keepNext/>
              <w:keepLines/>
              <w:spacing w:before="80"/>
              <w:ind w:left="175"/>
              <w:rPr>
                <w:rFonts w:cs="Arial"/>
                <w:sz w:val="14"/>
                <w:szCs w:val="14"/>
                <w:lang w:val="es-ES_tradnl"/>
              </w:rPr>
            </w:pPr>
            <w:r w:rsidRPr="00332758">
              <w:rPr>
                <w:rFonts w:cs="Arial"/>
                <w:sz w:val="14"/>
                <w:szCs w:val="14"/>
                <w:lang w:val="es-ES_tradnl"/>
              </w:rPr>
              <w:t>Programa 13</w:t>
            </w:r>
          </w:p>
        </w:tc>
        <w:tc>
          <w:tcPr>
            <w:tcW w:w="1162" w:type="dxa"/>
          </w:tcPr>
          <w:p w:rsidR="00C14248" w:rsidRPr="00477A1D" w:rsidRDefault="00C14248" w:rsidP="00DA1567">
            <w:pPr>
              <w:keepNext/>
              <w:keepLines/>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Mejora en la infraestructura técnica y de conocimientos de las oficinas y demás instituciones de P.I. que les permite prestar mejores servicios (más económicos, más rápidos y de mejor calidad) a sus usuarios.</w:t>
            </w: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que disponen de sistemas de administración de P.I. totalmente automatizados proporcionados por la OMPI, en comparación con las que disponen de sistemas automatizados parcialmente.</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15</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10</w:t>
            </w:r>
          </w:p>
        </w:tc>
        <w:tc>
          <w:tcPr>
            <w:tcW w:w="1162" w:type="dxa"/>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cuyos datos de P.I. están disponibles en las bases de datos de la OMPI en Internet.</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15</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10</w:t>
            </w:r>
          </w:p>
        </w:tc>
        <w:tc>
          <w:tcPr>
            <w:tcW w:w="1162" w:type="dxa"/>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grupos de oficinas que participan en una plataforma común.</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15</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tc>
        <w:tc>
          <w:tcPr>
            <w:tcW w:w="1162" w:type="dxa"/>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oficinas que tramitan los datos del PCT y del Sistema de Madrid con el apoyo de sistemas proporcionados por la OMPI.</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15</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9</w:t>
            </w:r>
          </w:p>
          <w:p w:rsidR="00C14248" w:rsidRPr="00332758" w:rsidRDefault="00C14248" w:rsidP="00DA1567">
            <w:pPr>
              <w:spacing w:before="120"/>
              <w:ind w:left="176"/>
              <w:rPr>
                <w:rFonts w:cs="Arial"/>
                <w:sz w:val="14"/>
                <w:szCs w:val="14"/>
                <w:lang w:val="es-ES_tradnl"/>
              </w:rPr>
            </w:pPr>
            <w:r w:rsidRPr="00332758">
              <w:rPr>
                <w:rFonts w:cs="Arial"/>
                <w:sz w:val="14"/>
                <w:szCs w:val="14"/>
                <w:lang w:val="es-ES_tradnl"/>
              </w:rPr>
              <w:t>Programa 10</w:t>
            </w:r>
          </w:p>
        </w:tc>
        <w:tc>
          <w:tcPr>
            <w:tcW w:w="1162" w:type="dxa"/>
          </w:tcPr>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rFonts w:cs="Arial"/>
                <w:color w:val="008000"/>
                <w:sz w:val="22"/>
                <w:szCs w:val="22"/>
              </w:rPr>
            </w:pPr>
            <w:r w:rsidRPr="00477A1D">
              <w:rPr>
                <w:rFonts w:cs="Arial"/>
                <w:color w:val="008000"/>
                <w:sz w:val="22"/>
                <w:szCs w:val="22"/>
              </w:rPr>
              <w:sym w:font="Wingdings" w:char="F06C"/>
            </w:r>
          </w:p>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instituciones que utilizan los sistemas de la OMPI de infraestructura de derecho de autor (WIPOCOS y GDA).</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r w:rsidR="00C14248" w:rsidRPr="00A34388" w:rsidTr="00DA1567">
        <w:tc>
          <w:tcPr>
            <w:tcW w:w="3226"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588" w:type="dxa"/>
            <w:shd w:val="clear" w:color="auto" w:fill="auto"/>
            <w:tcMar>
              <w:top w:w="113" w:type="dxa"/>
              <w:bottom w:w="85"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gobiernos que informan favorablemente acerca de la eficacia y la gobernanza de las instituciones encargadas del derecho de autor en el país.</w:t>
            </w:r>
          </w:p>
        </w:tc>
        <w:tc>
          <w:tcPr>
            <w:tcW w:w="1418" w:type="dxa"/>
            <w:shd w:val="clear" w:color="auto" w:fill="auto"/>
            <w:tcMar>
              <w:top w:w="113" w:type="dxa"/>
            </w:tcMar>
          </w:tcPr>
          <w:p w:rsidR="00C14248" w:rsidRPr="00332758" w:rsidRDefault="00C14248" w:rsidP="00DA1567">
            <w:pPr>
              <w:spacing w:before="80"/>
              <w:ind w:left="175"/>
              <w:rPr>
                <w:rFonts w:cs="Arial"/>
                <w:sz w:val="14"/>
                <w:szCs w:val="14"/>
                <w:lang w:val="es-ES_tradnl"/>
              </w:rPr>
            </w:pPr>
            <w:r w:rsidRPr="00332758">
              <w:rPr>
                <w:rFonts w:cs="Arial"/>
                <w:sz w:val="14"/>
                <w:szCs w:val="14"/>
                <w:lang w:val="es-ES_tradnl"/>
              </w:rPr>
              <w:t>Programa 3</w:t>
            </w:r>
          </w:p>
        </w:tc>
        <w:tc>
          <w:tcPr>
            <w:tcW w:w="1162" w:type="dxa"/>
          </w:tcPr>
          <w:p w:rsidR="00C14248" w:rsidRPr="00477A1D" w:rsidRDefault="00C14248" w:rsidP="00DA1567">
            <w:pPr>
              <w:jc w:val="center"/>
              <w:rPr>
                <w:color w:val="008000"/>
                <w:sz w:val="22"/>
                <w:szCs w:val="22"/>
              </w:rPr>
            </w:pPr>
            <w:r w:rsidRPr="00477A1D">
              <w:rPr>
                <w:rFonts w:cs="Arial"/>
                <w:color w:val="008000"/>
                <w:sz w:val="22"/>
                <w:szCs w:val="22"/>
              </w:rPr>
              <w:sym w:font="Wingdings" w:char="F06C"/>
            </w:r>
          </w:p>
        </w:tc>
      </w:tr>
    </w:tbl>
    <w:p w:rsidR="00C14248" w:rsidRPr="00A34388" w:rsidRDefault="00C14248" w:rsidP="00C14248">
      <w:pPr>
        <w:jc w:val="both"/>
        <w:rPr>
          <w:lang w:val="es-ES_tradnl"/>
        </w:rPr>
      </w:pPr>
    </w:p>
    <w:p w:rsidR="00197073" w:rsidRPr="00332758" w:rsidRDefault="00197073" w:rsidP="00197073">
      <w:pPr>
        <w:autoSpaceDE w:val="0"/>
        <w:autoSpaceDN w:val="0"/>
        <w:adjustRightInd w:val="0"/>
        <w:jc w:val="both"/>
        <w:rPr>
          <w:bCs/>
          <w:lang w:val="es-ES_tradnl"/>
        </w:rPr>
      </w:pPr>
      <w:r w:rsidRPr="00332758">
        <w:rPr>
          <w:bCs/>
          <w:lang w:val="es-ES_tradnl"/>
        </w:rPr>
        <w:t xml:space="preserve">Con la vista puesta en mejorar la infraestructura mundial de P.I. para contribuir a atender la creciente demanda mundial respecto del sistema de P.I. y facilitar la participación de los países en desarrollo y los PMA en el sistema, en 2012 se han conseguido logros importantes en los ámbitos de las bases de datos mundiales sobre P.I., las clasificaciones, la modernización de las oficinas de P.I. y los CATI. </w:t>
      </w:r>
    </w:p>
    <w:p w:rsidR="00197073" w:rsidRPr="00A34388" w:rsidRDefault="00197073" w:rsidP="00197073">
      <w:pPr>
        <w:autoSpaceDE w:val="0"/>
        <w:autoSpaceDN w:val="0"/>
        <w:adjustRightInd w:val="0"/>
        <w:jc w:val="both"/>
        <w:rPr>
          <w:bCs/>
          <w:lang w:val="es-ES_tradnl"/>
        </w:rPr>
      </w:pPr>
    </w:p>
    <w:p w:rsidR="00D3691A" w:rsidRPr="00A34388" w:rsidRDefault="00556042" w:rsidP="00855ECB">
      <w:pPr>
        <w:autoSpaceDE w:val="0"/>
        <w:autoSpaceDN w:val="0"/>
        <w:adjustRightInd w:val="0"/>
        <w:jc w:val="both"/>
        <w:rPr>
          <w:bCs/>
          <w:lang w:val="es-ES_tradnl"/>
        </w:rPr>
      </w:pPr>
      <w:r w:rsidRPr="00A34388">
        <w:rPr>
          <w:lang w:val="es-ES_tradnl"/>
        </w:rPr>
        <w:t xml:space="preserve">El nuevo sistema PATENTSCOPE, introducido en las postrimerías del bienio </w:t>
      </w:r>
      <w:r w:rsidR="00284400" w:rsidRPr="00A34388">
        <w:rPr>
          <w:lang w:val="es-ES_tradnl"/>
        </w:rPr>
        <w:t>anterior</w:t>
      </w:r>
      <w:r w:rsidRPr="00A34388">
        <w:rPr>
          <w:lang w:val="es-ES_tradnl"/>
        </w:rPr>
        <w:t>, continuó perfeccionándose con el fin de mejorar y facilitar el acceso de los usuarios.</w:t>
      </w:r>
      <w:r w:rsidR="00855ECB" w:rsidRPr="00A34388">
        <w:rPr>
          <w:bCs/>
          <w:lang w:val="es-ES_tradnl"/>
        </w:rPr>
        <w:t xml:space="preserve"> </w:t>
      </w:r>
      <w:r w:rsidR="00537926" w:rsidRPr="00A34388">
        <w:rPr>
          <w:bCs/>
          <w:lang w:val="es-ES_tradnl"/>
        </w:rPr>
        <w:t xml:space="preserve"> </w:t>
      </w:r>
      <w:r w:rsidR="00855ECB" w:rsidRPr="00A34388">
        <w:rPr>
          <w:bCs/>
          <w:lang w:val="es-ES_tradnl"/>
        </w:rPr>
        <w:t xml:space="preserve">Se han añadido tres nuevos idiomas (neerlandés, italiano y sueco) a los nueve ya existentes en el sistema de búsqueda </w:t>
      </w:r>
      <w:r w:rsidR="004A079B" w:rsidRPr="00A34388">
        <w:rPr>
          <w:bCs/>
          <w:lang w:val="es-ES_tradnl"/>
        </w:rPr>
        <w:t>multi</w:t>
      </w:r>
      <w:r w:rsidR="00855ECB" w:rsidRPr="00A34388">
        <w:rPr>
          <w:bCs/>
          <w:lang w:val="es-ES_tradnl"/>
        </w:rPr>
        <w:t xml:space="preserve">lingüe </w:t>
      </w:r>
      <w:r w:rsidR="00855ECB" w:rsidRPr="00392742">
        <w:rPr>
          <w:bCs/>
          <w:i/>
          <w:lang w:val="es-ES_tradnl"/>
        </w:rPr>
        <w:t xml:space="preserve">Cross Lingual </w:t>
      </w:r>
      <w:proofErr w:type="spellStart"/>
      <w:r w:rsidR="00855ECB" w:rsidRPr="00392742">
        <w:rPr>
          <w:bCs/>
          <w:i/>
          <w:lang w:val="es-ES_tradnl"/>
        </w:rPr>
        <w:t>Information</w:t>
      </w:r>
      <w:proofErr w:type="spellEnd"/>
      <w:r w:rsidR="00855ECB" w:rsidRPr="00392742">
        <w:rPr>
          <w:bCs/>
          <w:i/>
          <w:lang w:val="es-ES_tradnl"/>
        </w:rPr>
        <w:t xml:space="preserve"> </w:t>
      </w:r>
      <w:proofErr w:type="spellStart"/>
      <w:r w:rsidR="00855ECB" w:rsidRPr="00392742">
        <w:rPr>
          <w:bCs/>
          <w:i/>
          <w:lang w:val="es-ES_tradnl"/>
        </w:rPr>
        <w:t>Retrieval</w:t>
      </w:r>
      <w:proofErr w:type="spellEnd"/>
      <w:r w:rsidR="00855ECB" w:rsidRPr="00A34388">
        <w:rPr>
          <w:bCs/>
          <w:lang w:val="es-ES_tradnl"/>
        </w:rPr>
        <w:t xml:space="preserve"> (CLIR).  </w:t>
      </w:r>
      <w:r w:rsidR="00855ECB" w:rsidRPr="00332758">
        <w:rPr>
          <w:bCs/>
          <w:lang w:val="es-ES_tradnl"/>
        </w:rPr>
        <w:t>Se ha ampliado el sistema de traducción automática por métodos estadísticos TAPTA, creado por la propia Organización, a fin de que incluya también dos combinaciones complicadas de idiomas, a saber, inglés y alemán e inglés y japonés</w:t>
      </w:r>
      <w:r w:rsidR="00855ECB" w:rsidRPr="00A34388">
        <w:rPr>
          <w:bCs/>
          <w:lang w:val="es-ES_tradnl"/>
        </w:rPr>
        <w:t xml:space="preserve">.  </w:t>
      </w:r>
      <w:r w:rsidR="00861368" w:rsidRPr="00A34388">
        <w:rPr>
          <w:bCs/>
          <w:lang w:val="es-ES_tradnl"/>
        </w:rPr>
        <w:t>A pesar de los problemas de distribución de contenidos en red que surgieron durante 2012, e</w:t>
      </w:r>
      <w:r w:rsidR="00855ECB" w:rsidRPr="00A34388">
        <w:rPr>
          <w:bCs/>
          <w:lang w:val="es-ES_tradnl"/>
        </w:rPr>
        <w:t>l uso de PATENTSCOPE aumentó un 10</w:t>
      </w:r>
      <w:r w:rsidR="00392DEF" w:rsidRPr="00A34388">
        <w:rPr>
          <w:bCs/>
          <w:lang w:val="es-ES_tradnl"/>
        </w:rPr>
        <w:t>%</w:t>
      </w:r>
      <w:r w:rsidR="00855ECB" w:rsidRPr="00A34388">
        <w:rPr>
          <w:bCs/>
          <w:lang w:val="es-ES_tradnl"/>
        </w:rPr>
        <w:t xml:space="preserve">, </w:t>
      </w:r>
      <w:r w:rsidR="00521622" w:rsidRPr="00A34388">
        <w:rPr>
          <w:bCs/>
          <w:lang w:val="es-ES_tradnl"/>
        </w:rPr>
        <w:t xml:space="preserve">pasando de </w:t>
      </w:r>
      <w:r w:rsidR="00855ECB" w:rsidRPr="00A34388">
        <w:rPr>
          <w:bCs/>
          <w:lang w:val="es-ES_tradnl"/>
        </w:rPr>
        <w:t xml:space="preserve">216.289 usuarios por trimestre en 2011 </w:t>
      </w:r>
      <w:r w:rsidR="00521622" w:rsidRPr="00A34388">
        <w:rPr>
          <w:bCs/>
          <w:lang w:val="es-ES_tradnl"/>
        </w:rPr>
        <w:t xml:space="preserve">a </w:t>
      </w:r>
      <w:r w:rsidR="00855ECB" w:rsidRPr="00A34388">
        <w:rPr>
          <w:bCs/>
          <w:lang w:val="es-ES_tradnl"/>
        </w:rPr>
        <w:t xml:space="preserve">237.446 usuarios por trimestre en 2013.  El número de colecciones que </w:t>
      </w:r>
      <w:r w:rsidR="00861368" w:rsidRPr="00A34388">
        <w:rPr>
          <w:bCs/>
          <w:lang w:val="es-ES_tradnl"/>
        </w:rPr>
        <w:t xml:space="preserve">alberga </w:t>
      </w:r>
      <w:r w:rsidR="00855ECB" w:rsidRPr="00A34388">
        <w:rPr>
          <w:bCs/>
          <w:lang w:val="es-ES_tradnl"/>
        </w:rPr>
        <w:t>PATENTSCOPE experimentó un</w:t>
      </w:r>
      <w:r w:rsidR="004A079B" w:rsidRPr="00A34388">
        <w:rPr>
          <w:bCs/>
          <w:lang w:val="es-ES_tradnl"/>
        </w:rPr>
        <w:t xml:space="preserve"> crecimiento constante</w:t>
      </w:r>
      <w:r w:rsidR="00855ECB" w:rsidRPr="00A34388">
        <w:rPr>
          <w:bCs/>
          <w:lang w:val="es-ES_tradnl"/>
        </w:rPr>
        <w:t xml:space="preserve">, pasando de 28 en 2011 a 36 en 2013, </w:t>
      </w:r>
      <w:r w:rsidR="00D3691A" w:rsidRPr="00A34388">
        <w:rPr>
          <w:lang w:val="es-ES_tradnl"/>
        </w:rPr>
        <w:t xml:space="preserve">destacando entre ellas la aportación de las colecciones de </w:t>
      </w:r>
      <w:r w:rsidR="00584235" w:rsidRPr="00A34388">
        <w:rPr>
          <w:lang w:val="es-ES_tradnl"/>
        </w:rPr>
        <w:t xml:space="preserve">los </w:t>
      </w:r>
      <w:r w:rsidR="00D3691A" w:rsidRPr="00A34388">
        <w:rPr>
          <w:lang w:val="es-ES_tradnl"/>
        </w:rPr>
        <w:t>Estados Unidos</w:t>
      </w:r>
      <w:r w:rsidR="00584235" w:rsidRPr="00A34388">
        <w:rPr>
          <w:lang w:val="es-ES_tradnl"/>
        </w:rPr>
        <w:t xml:space="preserve"> de América</w:t>
      </w:r>
      <w:r w:rsidR="00D3691A" w:rsidRPr="00A34388">
        <w:rPr>
          <w:lang w:val="es-ES_tradnl"/>
        </w:rPr>
        <w:t xml:space="preserve">, </w:t>
      </w:r>
      <w:r w:rsidR="00584235" w:rsidRPr="00A34388">
        <w:rPr>
          <w:lang w:val="es-ES_tradnl"/>
        </w:rPr>
        <w:t xml:space="preserve">el </w:t>
      </w:r>
      <w:r w:rsidR="00D3691A" w:rsidRPr="00A34388">
        <w:rPr>
          <w:lang w:val="es-ES_tradnl"/>
        </w:rPr>
        <w:t xml:space="preserve">Japón y China, </w:t>
      </w:r>
      <w:r w:rsidR="00392742">
        <w:rPr>
          <w:lang w:val="es-ES_tradnl"/>
        </w:rPr>
        <w:t xml:space="preserve">con lo </w:t>
      </w:r>
      <w:r w:rsidR="00D3691A" w:rsidRPr="00A34388">
        <w:rPr>
          <w:lang w:val="es-ES_tradnl"/>
        </w:rPr>
        <w:t>que s</w:t>
      </w:r>
      <w:r w:rsidR="00392742">
        <w:rPr>
          <w:lang w:val="es-ES_tradnl"/>
        </w:rPr>
        <w:t>e triplicó con creces</w:t>
      </w:r>
      <w:r w:rsidR="00D3691A" w:rsidRPr="00A34388">
        <w:rPr>
          <w:lang w:val="es-ES_tradnl"/>
        </w:rPr>
        <w:t xml:space="preserve"> el número de registros (documentos), que pasaron de 10 a 34 millones</w:t>
      </w:r>
      <w:r w:rsidR="00D3691A" w:rsidRPr="00A34388">
        <w:rPr>
          <w:bCs/>
          <w:lang w:val="es-ES_tradnl"/>
        </w:rPr>
        <w:t xml:space="preserve"> </w:t>
      </w:r>
    </w:p>
    <w:p w:rsidR="00D3691A" w:rsidRPr="00A34388" w:rsidRDefault="00D3691A" w:rsidP="00855ECB">
      <w:pPr>
        <w:autoSpaceDE w:val="0"/>
        <w:autoSpaceDN w:val="0"/>
        <w:adjustRightInd w:val="0"/>
        <w:jc w:val="both"/>
        <w:rPr>
          <w:lang w:val="es-ES_tradnl"/>
        </w:rPr>
      </w:pPr>
    </w:p>
    <w:p w:rsidR="00855ECB" w:rsidRPr="00A34388" w:rsidRDefault="00855ECB" w:rsidP="00855ECB">
      <w:pPr>
        <w:jc w:val="both"/>
        <w:rPr>
          <w:bCs/>
          <w:lang w:val="es-ES_tradnl"/>
        </w:rPr>
      </w:pPr>
      <w:r w:rsidRPr="00332758">
        <w:rPr>
          <w:bCs/>
          <w:lang w:val="es-ES_tradnl"/>
        </w:rPr>
        <w:t>En 2012 comenzó a funcionar la Base Mundial de Datos sobre Marcas, que contiene las colecciones de los sistemas de Madrid y de Lisboa, y del artículo 6</w:t>
      </w:r>
      <w:r w:rsidRPr="00332758">
        <w:rPr>
          <w:bCs/>
          <w:i/>
          <w:lang w:val="es-ES_tradnl"/>
        </w:rPr>
        <w:t xml:space="preserve">ter, </w:t>
      </w:r>
      <w:r w:rsidRPr="00332758">
        <w:rPr>
          <w:bCs/>
          <w:lang w:val="es-ES_tradnl"/>
        </w:rPr>
        <w:t>cuyo número de visitas ha ido aumentando progresivamente durante 2012 pasando de 13.000 a 23.000 usuarios por trimestre</w:t>
      </w:r>
      <w:r w:rsidR="005E41E4" w:rsidRPr="00332758">
        <w:rPr>
          <w:bCs/>
          <w:lang w:val="es-ES_tradnl"/>
        </w:rPr>
        <w:t>, cifra que cabe comparar con los 9.000 usuarios de 2011</w:t>
      </w:r>
      <w:r w:rsidRPr="00332758">
        <w:rPr>
          <w:bCs/>
          <w:lang w:val="es-ES_tradnl"/>
        </w:rPr>
        <w:t xml:space="preserve">.  </w:t>
      </w:r>
      <w:r w:rsidRPr="00A34388">
        <w:rPr>
          <w:bCs/>
          <w:lang w:val="es-ES_tradnl"/>
        </w:rPr>
        <w:t xml:space="preserve">Además, el proceso de añadir colecciones nacionales, que comenzó en 2012 con un total de tres de ellas, </w:t>
      </w:r>
      <w:r w:rsidR="004A079B" w:rsidRPr="00A34388">
        <w:rPr>
          <w:bCs/>
          <w:lang w:val="es-ES_tradnl"/>
        </w:rPr>
        <w:t>prosiguió durante</w:t>
      </w:r>
      <w:r w:rsidR="003F11A0">
        <w:rPr>
          <w:bCs/>
          <w:lang w:val="es-ES_tradnl"/>
        </w:rPr>
        <w:t> </w:t>
      </w:r>
      <w:r w:rsidRPr="00A34388">
        <w:rPr>
          <w:bCs/>
          <w:lang w:val="es-ES_tradnl"/>
        </w:rPr>
        <w:t xml:space="preserve">2013, </w:t>
      </w:r>
      <w:r w:rsidR="004A079B" w:rsidRPr="00A34388">
        <w:rPr>
          <w:bCs/>
          <w:lang w:val="es-ES_tradnl"/>
        </w:rPr>
        <w:t xml:space="preserve">elevando el </w:t>
      </w:r>
      <w:r w:rsidRPr="00A34388">
        <w:rPr>
          <w:bCs/>
          <w:lang w:val="es-ES_tradnl"/>
        </w:rPr>
        <w:t xml:space="preserve">número total de colecciones nacionales </w:t>
      </w:r>
      <w:r w:rsidR="004A079B" w:rsidRPr="00A34388">
        <w:rPr>
          <w:bCs/>
          <w:lang w:val="es-ES_tradnl"/>
        </w:rPr>
        <w:t>a</w:t>
      </w:r>
      <w:r w:rsidRPr="00A34388">
        <w:rPr>
          <w:bCs/>
          <w:lang w:val="es-ES_tradnl"/>
        </w:rPr>
        <w:t xml:space="preserve"> 12.  Como consecuencia de ello, el número de </w:t>
      </w:r>
      <w:r w:rsidR="00521622" w:rsidRPr="00A34388">
        <w:rPr>
          <w:bCs/>
          <w:lang w:val="es-ES_tradnl"/>
        </w:rPr>
        <w:t xml:space="preserve">registros </w:t>
      </w:r>
      <w:r w:rsidRPr="00A34388">
        <w:rPr>
          <w:bCs/>
          <w:lang w:val="es-ES_tradnl"/>
        </w:rPr>
        <w:t xml:space="preserve">que alberga el sistema se incrementó </w:t>
      </w:r>
      <w:r w:rsidR="00761C52" w:rsidRPr="00A34388">
        <w:rPr>
          <w:bCs/>
          <w:lang w:val="es-ES_tradnl"/>
        </w:rPr>
        <w:t xml:space="preserve">de forma considerable, </w:t>
      </w:r>
      <w:r w:rsidR="00942CC7" w:rsidRPr="00A34388">
        <w:rPr>
          <w:bCs/>
          <w:lang w:val="es-ES_tradnl"/>
        </w:rPr>
        <w:t xml:space="preserve">pasando de </w:t>
      </w:r>
      <w:r w:rsidRPr="00A34388">
        <w:rPr>
          <w:bCs/>
          <w:lang w:val="es-ES_tradnl"/>
        </w:rPr>
        <w:t xml:space="preserve">700.000 en 2011 a dos millones en 2012 y a un total de doce millones de </w:t>
      </w:r>
      <w:r w:rsidR="00521622" w:rsidRPr="00A34388">
        <w:rPr>
          <w:bCs/>
          <w:lang w:val="es-ES_tradnl"/>
        </w:rPr>
        <w:t xml:space="preserve">registros </w:t>
      </w:r>
      <w:r w:rsidRPr="00A34388">
        <w:rPr>
          <w:bCs/>
          <w:lang w:val="es-ES_tradnl"/>
        </w:rPr>
        <w:t xml:space="preserve">al </w:t>
      </w:r>
      <w:r w:rsidR="00942CC7" w:rsidRPr="00A34388">
        <w:rPr>
          <w:bCs/>
          <w:lang w:val="es-ES_tradnl"/>
        </w:rPr>
        <w:t xml:space="preserve">término </w:t>
      </w:r>
      <w:r w:rsidRPr="00A34388">
        <w:rPr>
          <w:bCs/>
          <w:lang w:val="es-ES_tradnl"/>
        </w:rPr>
        <w:t xml:space="preserve">del bienio.  </w:t>
      </w:r>
    </w:p>
    <w:p w:rsidR="00855ECB" w:rsidRPr="00A34388" w:rsidRDefault="00855ECB" w:rsidP="00855ECB">
      <w:pPr>
        <w:jc w:val="both"/>
        <w:rPr>
          <w:lang w:val="es-ES_tradnl"/>
        </w:rPr>
      </w:pPr>
    </w:p>
    <w:p w:rsidR="00855ECB" w:rsidRPr="00332758" w:rsidRDefault="00855ECB" w:rsidP="00855ECB">
      <w:pPr>
        <w:autoSpaceDE w:val="0"/>
        <w:autoSpaceDN w:val="0"/>
        <w:adjustRightInd w:val="0"/>
        <w:jc w:val="both"/>
        <w:rPr>
          <w:lang w:val="es-ES_tradnl"/>
        </w:rPr>
      </w:pPr>
      <w:r w:rsidRPr="00332758">
        <w:rPr>
          <w:lang w:val="es-ES_tradnl"/>
        </w:rPr>
        <w:t xml:space="preserve">En 2012/13 se produjo asimismo un avance significativo en lo que respecta a las clasificaciones internacionales y normas técnicas de la OMPI.  Se llevó a cabo la reforma de la Clasificación de Niza y el Comité de Expertos celebró su primera sesión anual y adoptó las modificaciones introducidas en la Clasificación que, a partir de 2013, tendrá carácter anual.  Se puso en marcha con éxito una nueva plataforma de publicación para la Clasificación de Niza que se ajusta a la publicación anual de las nuevas versiones.  </w:t>
      </w:r>
      <w:r w:rsidRPr="00A34388">
        <w:rPr>
          <w:lang w:val="es-ES_tradnl"/>
        </w:rPr>
        <w:t>Además, en esta nueva plataforma estará integrada también la Taxonomía, que se ha terminado de elaborar</w:t>
      </w:r>
      <w:r w:rsidR="005E41E4">
        <w:rPr>
          <w:lang w:val="es-ES_tradnl"/>
        </w:rPr>
        <w:t xml:space="preserve"> en 2012</w:t>
      </w:r>
      <w:r w:rsidRPr="00A34388">
        <w:rPr>
          <w:lang w:val="es-ES_tradnl"/>
        </w:rPr>
        <w:t xml:space="preserve"> en colaboración con la Oficina de Armonización del Mercado Interior (OAMI</w:t>
      </w:r>
      <w:r w:rsidR="000F1033" w:rsidRPr="00A34388">
        <w:rPr>
          <w:lang w:val="es-ES_tradnl"/>
        </w:rPr>
        <w:t>)</w:t>
      </w:r>
      <w:r w:rsidRPr="00A34388">
        <w:rPr>
          <w:lang w:val="es-ES_tradnl"/>
        </w:rPr>
        <w:t xml:space="preserve">.  La séptima edición de la Clasificación de Viena se publicó en la fecha prevista.  </w:t>
      </w:r>
      <w:r w:rsidRPr="00332758">
        <w:rPr>
          <w:lang w:val="es-ES_tradnl"/>
        </w:rPr>
        <w:t xml:space="preserve">El Comité de Expertos de la Clasificación de </w:t>
      </w:r>
      <w:proofErr w:type="spellStart"/>
      <w:r w:rsidRPr="00332758">
        <w:rPr>
          <w:lang w:val="es-ES_tradnl"/>
        </w:rPr>
        <w:t>Locarno</w:t>
      </w:r>
      <w:proofErr w:type="spellEnd"/>
      <w:r w:rsidRPr="00332758">
        <w:rPr>
          <w:lang w:val="es-ES_tradnl"/>
        </w:rPr>
        <w:t xml:space="preserve"> se reunió durante el mes de noviembre de 2012 y aprobó las modificaciones a la décima edición de la Clasificación de 2013.</w:t>
      </w:r>
      <w:r w:rsidRPr="00332758">
        <w:rPr>
          <w:szCs w:val="22"/>
          <w:lang w:val="es-ES_tradnl"/>
        </w:rPr>
        <w:t xml:space="preserve">  </w:t>
      </w:r>
      <w:r w:rsidRPr="00332758">
        <w:rPr>
          <w:lang w:val="es-ES_tradnl"/>
        </w:rPr>
        <w:t xml:space="preserve"> </w:t>
      </w:r>
    </w:p>
    <w:p w:rsidR="00855ECB" w:rsidRPr="00A34388" w:rsidRDefault="00855ECB" w:rsidP="00855E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lang w:val="es-ES_tradnl"/>
        </w:rPr>
      </w:pPr>
    </w:p>
    <w:p w:rsidR="00855ECB" w:rsidRPr="00A34388" w:rsidRDefault="00855ECB" w:rsidP="00855ECB">
      <w:pPr>
        <w:jc w:val="both"/>
        <w:rPr>
          <w:iCs/>
          <w:lang w:val="es-ES_tradnl"/>
        </w:rPr>
      </w:pPr>
      <w:r w:rsidRPr="00A34388">
        <w:rPr>
          <w:iCs/>
          <w:lang w:val="es-ES_tradnl"/>
        </w:rPr>
        <w:t xml:space="preserve">Durante el bienio 2012/13, el número </w:t>
      </w:r>
      <w:r w:rsidR="004A079B" w:rsidRPr="00A34388">
        <w:rPr>
          <w:iCs/>
          <w:lang w:val="es-ES_tradnl"/>
        </w:rPr>
        <w:t xml:space="preserve">total </w:t>
      </w:r>
      <w:r w:rsidRPr="00A34388">
        <w:rPr>
          <w:iCs/>
          <w:lang w:val="es-ES_tradnl"/>
        </w:rPr>
        <w:t>de Estados miembros que c</w:t>
      </w:r>
      <w:r w:rsidR="004A079B" w:rsidRPr="00A34388">
        <w:rPr>
          <w:iCs/>
          <w:lang w:val="es-ES_tradnl"/>
        </w:rPr>
        <w:t>uentan con</w:t>
      </w:r>
      <w:r w:rsidRPr="00A34388">
        <w:rPr>
          <w:iCs/>
          <w:lang w:val="es-ES_tradnl"/>
        </w:rPr>
        <w:t xml:space="preserve"> centros de apoyo a la tecnología y la innovación (CATI) en sus países</w:t>
      </w:r>
      <w:r w:rsidR="004A079B" w:rsidRPr="00A34388">
        <w:rPr>
          <w:iCs/>
          <w:lang w:val="es-ES_tradnl"/>
        </w:rPr>
        <w:t xml:space="preserve"> se situó en 39</w:t>
      </w:r>
      <w:r w:rsidRPr="00A34388">
        <w:rPr>
          <w:iCs/>
          <w:lang w:val="es-ES_tradnl"/>
        </w:rPr>
        <w:t xml:space="preserve">.  </w:t>
      </w:r>
      <w:r w:rsidR="00F218E5" w:rsidRPr="00A34388">
        <w:rPr>
          <w:iCs/>
          <w:lang w:val="es-ES_tradnl"/>
        </w:rPr>
        <w:t xml:space="preserve">La creación de redes en Internet </w:t>
      </w:r>
      <w:r w:rsidRPr="00A34388">
        <w:rPr>
          <w:iCs/>
          <w:lang w:val="es-ES_tradnl"/>
        </w:rPr>
        <w:t>a través de la plataforma de gestión de conocimientos y medios sociales “</w:t>
      </w:r>
      <w:proofErr w:type="spellStart"/>
      <w:r w:rsidRPr="00A34388">
        <w:rPr>
          <w:iCs/>
          <w:lang w:val="es-ES_tradnl"/>
        </w:rPr>
        <w:t>eTISC</w:t>
      </w:r>
      <w:proofErr w:type="spellEnd"/>
      <w:r w:rsidRPr="00A34388">
        <w:rPr>
          <w:iCs/>
          <w:lang w:val="es-ES_tradnl"/>
        </w:rPr>
        <w:t xml:space="preserve">”, puesta en </w:t>
      </w:r>
      <w:r w:rsidR="00F218E5" w:rsidRPr="00A34388">
        <w:rPr>
          <w:iCs/>
          <w:lang w:val="es-ES_tradnl"/>
        </w:rPr>
        <w:t xml:space="preserve">funcionamiento </w:t>
      </w:r>
      <w:r w:rsidRPr="00A34388">
        <w:rPr>
          <w:iCs/>
          <w:lang w:val="es-ES_tradnl"/>
        </w:rPr>
        <w:t xml:space="preserve">a finales de 2012, </w:t>
      </w:r>
      <w:r w:rsidR="00F218E5" w:rsidRPr="00A34388">
        <w:rPr>
          <w:iCs/>
          <w:lang w:val="es-ES_tradnl"/>
        </w:rPr>
        <w:t xml:space="preserve">contribuyó a fomentar </w:t>
      </w:r>
      <w:r w:rsidRPr="00A34388">
        <w:rPr>
          <w:iCs/>
          <w:lang w:val="es-ES_tradnl"/>
        </w:rPr>
        <w:t xml:space="preserve">el intercambio de experiencias y </w:t>
      </w:r>
      <w:r w:rsidR="003B28C6" w:rsidRPr="00A34388">
        <w:rPr>
          <w:iCs/>
          <w:lang w:val="es-ES_tradnl"/>
        </w:rPr>
        <w:t xml:space="preserve">prácticas </w:t>
      </w:r>
      <w:r w:rsidR="00761C52" w:rsidRPr="00A34388">
        <w:rPr>
          <w:iCs/>
          <w:lang w:val="es-ES_tradnl"/>
        </w:rPr>
        <w:t>óptimas</w:t>
      </w:r>
      <w:r w:rsidR="00F218E5" w:rsidRPr="00A34388">
        <w:rPr>
          <w:iCs/>
          <w:lang w:val="es-ES_tradnl"/>
        </w:rPr>
        <w:t xml:space="preserve"> en Internet</w:t>
      </w:r>
      <w:r w:rsidRPr="00A34388">
        <w:rPr>
          <w:iCs/>
          <w:lang w:val="es-ES_tradnl"/>
        </w:rPr>
        <w:t xml:space="preserve">, </w:t>
      </w:r>
      <w:r w:rsidR="00F218E5" w:rsidRPr="00A34388">
        <w:rPr>
          <w:iCs/>
          <w:lang w:val="es-ES_tradnl"/>
        </w:rPr>
        <w:t xml:space="preserve">con casi 700 </w:t>
      </w:r>
      <w:r w:rsidRPr="00A34388">
        <w:rPr>
          <w:iCs/>
          <w:lang w:val="es-ES_tradnl"/>
        </w:rPr>
        <w:t xml:space="preserve">usuarios </w:t>
      </w:r>
      <w:r w:rsidR="00F218E5" w:rsidRPr="00A34388">
        <w:rPr>
          <w:iCs/>
          <w:lang w:val="es-ES_tradnl"/>
        </w:rPr>
        <w:t xml:space="preserve">registrados </w:t>
      </w:r>
      <w:r w:rsidR="00861368" w:rsidRPr="00A34388">
        <w:rPr>
          <w:iCs/>
          <w:lang w:val="es-ES_tradnl"/>
        </w:rPr>
        <w:t>a finales de 2013</w:t>
      </w:r>
      <w:r w:rsidRPr="00A34388">
        <w:rPr>
          <w:iCs/>
          <w:lang w:val="es-ES_tradnl"/>
        </w:rPr>
        <w:t xml:space="preserve">. </w:t>
      </w:r>
      <w:r w:rsidR="00131910" w:rsidRPr="00A34388">
        <w:rPr>
          <w:iCs/>
          <w:lang w:val="es-ES_tradnl"/>
        </w:rPr>
        <w:t xml:space="preserve"> </w:t>
      </w:r>
      <w:r w:rsidR="00DE43D4" w:rsidRPr="00A34388">
        <w:rPr>
          <w:iCs/>
          <w:lang w:val="es-ES_tradnl"/>
        </w:rPr>
        <w:t>L</w:t>
      </w:r>
      <w:r w:rsidR="00131910" w:rsidRPr="00A34388">
        <w:rPr>
          <w:iCs/>
          <w:lang w:val="es-ES_tradnl"/>
        </w:rPr>
        <w:t xml:space="preserve">os </w:t>
      </w:r>
      <w:r w:rsidR="00F218E5" w:rsidRPr="00A34388">
        <w:rPr>
          <w:iCs/>
          <w:lang w:val="es-ES_tradnl"/>
        </w:rPr>
        <w:t xml:space="preserve">seis </w:t>
      </w:r>
      <w:r w:rsidRPr="00A34388">
        <w:rPr>
          <w:iCs/>
          <w:lang w:val="es-ES_tradnl"/>
        </w:rPr>
        <w:t xml:space="preserve">primeros seminarios </w:t>
      </w:r>
      <w:r w:rsidR="003B28C6" w:rsidRPr="00A34388">
        <w:rPr>
          <w:iCs/>
          <w:lang w:val="es-ES_tradnl"/>
        </w:rPr>
        <w:t>web</w:t>
      </w:r>
      <w:r w:rsidR="00DE43D4" w:rsidRPr="00A34388">
        <w:rPr>
          <w:iCs/>
          <w:lang w:val="es-ES_tradnl"/>
        </w:rPr>
        <w:t>,</w:t>
      </w:r>
      <w:r w:rsidRPr="00A34388">
        <w:rPr>
          <w:iCs/>
          <w:lang w:val="es-ES_tradnl"/>
        </w:rPr>
        <w:t xml:space="preserve"> que </w:t>
      </w:r>
      <w:r w:rsidR="00942CC7" w:rsidRPr="00A34388">
        <w:rPr>
          <w:iCs/>
          <w:lang w:val="es-ES_tradnl"/>
        </w:rPr>
        <w:t>reproduc</w:t>
      </w:r>
      <w:r w:rsidR="00F218E5" w:rsidRPr="00A34388">
        <w:rPr>
          <w:iCs/>
          <w:lang w:val="es-ES_tradnl"/>
        </w:rPr>
        <w:t xml:space="preserve">ían </w:t>
      </w:r>
      <w:r w:rsidRPr="00A34388">
        <w:rPr>
          <w:iCs/>
          <w:lang w:val="es-ES_tradnl"/>
        </w:rPr>
        <w:t xml:space="preserve">las presentaciones </w:t>
      </w:r>
      <w:r w:rsidR="00F218E5" w:rsidRPr="00A34388">
        <w:rPr>
          <w:iCs/>
          <w:lang w:val="es-ES_tradnl"/>
        </w:rPr>
        <w:t xml:space="preserve">de formación </w:t>
      </w:r>
      <w:r w:rsidR="003B28C6" w:rsidRPr="00A34388">
        <w:rPr>
          <w:iCs/>
          <w:lang w:val="es-ES_tradnl"/>
        </w:rPr>
        <w:t>in situ</w:t>
      </w:r>
      <w:r w:rsidRPr="00A34388">
        <w:rPr>
          <w:iCs/>
          <w:lang w:val="es-ES_tradnl"/>
        </w:rPr>
        <w:t xml:space="preserve"> e </w:t>
      </w:r>
      <w:r w:rsidR="00F218E5" w:rsidRPr="00A34388">
        <w:rPr>
          <w:iCs/>
          <w:lang w:val="es-ES_tradnl"/>
        </w:rPr>
        <w:t xml:space="preserve">incluían sesiones de </w:t>
      </w:r>
      <w:r w:rsidRPr="00A34388">
        <w:rPr>
          <w:iCs/>
          <w:lang w:val="es-ES_tradnl"/>
        </w:rPr>
        <w:t>preguntas y respuestas en directo</w:t>
      </w:r>
      <w:r w:rsidR="00DE43D4" w:rsidRPr="00A34388">
        <w:rPr>
          <w:iCs/>
          <w:lang w:val="es-ES_tradnl"/>
        </w:rPr>
        <w:t>, comenzaron a impartirse a mediados de 2013</w:t>
      </w:r>
      <w:r w:rsidRPr="00A34388">
        <w:rPr>
          <w:iCs/>
          <w:lang w:val="es-ES_tradnl"/>
        </w:rPr>
        <w:t xml:space="preserve">, </w:t>
      </w:r>
      <w:r w:rsidR="00F218E5" w:rsidRPr="00A34388">
        <w:rPr>
          <w:lang w:val="es-ES_tradnl"/>
        </w:rPr>
        <w:t>y el programa se está ampliando rápidamente</w:t>
      </w:r>
      <w:r w:rsidRPr="00A34388">
        <w:rPr>
          <w:iCs/>
          <w:lang w:val="es-ES_tradnl"/>
        </w:rPr>
        <w:t>.</w:t>
      </w:r>
    </w:p>
    <w:p w:rsidR="00520ACA" w:rsidRPr="00A34388" w:rsidRDefault="00520ACA" w:rsidP="00855ECB">
      <w:pPr>
        <w:jc w:val="both"/>
        <w:rPr>
          <w:iCs/>
          <w:lang w:val="es-ES_tradnl"/>
        </w:rPr>
      </w:pPr>
    </w:p>
    <w:p w:rsidR="00855ECB" w:rsidRPr="00A34388" w:rsidRDefault="00855ECB" w:rsidP="003F11A0">
      <w:pPr>
        <w:jc w:val="both"/>
        <w:rPr>
          <w:lang w:val="es-ES_tradnl"/>
        </w:rPr>
      </w:pPr>
      <w:r w:rsidRPr="00332758">
        <w:rPr>
          <w:lang w:val="es-ES_tradnl"/>
        </w:rPr>
        <w:t>Se ha continuado introduciendo y actualizando el IPAS (Sistema de Automatización de la Propiedad Industrial) en todas las regiones</w:t>
      </w:r>
      <w:r w:rsidRPr="00A34388">
        <w:rPr>
          <w:lang w:val="es-ES_tradnl"/>
        </w:rPr>
        <w:t>.</w:t>
      </w:r>
      <w:r w:rsidRPr="00A34388">
        <w:rPr>
          <w:bCs/>
          <w:lang w:val="es-ES_tradnl"/>
        </w:rPr>
        <w:t xml:space="preserve">  Alrededor de 61 oficinas de P.I. </w:t>
      </w:r>
      <w:r w:rsidR="003B28C6" w:rsidRPr="00A34388">
        <w:rPr>
          <w:bCs/>
          <w:lang w:val="es-ES_tradnl"/>
        </w:rPr>
        <w:t>utilizaban</w:t>
      </w:r>
      <w:r w:rsidRPr="00A34388">
        <w:rPr>
          <w:bCs/>
          <w:lang w:val="es-ES_tradnl"/>
        </w:rPr>
        <w:t xml:space="preserve"> herramientas </w:t>
      </w:r>
      <w:r w:rsidR="003B28C6" w:rsidRPr="00A34388">
        <w:rPr>
          <w:bCs/>
          <w:lang w:val="es-ES_tradnl"/>
        </w:rPr>
        <w:t xml:space="preserve">comerciales </w:t>
      </w:r>
      <w:r w:rsidRPr="00A34388">
        <w:rPr>
          <w:bCs/>
          <w:lang w:val="es-ES_tradnl"/>
        </w:rPr>
        <w:t xml:space="preserve">de la OMPI a finales del bienio 2012/13 (incluidos el </w:t>
      </w:r>
      <w:r w:rsidR="003B28C6" w:rsidRPr="00A34388">
        <w:rPr>
          <w:bCs/>
          <w:lang w:val="es-ES_tradnl"/>
        </w:rPr>
        <w:t xml:space="preserve">sistema </w:t>
      </w:r>
      <w:r w:rsidRPr="00A34388">
        <w:rPr>
          <w:bCs/>
          <w:lang w:val="es-ES_tradnl"/>
        </w:rPr>
        <w:t xml:space="preserve">IPAS, el Sistema de Gestión de la Propiedad Industrial de la OMPI </w:t>
      </w:r>
      <w:r w:rsidR="00392742">
        <w:rPr>
          <w:bCs/>
          <w:lang w:val="es-ES_tradnl"/>
        </w:rPr>
        <w:t xml:space="preserve">en Árabe </w:t>
      </w:r>
      <w:r w:rsidRPr="00A34388">
        <w:rPr>
          <w:bCs/>
          <w:lang w:val="es-ES_tradnl"/>
        </w:rPr>
        <w:t xml:space="preserve">(AIPMS), EDMS, </w:t>
      </w:r>
      <w:proofErr w:type="spellStart"/>
      <w:r w:rsidRPr="00A34388">
        <w:rPr>
          <w:bCs/>
          <w:lang w:val="es-ES_tradnl"/>
        </w:rPr>
        <w:t>WIPOScan</w:t>
      </w:r>
      <w:proofErr w:type="spellEnd"/>
      <w:r w:rsidRPr="00A34388">
        <w:rPr>
          <w:bCs/>
          <w:lang w:val="es-ES_tradnl"/>
        </w:rPr>
        <w:t xml:space="preserve"> y el </w:t>
      </w:r>
      <w:r w:rsidR="003B28C6" w:rsidRPr="00A34388">
        <w:rPr>
          <w:bCs/>
          <w:lang w:val="es-ES_tradnl"/>
        </w:rPr>
        <w:t>m</w:t>
      </w:r>
      <w:r w:rsidRPr="00A34388">
        <w:rPr>
          <w:bCs/>
          <w:lang w:val="es-ES_tradnl"/>
        </w:rPr>
        <w:t xml:space="preserve">ódulo Madrid </w:t>
      </w:r>
      <w:r w:rsidR="003B28C6" w:rsidRPr="00A34388">
        <w:rPr>
          <w:bCs/>
          <w:lang w:val="es-ES_tradnl"/>
        </w:rPr>
        <w:t xml:space="preserve">de </w:t>
      </w:r>
      <w:r w:rsidRPr="00A34388">
        <w:rPr>
          <w:bCs/>
          <w:lang w:val="es-ES_tradnl"/>
        </w:rPr>
        <w:t xml:space="preserve">la OMPI).  Además, siete oficinas de P.I. </w:t>
      </w:r>
      <w:r w:rsidR="00DE43D4" w:rsidRPr="00A34388">
        <w:rPr>
          <w:bCs/>
          <w:lang w:val="es-ES_tradnl"/>
        </w:rPr>
        <w:t xml:space="preserve">ya utilizaban </w:t>
      </w:r>
      <w:r w:rsidRPr="00A34388">
        <w:rPr>
          <w:bCs/>
          <w:lang w:val="es-ES_tradnl"/>
        </w:rPr>
        <w:t xml:space="preserve">la </w:t>
      </w:r>
      <w:r w:rsidR="003B28C6" w:rsidRPr="00A34388">
        <w:rPr>
          <w:bCs/>
          <w:lang w:val="es-ES_tradnl"/>
        </w:rPr>
        <w:t>p</w:t>
      </w:r>
      <w:r w:rsidRPr="00A34388">
        <w:rPr>
          <w:bCs/>
          <w:lang w:val="es-ES_tradnl"/>
        </w:rPr>
        <w:t xml:space="preserve">lataforma de acceso centralizado a la búsqueda y el examen de la OMPI (CASE) y once oficinas de P.I. </w:t>
      </w:r>
      <w:r w:rsidR="00861368" w:rsidRPr="00A34388">
        <w:rPr>
          <w:bCs/>
          <w:lang w:val="es-ES_tradnl"/>
        </w:rPr>
        <w:t xml:space="preserve">recurrían también a </w:t>
      </w:r>
      <w:r w:rsidR="00931A9F" w:rsidRPr="00A34388">
        <w:rPr>
          <w:bCs/>
          <w:lang w:val="es-ES_tradnl"/>
        </w:rPr>
        <w:t xml:space="preserve">la plataforma </w:t>
      </w:r>
      <w:r w:rsidRPr="00A34388">
        <w:rPr>
          <w:bCs/>
          <w:lang w:val="es-ES_tradnl"/>
        </w:rPr>
        <w:t>DAS</w:t>
      </w:r>
      <w:r w:rsidR="00931A9F" w:rsidRPr="00A34388">
        <w:rPr>
          <w:bCs/>
          <w:lang w:val="es-ES_tradnl"/>
        </w:rPr>
        <w:t xml:space="preserve"> (Servicio de Acceso Digital)</w:t>
      </w:r>
      <w:r w:rsidRPr="00A34388">
        <w:rPr>
          <w:bCs/>
          <w:lang w:val="es-ES_tradnl"/>
        </w:rPr>
        <w:t>.</w:t>
      </w:r>
    </w:p>
    <w:p w:rsidR="00855ECB" w:rsidRPr="00A34388" w:rsidRDefault="00855ECB" w:rsidP="003F11A0">
      <w:pPr>
        <w:jc w:val="both"/>
        <w:rPr>
          <w:bCs/>
          <w:lang w:val="es-ES_tradnl"/>
        </w:rPr>
      </w:pPr>
    </w:p>
    <w:p w:rsidR="00855ECB" w:rsidRPr="00332758" w:rsidRDefault="00855ECB" w:rsidP="00855ECB">
      <w:pPr>
        <w:jc w:val="both"/>
        <w:rPr>
          <w:lang w:val="es-ES_tradnl"/>
        </w:rPr>
      </w:pPr>
      <w:r w:rsidRPr="00A34388">
        <w:rPr>
          <w:lang w:val="es-ES_tradnl"/>
        </w:rPr>
        <w:t xml:space="preserve">A fin de poder gestionar la creciente demanda de sistemas de la OMPI </w:t>
      </w:r>
      <w:r w:rsidR="00F218E5" w:rsidRPr="00A34388">
        <w:rPr>
          <w:lang w:val="es-ES_tradnl"/>
        </w:rPr>
        <w:t xml:space="preserve">y la mayor </w:t>
      </w:r>
      <w:r w:rsidRPr="00A34388">
        <w:rPr>
          <w:lang w:val="es-ES_tradnl"/>
        </w:rPr>
        <w:t xml:space="preserve">complejidad </w:t>
      </w:r>
      <w:r w:rsidR="00F218E5" w:rsidRPr="00A34388">
        <w:rPr>
          <w:lang w:val="es-ES_tradnl"/>
        </w:rPr>
        <w:t xml:space="preserve">de las </w:t>
      </w:r>
      <w:r w:rsidRPr="00A34388">
        <w:rPr>
          <w:lang w:val="es-ES_tradnl"/>
        </w:rPr>
        <w:t xml:space="preserve">necesidades de los usuarios, </w:t>
      </w:r>
      <w:r w:rsidR="00DE43D4" w:rsidRPr="00A34388">
        <w:rPr>
          <w:lang w:val="es-ES_tradnl"/>
        </w:rPr>
        <w:t xml:space="preserve">durante </w:t>
      </w:r>
      <w:r w:rsidRPr="00A34388">
        <w:rPr>
          <w:lang w:val="es-ES_tradnl"/>
        </w:rPr>
        <w:t xml:space="preserve">el bienio </w:t>
      </w:r>
      <w:r w:rsidR="00D41354" w:rsidRPr="00A34388">
        <w:rPr>
          <w:lang w:val="es-ES_tradnl"/>
        </w:rPr>
        <w:t xml:space="preserve">se definió </w:t>
      </w:r>
      <w:r w:rsidRPr="00A34388">
        <w:rPr>
          <w:lang w:val="es-ES_tradnl"/>
        </w:rPr>
        <w:t xml:space="preserve">una nueva estrategia de apoyo </w:t>
      </w:r>
      <w:r w:rsidR="00B00DB0" w:rsidRPr="00A34388">
        <w:rPr>
          <w:lang w:val="es-ES_tradnl"/>
        </w:rPr>
        <w:t xml:space="preserve">centrada </w:t>
      </w:r>
      <w:r w:rsidRPr="00A34388">
        <w:rPr>
          <w:lang w:val="es-ES_tradnl"/>
        </w:rPr>
        <w:t xml:space="preserve">en </w:t>
      </w:r>
      <w:r w:rsidR="00F218E5" w:rsidRPr="00A34388">
        <w:rPr>
          <w:lang w:val="es-ES_tradnl"/>
        </w:rPr>
        <w:t xml:space="preserve">una </w:t>
      </w:r>
      <w:r w:rsidR="00F218E5" w:rsidRPr="00A34388">
        <w:rPr>
          <w:lang w:val="es-ES_tradnl"/>
        </w:rPr>
        <w:lastRenderedPageBreak/>
        <w:t xml:space="preserve">mayor sistematización de los </w:t>
      </w:r>
      <w:r w:rsidRPr="00A34388">
        <w:rPr>
          <w:lang w:val="es-ES_tradnl"/>
        </w:rPr>
        <w:t xml:space="preserve">procedimientos de </w:t>
      </w:r>
      <w:r w:rsidR="00B74D31" w:rsidRPr="00A34388">
        <w:rPr>
          <w:lang w:val="es-ES_tradnl"/>
        </w:rPr>
        <w:t>asistencia informática</w:t>
      </w:r>
      <w:r w:rsidRPr="00A34388">
        <w:rPr>
          <w:lang w:val="es-ES_tradnl"/>
        </w:rPr>
        <w:t xml:space="preserve">, </w:t>
      </w:r>
      <w:r w:rsidR="00D41354" w:rsidRPr="00A34388">
        <w:rPr>
          <w:color w:val="000000"/>
          <w:lang w:val="es-ES_tradnl"/>
        </w:rPr>
        <w:t>una mayor asunción de los sistemas como propios por parte de sus usuarios,</w:t>
      </w:r>
      <w:r w:rsidRPr="00A34388">
        <w:rPr>
          <w:lang w:val="es-ES_tradnl"/>
        </w:rPr>
        <w:t xml:space="preserve"> </w:t>
      </w:r>
      <w:r w:rsidR="00B00DB0" w:rsidRPr="00A34388">
        <w:rPr>
          <w:lang w:val="es-ES_tradnl"/>
        </w:rPr>
        <w:t xml:space="preserve">la </w:t>
      </w:r>
      <w:r w:rsidRPr="00A34388">
        <w:rPr>
          <w:lang w:val="es-ES_tradnl"/>
        </w:rPr>
        <w:t xml:space="preserve">transferencia de conocimientos </w:t>
      </w:r>
      <w:r w:rsidR="00A0386A" w:rsidRPr="00A34388">
        <w:rPr>
          <w:lang w:val="es-ES_tradnl"/>
        </w:rPr>
        <w:t xml:space="preserve">en las esferas </w:t>
      </w:r>
      <w:r w:rsidRPr="00A34388">
        <w:rPr>
          <w:lang w:val="es-ES_tradnl"/>
        </w:rPr>
        <w:t>nacional y regional</w:t>
      </w:r>
      <w:r w:rsidR="00D41354" w:rsidRPr="00A34388">
        <w:rPr>
          <w:lang w:val="es-ES_tradnl"/>
        </w:rPr>
        <w:t>,</w:t>
      </w:r>
      <w:r w:rsidRPr="00A34388">
        <w:rPr>
          <w:lang w:val="es-ES_tradnl"/>
        </w:rPr>
        <w:t xml:space="preserve"> y un</w:t>
      </w:r>
      <w:r w:rsidR="00D41354" w:rsidRPr="00A34388">
        <w:rPr>
          <w:lang w:val="es-ES_tradnl"/>
        </w:rPr>
        <w:t>a</w:t>
      </w:r>
      <w:r w:rsidRPr="00A34388">
        <w:rPr>
          <w:lang w:val="es-ES_tradnl"/>
        </w:rPr>
        <w:t xml:space="preserve"> mayor aportación </w:t>
      </w:r>
      <w:r w:rsidR="00D41354" w:rsidRPr="00A34388">
        <w:rPr>
          <w:lang w:val="es-ES_tradnl"/>
        </w:rPr>
        <w:t xml:space="preserve">a las prioridades </w:t>
      </w:r>
      <w:r w:rsidR="00392742">
        <w:rPr>
          <w:lang w:val="es-ES_tradnl"/>
        </w:rPr>
        <w:t>relativas al</w:t>
      </w:r>
      <w:r w:rsidR="00D41354" w:rsidRPr="00A34388">
        <w:rPr>
          <w:lang w:val="es-ES_tradnl"/>
        </w:rPr>
        <w:t xml:space="preserve"> </w:t>
      </w:r>
      <w:r w:rsidR="00284400" w:rsidRPr="00A34388">
        <w:rPr>
          <w:lang w:val="es-ES_tradnl"/>
        </w:rPr>
        <w:t>desarrollo</w:t>
      </w:r>
      <w:r w:rsidR="00D41354" w:rsidRPr="00A34388">
        <w:rPr>
          <w:lang w:val="es-ES_tradnl"/>
        </w:rPr>
        <w:t xml:space="preserve"> de los sistemas </w:t>
      </w:r>
      <w:r w:rsidRPr="00A34388">
        <w:rPr>
          <w:lang w:val="es-ES_tradnl"/>
        </w:rPr>
        <w:t>por parte de la</w:t>
      </w:r>
      <w:r w:rsidR="00A0386A" w:rsidRPr="00A34388">
        <w:rPr>
          <w:lang w:val="es-ES_tradnl"/>
        </w:rPr>
        <w:t xml:space="preserve"> comunidad de usuarios</w:t>
      </w:r>
      <w:r w:rsidRPr="00A34388">
        <w:rPr>
          <w:lang w:val="es-ES_tradnl"/>
        </w:rPr>
        <w:t xml:space="preserve">, teniendo </w:t>
      </w:r>
      <w:r w:rsidR="00D41354" w:rsidRPr="00A34388">
        <w:rPr>
          <w:lang w:val="es-ES_tradnl"/>
        </w:rPr>
        <w:t xml:space="preserve">siempre </w:t>
      </w:r>
      <w:r w:rsidRPr="00A34388">
        <w:rPr>
          <w:lang w:val="es-ES_tradnl"/>
        </w:rPr>
        <w:t xml:space="preserve">en cuenta las necesidades y capacidades </w:t>
      </w:r>
      <w:r w:rsidR="00D41354" w:rsidRPr="00A34388">
        <w:rPr>
          <w:lang w:val="es-ES_tradnl"/>
        </w:rPr>
        <w:t xml:space="preserve">concretas </w:t>
      </w:r>
      <w:r w:rsidRPr="00A34388">
        <w:rPr>
          <w:lang w:val="es-ES_tradnl"/>
        </w:rPr>
        <w:t xml:space="preserve">de cada oficina.  </w:t>
      </w:r>
      <w:r w:rsidR="00A0386A" w:rsidRPr="00A34388">
        <w:rPr>
          <w:lang w:val="es-ES_tradnl"/>
        </w:rPr>
        <w:t>En 2012 s</w:t>
      </w:r>
      <w:r w:rsidRPr="00A34388">
        <w:rPr>
          <w:lang w:val="es-ES_tradnl"/>
        </w:rPr>
        <w:t xml:space="preserve">e introdujo una </w:t>
      </w:r>
      <w:r w:rsidR="00A0386A" w:rsidRPr="00A34388">
        <w:rPr>
          <w:lang w:val="es-ES_tradnl"/>
        </w:rPr>
        <w:t xml:space="preserve">mejora significativa del IPAS </w:t>
      </w:r>
      <w:r w:rsidR="006D3F12" w:rsidRPr="00A34388">
        <w:rPr>
          <w:lang w:val="es-ES_tradnl"/>
        </w:rPr>
        <w:t>con la exitosa integración d</w:t>
      </w:r>
      <w:r w:rsidRPr="00A34388">
        <w:rPr>
          <w:lang w:val="es-ES_tradnl"/>
        </w:rPr>
        <w:t xml:space="preserve">el sistema de gestión electrónica de documentos de la OMPI.  </w:t>
      </w:r>
      <w:r w:rsidRPr="00332758">
        <w:rPr>
          <w:lang w:val="es-ES_tradnl"/>
        </w:rPr>
        <w:t xml:space="preserve">Se hicieron buenos progresos en el desarrollo de las plataformas WIPO CASE (Acceso Centralizado a la Búsqueda y el Examen) y DAS (Servicio de Acceso Digital), aunque las oficinas participantes siguen siendo pocas y la actividad sigue siendo reducida en líneas generales.  A mediados de 2012 se llevó a cabo una actualización a fondo de ambos sistemas. </w:t>
      </w:r>
    </w:p>
    <w:p w:rsidR="00855ECB" w:rsidRPr="00332758" w:rsidRDefault="00855ECB" w:rsidP="00855ECB">
      <w:pPr>
        <w:jc w:val="both"/>
        <w:rPr>
          <w:bCs/>
          <w:lang w:val="es-ES_tradnl"/>
        </w:rPr>
      </w:pPr>
    </w:p>
    <w:p w:rsidR="003230BA" w:rsidRPr="00332758" w:rsidRDefault="003230BA">
      <w:pPr>
        <w:rPr>
          <w:b/>
          <w:iCs/>
          <w:lang w:val="es-ES_tradnl"/>
        </w:rPr>
      </w:pPr>
    </w:p>
    <w:p w:rsidR="00197073" w:rsidRPr="00332758" w:rsidRDefault="00197073" w:rsidP="00197073">
      <w:pPr>
        <w:jc w:val="center"/>
        <w:rPr>
          <w:b/>
          <w:iCs/>
          <w:lang w:val="es-ES_tradnl"/>
        </w:rPr>
      </w:pPr>
      <w:r w:rsidRPr="00332758">
        <w:rPr>
          <w:b/>
          <w:iCs/>
          <w:lang w:val="es-ES_tradnl"/>
        </w:rPr>
        <w:t>Meta estratégica V</w:t>
      </w:r>
      <w:proofErr w:type="gramStart"/>
      <w:r w:rsidRPr="00332758">
        <w:rPr>
          <w:b/>
          <w:iCs/>
          <w:lang w:val="es-ES_tradnl"/>
        </w:rPr>
        <w:t>:  Fuente</w:t>
      </w:r>
      <w:proofErr w:type="gramEnd"/>
      <w:r w:rsidRPr="00332758">
        <w:rPr>
          <w:b/>
          <w:iCs/>
          <w:lang w:val="es-ES_tradnl"/>
        </w:rPr>
        <w:t xml:space="preserve"> de referencia en el mundo de información y análisis en materia de P.I.</w:t>
      </w:r>
    </w:p>
    <w:p w:rsidR="00197073" w:rsidRPr="00A34388" w:rsidRDefault="00197073" w:rsidP="00197073">
      <w:pPr>
        <w:jc w:val="both"/>
        <w:rPr>
          <w:i/>
          <w:iCs/>
          <w:lang w:val="es-ES_tradnl"/>
        </w:rPr>
      </w:pPr>
    </w:p>
    <w:p w:rsidR="00197073" w:rsidRPr="00A34388" w:rsidRDefault="00197073" w:rsidP="00197073">
      <w:pPr>
        <w:jc w:val="both"/>
        <w:rPr>
          <w:i/>
          <w:iCs/>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197073">
      <w:pPr>
        <w:jc w:val="center"/>
        <w:rPr>
          <w:b/>
          <w:sz w:val="18"/>
          <w:szCs w:val="18"/>
          <w:lang w:val="es-ES_tradnl"/>
        </w:rPr>
      </w:pPr>
    </w:p>
    <w:p w:rsidR="005E68A3" w:rsidRDefault="005E68A3" w:rsidP="00197073">
      <w:pPr>
        <w:jc w:val="center"/>
        <w:rPr>
          <w:b/>
          <w:sz w:val="18"/>
          <w:szCs w:val="18"/>
          <w:lang w:val="es-ES_tradnl"/>
        </w:rPr>
      </w:pPr>
      <w:r>
        <w:rPr>
          <w:noProof/>
        </w:rPr>
        <w:drawing>
          <wp:inline distT="0" distB="0" distL="0" distR="0" wp14:anchorId="4199AAF9" wp14:editId="3F40DC1D">
            <wp:extent cx="6064386" cy="2162175"/>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E68A3" w:rsidRPr="003F11A0" w:rsidRDefault="005E68A3" w:rsidP="003F11A0">
      <w:pPr>
        <w:rPr>
          <w:szCs w:val="20"/>
          <w:lang w:val="es-ES_tradnl"/>
        </w:rPr>
      </w:pPr>
    </w:p>
    <w:p w:rsidR="003230BA" w:rsidRDefault="003230BA" w:rsidP="003F11A0">
      <w:pPr>
        <w:rPr>
          <w:szCs w:val="20"/>
          <w:lang w:val="es-ES_tradnl"/>
        </w:rPr>
      </w:pPr>
    </w:p>
    <w:p w:rsidR="003F11A0" w:rsidRPr="003F11A0" w:rsidRDefault="003F11A0" w:rsidP="003F11A0">
      <w:pPr>
        <w:rPr>
          <w:szCs w:val="20"/>
          <w:lang w:val="es-ES_tradnl"/>
        </w:rPr>
      </w:pPr>
    </w:p>
    <w:p w:rsidR="00197073" w:rsidRPr="00A34388" w:rsidRDefault="00197073" w:rsidP="006950AD">
      <w:pPr>
        <w:jc w:val="center"/>
        <w:rPr>
          <w:b/>
          <w:szCs w:val="20"/>
          <w:lang w:val="es-ES_tradnl"/>
        </w:rPr>
      </w:pPr>
      <w:r w:rsidRPr="00A34388">
        <w:rPr>
          <w:b/>
          <w:szCs w:val="20"/>
          <w:lang w:val="es-ES_tradnl"/>
        </w:rPr>
        <w:t>Cuadro sobre el rendimiento bienal</w:t>
      </w:r>
    </w:p>
    <w:p w:rsidR="00197073" w:rsidRPr="00A34388" w:rsidRDefault="00197073" w:rsidP="00197073">
      <w:pPr>
        <w:rPr>
          <w:b/>
          <w:sz w:val="18"/>
          <w:szCs w:val="18"/>
          <w:lang w:val="es-ES_tradnl"/>
        </w:rPr>
      </w:pPr>
    </w:p>
    <w:p w:rsidR="00F134E3" w:rsidRPr="00A34388" w:rsidRDefault="00F6170D" w:rsidP="00F134E3">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C535EB" w:rsidRPr="00A34388">
        <w:rPr>
          <w:rFonts w:cs="Arial"/>
          <w:lang w:val="es-ES_tradnl"/>
        </w:rPr>
        <w:t xml:space="preserve">los programas </w:t>
      </w:r>
      <w:r w:rsidR="003242C1" w:rsidRPr="00A34388">
        <w:rPr>
          <w:rFonts w:cs="Arial"/>
          <w:lang w:val="es-ES_tradnl"/>
        </w:rPr>
        <w:t>que contri</w:t>
      </w:r>
      <w:r w:rsidR="00C14248">
        <w:rPr>
          <w:rFonts w:cs="Arial"/>
          <w:lang w:val="es-ES_tradnl"/>
        </w:rPr>
        <w:t>buyen a esta meta estratégica.</w:t>
      </w:r>
    </w:p>
    <w:p w:rsidR="00C14248" w:rsidRPr="001F1848" w:rsidRDefault="00C14248" w:rsidP="00C14248">
      <w:pPr>
        <w:rPr>
          <w:szCs w:val="20"/>
          <w:lang w:val="es-ES_tradnl"/>
        </w:rPr>
      </w:pPr>
    </w:p>
    <w:tbl>
      <w:tblPr>
        <w:tblW w:w="0" w:type="auto"/>
        <w:tblInd w:w="98" w:type="dxa"/>
        <w:tblLook w:val="0000" w:firstRow="0" w:lastRow="0" w:firstColumn="0" w:lastColumn="0" w:noHBand="0" w:noVBand="0"/>
      </w:tblPr>
      <w:tblGrid>
        <w:gridCol w:w="3206"/>
        <w:gridCol w:w="3467"/>
        <w:gridCol w:w="1559"/>
        <w:gridCol w:w="1134"/>
      </w:tblGrid>
      <w:tr w:rsidR="00C14248" w:rsidRPr="00A34388" w:rsidTr="004C2A49">
        <w:tc>
          <w:tcPr>
            <w:tcW w:w="3206" w:type="dxa"/>
            <w:tcBorders>
              <w:top w:val="single" w:sz="4" w:space="0" w:color="auto"/>
              <w:left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467"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559"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134" w:type="dxa"/>
            <w:tcBorders>
              <w:top w:val="single" w:sz="4" w:space="0" w:color="auto"/>
              <w:left w:val="nil"/>
              <w:bottom w:val="single" w:sz="4" w:space="0" w:color="auto"/>
              <w:right w:val="single" w:sz="4" w:space="0" w:color="auto"/>
            </w:tcBorders>
            <w:shd w:val="clear" w:color="auto" w:fill="CCFFFF"/>
            <w:vAlign w:val="center"/>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4C2A49">
        <w:tc>
          <w:tcPr>
            <w:tcW w:w="3206" w:type="dxa"/>
            <w:vMerge w:val="restart"/>
            <w:tcBorders>
              <w:top w:val="single" w:sz="4" w:space="0" w:color="auto"/>
              <w:left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Mayor uso de la información estadística de la OMPI sobre los resultados del sistema internacional de P.I.</w:t>
            </w:r>
          </w:p>
        </w:tc>
        <w:tc>
          <w:tcPr>
            <w:tcW w:w="3467" w:type="dxa"/>
            <w:tcBorders>
              <w:top w:val="single" w:sz="4" w:space="0" w:color="auto"/>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descargas de los dos principales informes estadísticos.</w:t>
            </w:r>
          </w:p>
        </w:tc>
        <w:tc>
          <w:tcPr>
            <w:tcW w:w="1559" w:type="dxa"/>
            <w:tcBorders>
              <w:top w:val="single" w:sz="4" w:space="0" w:color="auto"/>
              <w:left w:val="nil"/>
              <w:bottom w:val="nil"/>
            </w:tcBorders>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16</w:t>
            </w:r>
          </w:p>
        </w:tc>
        <w:tc>
          <w:tcPr>
            <w:tcW w:w="1134" w:type="dxa"/>
            <w:tcBorders>
              <w:top w:val="single" w:sz="4" w:space="0" w:color="auto"/>
              <w:left w:val="nil"/>
              <w:bottom w:val="nil"/>
              <w:right w:val="single" w:sz="4" w:space="0" w:color="auto"/>
            </w:tcBorders>
            <w:shd w:val="clear" w:color="auto" w:fill="auto"/>
          </w:tcPr>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c>
          <w:tcPr>
            <w:tcW w:w="3206" w:type="dxa"/>
            <w:vMerge/>
            <w:tcBorders>
              <w:left w:val="single" w:sz="4" w:space="0" w:color="auto"/>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467" w:type="dxa"/>
            <w:tcBorders>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descargas de datos.</w:t>
            </w:r>
          </w:p>
        </w:tc>
        <w:tc>
          <w:tcPr>
            <w:tcW w:w="1559" w:type="dxa"/>
            <w:tcBorders>
              <w:left w:val="nil"/>
              <w:bottom w:val="nil"/>
            </w:tcBorders>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16</w:t>
            </w:r>
          </w:p>
        </w:tc>
        <w:tc>
          <w:tcPr>
            <w:tcW w:w="1134" w:type="dxa"/>
            <w:tcBorders>
              <w:left w:val="nil"/>
              <w:bottom w:val="nil"/>
              <w:right w:val="single" w:sz="4" w:space="0" w:color="auto"/>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c>
          <w:tcPr>
            <w:tcW w:w="3206" w:type="dxa"/>
            <w:vMerge w:val="restart"/>
            <w:tcBorders>
              <w:top w:val="nil"/>
              <w:left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Adopción de análisis económicos de la OMPI para la formulación de políticas de P.I.</w:t>
            </w:r>
          </w:p>
        </w:tc>
        <w:tc>
          <w:tcPr>
            <w:tcW w:w="3467" w:type="dxa"/>
            <w:tcBorders>
              <w:top w:val="nil"/>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citas en publicaciones económicas e informes de política gubernamental.</w:t>
            </w:r>
          </w:p>
        </w:tc>
        <w:tc>
          <w:tcPr>
            <w:tcW w:w="1559" w:type="dxa"/>
            <w:tcBorders>
              <w:top w:val="nil"/>
              <w:left w:val="nil"/>
              <w:bottom w:val="nil"/>
            </w:tcBorders>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16</w:t>
            </w:r>
          </w:p>
        </w:tc>
        <w:tc>
          <w:tcPr>
            <w:tcW w:w="1134" w:type="dxa"/>
            <w:tcBorders>
              <w:top w:val="nil"/>
              <w:left w:val="nil"/>
              <w:bottom w:val="nil"/>
              <w:right w:val="single" w:sz="4" w:space="0" w:color="auto"/>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c>
          <w:tcPr>
            <w:tcW w:w="3206" w:type="dxa"/>
            <w:vMerge/>
            <w:tcBorders>
              <w:left w:val="single" w:sz="4" w:space="0" w:color="auto"/>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467" w:type="dxa"/>
            <w:tcBorders>
              <w:top w:val="nil"/>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países en desarrollo que consideran útiles los estudios económicos de la OMPI y grado de utilidad.</w:t>
            </w:r>
          </w:p>
        </w:tc>
        <w:tc>
          <w:tcPr>
            <w:tcW w:w="1559" w:type="dxa"/>
            <w:tcBorders>
              <w:top w:val="nil"/>
              <w:left w:val="nil"/>
              <w:bottom w:val="nil"/>
            </w:tcBorders>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16</w:t>
            </w:r>
          </w:p>
        </w:tc>
        <w:tc>
          <w:tcPr>
            <w:tcW w:w="1134" w:type="dxa"/>
            <w:tcBorders>
              <w:top w:val="nil"/>
              <w:left w:val="nil"/>
              <w:bottom w:val="nil"/>
              <w:right w:val="single" w:sz="4" w:space="0" w:color="auto"/>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DA1567">
        <w:tc>
          <w:tcPr>
            <w:tcW w:w="3206" w:type="dxa"/>
            <w:tcBorders>
              <w:top w:val="nil"/>
              <w:left w:val="single" w:sz="4" w:space="0" w:color="auto"/>
              <w:bottom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Fomento del acceso a la información jurídica relativa a la P.I. y de su uso.</w:t>
            </w:r>
          </w:p>
        </w:tc>
        <w:tc>
          <w:tcPr>
            <w:tcW w:w="3467" w:type="dxa"/>
            <w:tcBorders>
              <w:top w:val="nil"/>
              <w:left w:val="nil"/>
              <w:bottom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Mejor cobertura de la información jurídica relativa a la P.I. almacenada en la base de datos WIPO </w:t>
            </w:r>
            <w:proofErr w:type="spellStart"/>
            <w:r w:rsidRPr="00332758">
              <w:rPr>
                <w:rFonts w:cs="Arial"/>
                <w:sz w:val="14"/>
                <w:szCs w:val="14"/>
                <w:lang w:val="es-ES_tradnl"/>
              </w:rPr>
              <w:t>Lex</w:t>
            </w:r>
            <w:proofErr w:type="spellEnd"/>
            <w:r w:rsidRPr="00332758">
              <w:rPr>
                <w:rFonts w:cs="Arial"/>
                <w:sz w:val="14"/>
                <w:szCs w:val="14"/>
                <w:lang w:val="es-ES_tradnl"/>
              </w:rPr>
              <w:t>.</w:t>
            </w:r>
          </w:p>
        </w:tc>
        <w:tc>
          <w:tcPr>
            <w:tcW w:w="1559" w:type="dxa"/>
            <w:tcBorders>
              <w:top w:val="nil"/>
              <w:left w:val="nil"/>
              <w:bottom w:val="single" w:sz="4" w:space="0" w:color="auto"/>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34" w:type="dxa"/>
            <w:tcBorders>
              <w:top w:val="nil"/>
              <w:left w:val="nil"/>
              <w:bottom w:val="single" w:sz="4" w:space="0" w:color="auto"/>
              <w:right w:val="single" w:sz="4" w:space="0" w:color="auto"/>
            </w:tcBorders>
          </w:tcPr>
          <w:p w:rsidR="00C14248" w:rsidRPr="000B4241" w:rsidRDefault="00C14248" w:rsidP="00DA1567">
            <w:pPr>
              <w:jc w:val="center"/>
              <w:rPr>
                <w:rFonts w:cs="Arial"/>
                <w:sz w:val="22"/>
                <w:szCs w:val="22"/>
              </w:rPr>
            </w:pPr>
            <w:r w:rsidRPr="000B4241">
              <w:rPr>
                <w:rFonts w:cs="Arial"/>
                <w:color w:val="008000"/>
                <w:sz w:val="22"/>
                <w:szCs w:val="22"/>
              </w:rPr>
              <w:sym w:font="Wingdings" w:char="F06C"/>
            </w:r>
          </w:p>
        </w:tc>
      </w:tr>
    </w:tbl>
    <w:p w:rsidR="00C14248" w:rsidRPr="00A34388" w:rsidRDefault="00C14248" w:rsidP="00C14248">
      <w:pPr>
        <w:jc w:val="both"/>
        <w:rPr>
          <w:i/>
          <w:iCs/>
          <w:lang w:val="es-ES_tradnl"/>
        </w:rPr>
      </w:pPr>
    </w:p>
    <w:p w:rsidR="009F48A4" w:rsidRPr="00A34388" w:rsidRDefault="004A3DB2" w:rsidP="004A3DB2">
      <w:pPr>
        <w:jc w:val="both"/>
        <w:rPr>
          <w:color w:val="000000"/>
          <w:lang w:val="es-ES_tradnl"/>
        </w:rPr>
      </w:pPr>
      <w:r w:rsidRPr="00A34388">
        <w:rPr>
          <w:bCs/>
          <w:lang w:val="es-ES_tradnl"/>
        </w:rPr>
        <w:t xml:space="preserve">Entre los logros alcanzados durante el bienio en el marco de esta meta estratégica cabe destacar un informe ampliado sobre indicadores mundiales de </w:t>
      </w:r>
      <w:r w:rsidR="00E41B8D" w:rsidRPr="00A34388">
        <w:rPr>
          <w:bCs/>
          <w:lang w:val="es-ES_tradnl"/>
        </w:rPr>
        <w:t>propiedad intelectual que</w:t>
      </w:r>
      <w:r w:rsidRPr="00A34388">
        <w:rPr>
          <w:bCs/>
          <w:lang w:val="es-ES_tradnl"/>
        </w:rPr>
        <w:t xml:space="preserve"> </w:t>
      </w:r>
      <w:r w:rsidR="00E41B8D" w:rsidRPr="00A34388">
        <w:rPr>
          <w:bCs/>
          <w:lang w:val="es-ES_tradnl"/>
        </w:rPr>
        <w:t xml:space="preserve">por vez </w:t>
      </w:r>
      <w:r w:rsidRPr="00A34388">
        <w:rPr>
          <w:bCs/>
          <w:lang w:val="es-ES_tradnl"/>
        </w:rPr>
        <w:t xml:space="preserve">primera proporciona datos acerca de los procedimientos acelerados de examen de solicitudes de patentes y las solicitudes de patente para proteger variedades vegetales; </w:t>
      </w:r>
      <w:r w:rsidR="00E41B8D" w:rsidRPr="00A34388">
        <w:rPr>
          <w:bCs/>
          <w:lang w:val="es-ES_tradnl"/>
        </w:rPr>
        <w:t xml:space="preserve"> </w:t>
      </w:r>
      <w:r w:rsidRPr="00A34388">
        <w:rPr>
          <w:bCs/>
          <w:lang w:val="es-ES_tradnl"/>
        </w:rPr>
        <w:t xml:space="preserve">la publicación del segundo Informe </w:t>
      </w:r>
      <w:r w:rsidR="00E561F0" w:rsidRPr="00A34388">
        <w:rPr>
          <w:bCs/>
          <w:lang w:val="es-ES_tradnl"/>
        </w:rPr>
        <w:t>m</w:t>
      </w:r>
      <w:r w:rsidR="00E41B8D" w:rsidRPr="00A34388">
        <w:rPr>
          <w:bCs/>
          <w:lang w:val="es-ES_tradnl"/>
        </w:rPr>
        <w:t xml:space="preserve">undial </w:t>
      </w:r>
      <w:r w:rsidR="00E561F0" w:rsidRPr="00A34388">
        <w:rPr>
          <w:bCs/>
          <w:lang w:val="es-ES_tradnl"/>
        </w:rPr>
        <w:t xml:space="preserve">de propiedad intelectual sobre </w:t>
      </w:r>
      <w:r w:rsidR="00E41B8D" w:rsidRPr="00A34388">
        <w:rPr>
          <w:bCs/>
          <w:lang w:val="es-ES_tradnl"/>
        </w:rPr>
        <w:t>la</w:t>
      </w:r>
      <w:r w:rsidRPr="00A34388">
        <w:rPr>
          <w:bCs/>
          <w:lang w:val="es-ES_tradnl"/>
        </w:rPr>
        <w:t xml:space="preserve"> función </w:t>
      </w:r>
      <w:r w:rsidR="00AC76AA" w:rsidRPr="00A34388">
        <w:rPr>
          <w:bCs/>
          <w:lang w:val="es-ES_tradnl"/>
        </w:rPr>
        <w:t xml:space="preserve">de </w:t>
      </w:r>
      <w:r w:rsidRPr="00A34388">
        <w:rPr>
          <w:bCs/>
          <w:lang w:val="es-ES_tradnl"/>
        </w:rPr>
        <w:t xml:space="preserve">las marcas en la economía </w:t>
      </w:r>
      <w:r w:rsidR="00AC76AA" w:rsidRPr="00A34388">
        <w:rPr>
          <w:bCs/>
          <w:lang w:val="es-ES_tradnl"/>
        </w:rPr>
        <w:t>mundial</w:t>
      </w:r>
      <w:r w:rsidRPr="00A34388">
        <w:rPr>
          <w:bCs/>
          <w:lang w:val="es-ES_tradnl"/>
        </w:rPr>
        <w:t xml:space="preserve">;  y </w:t>
      </w:r>
      <w:r w:rsidR="00D41354" w:rsidRPr="00A34388">
        <w:rPr>
          <w:bCs/>
          <w:lang w:val="es-ES_tradnl"/>
        </w:rPr>
        <w:t xml:space="preserve">la creación de </w:t>
      </w:r>
      <w:r w:rsidRPr="00A34388">
        <w:rPr>
          <w:bCs/>
          <w:lang w:val="es-ES_tradnl"/>
        </w:rPr>
        <w:t xml:space="preserve">un nuevo Centro de </w:t>
      </w:r>
      <w:r w:rsidR="00D41354" w:rsidRPr="00A34388">
        <w:rPr>
          <w:bCs/>
          <w:lang w:val="es-ES_tradnl"/>
        </w:rPr>
        <w:t>D</w:t>
      </w:r>
      <w:r w:rsidRPr="00A34388">
        <w:rPr>
          <w:bCs/>
          <w:lang w:val="es-ES_tradnl"/>
        </w:rPr>
        <w:t xml:space="preserve">atos de </w:t>
      </w:r>
      <w:r w:rsidR="00D41354" w:rsidRPr="00A34388">
        <w:rPr>
          <w:bCs/>
          <w:lang w:val="es-ES_tradnl"/>
        </w:rPr>
        <w:t>E</w:t>
      </w:r>
      <w:r w:rsidRPr="00A34388">
        <w:rPr>
          <w:bCs/>
          <w:lang w:val="es-ES_tradnl"/>
        </w:rPr>
        <w:t>stadísticas de P</w:t>
      </w:r>
      <w:r w:rsidR="00D41354" w:rsidRPr="00A34388">
        <w:rPr>
          <w:bCs/>
          <w:lang w:val="es-ES_tradnl"/>
        </w:rPr>
        <w:t>ropiedad Intelectual</w:t>
      </w:r>
      <w:r w:rsidR="00E561F0" w:rsidRPr="00A34388">
        <w:rPr>
          <w:bCs/>
          <w:lang w:val="es-ES_tradnl"/>
        </w:rPr>
        <w:t>,</w:t>
      </w:r>
      <w:r w:rsidRPr="00A34388">
        <w:rPr>
          <w:bCs/>
          <w:lang w:val="es-ES_tradnl"/>
        </w:rPr>
        <w:t xml:space="preserve"> que </w:t>
      </w:r>
      <w:r w:rsidR="00D41354" w:rsidRPr="00A34388">
        <w:rPr>
          <w:bCs/>
          <w:lang w:val="es-ES_tradnl"/>
        </w:rPr>
        <w:t xml:space="preserve">permite </w:t>
      </w:r>
      <w:r w:rsidRPr="00A34388">
        <w:rPr>
          <w:bCs/>
          <w:lang w:val="es-ES_tradnl"/>
        </w:rPr>
        <w:t xml:space="preserve">un acceso más </w:t>
      </w:r>
      <w:r w:rsidR="00D41354" w:rsidRPr="00A34388">
        <w:rPr>
          <w:bCs/>
          <w:lang w:val="es-ES_tradnl"/>
        </w:rPr>
        <w:t xml:space="preserve">adaptado </w:t>
      </w:r>
      <w:r w:rsidRPr="00A34388">
        <w:rPr>
          <w:bCs/>
          <w:lang w:val="es-ES_tradnl"/>
        </w:rPr>
        <w:t xml:space="preserve">a las estadísticas </w:t>
      </w:r>
      <w:r w:rsidR="00D41354" w:rsidRPr="00A34388">
        <w:rPr>
          <w:bCs/>
          <w:lang w:val="es-ES_tradnl"/>
        </w:rPr>
        <w:t xml:space="preserve">en materia de </w:t>
      </w:r>
      <w:r w:rsidRPr="00A34388">
        <w:rPr>
          <w:bCs/>
          <w:lang w:val="es-ES_tradnl"/>
        </w:rPr>
        <w:t xml:space="preserve">propiedad intelectual de la OMPI.  Estos emblemáticos </w:t>
      </w:r>
      <w:r w:rsidR="00931A9F" w:rsidRPr="00A34388">
        <w:rPr>
          <w:bCs/>
          <w:lang w:val="es-ES_tradnl"/>
        </w:rPr>
        <w:t xml:space="preserve">productos </w:t>
      </w:r>
      <w:r w:rsidR="00AC76AA" w:rsidRPr="00A34388">
        <w:rPr>
          <w:bCs/>
          <w:lang w:val="es-ES_tradnl"/>
        </w:rPr>
        <w:t xml:space="preserve">generaron numerosas </w:t>
      </w:r>
      <w:r w:rsidR="00AC76AA" w:rsidRPr="00A34388">
        <w:rPr>
          <w:bCs/>
          <w:lang w:val="es-ES_tradnl"/>
        </w:rPr>
        <w:lastRenderedPageBreak/>
        <w:t xml:space="preserve">noticias </w:t>
      </w:r>
      <w:r w:rsidRPr="00A34388">
        <w:rPr>
          <w:bCs/>
          <w:lang w:val="es-ES_tradnl"/>
        </w:rPr>
        <w:t xml:space="preserve">y un gran interés </w:t>
      </w:r>
      <w:r w:rsidR="00E561F0" w:rsidRPr="00A34388">
        <w:rPr>
          <w:bCs/>
          <w:lang w:val="es-ES_tradnl"/>
        </w:rPr>
        <w:t xml:space="preserve">entre </w:t>
      </w:r>
      <w:r w:rsidR="00E41B8D" w:rsidRPr="00A34388">
        <w:rPr>
          <w:bCs/>
          <w:lang w:val="es-ES_tradnl"/>
        </w:rPr>
        <w:t>los responsables de formulación de políticas</w:t>
      </w:r>
      <w:r w:rsidRPr="00A34388">
        <w:rPr>
          <w:bCs/>
          <w:lang w:val="es-ES_tradnl"/>
        </w:rPr>
        <w:t xml:space="preserve"> y </w:t>
      </w:r>
      <w:r w:rsidR="00AC76AA" w:rsidRPr="00A34388">
        <w:rPr>
          <w:bCs/>
          <w:lang w:val="es-ES_tradnl"/>
        </w:rPr>
        <w:t>los representantes d</w:t>
      </w:r>
      <w:r w:rsidR="00E561F0" w:rsidRPr="00A34388">
        <w:rPr>
          <w:bCs/>
          <w:lang w:val="es-ES_tradnl"/>
        </w:rPr>
        <w:t xml:space="preserve">el mundo </w:t>
      </w:r>
      <w:r w:rsidRPr="00A34388">
        <w:rPr>
          <w:bCs/>
          <w:lang w:val="es-ES_tradnl"/>
        </w:rPr>
        <w:t>académico.  A</w:t>
      </w:r>
      <w:r w:rsidR="00931A9F" w:rsidRPr="00A34388">
        <w:rPr>
          <w:bCs/>
          <w:lang w:val="es-ES_tradnl"/>
        </w:rPr>
        <w:t>simismo</w:t>
      </w:r>
      <w:r w:rsidRPr="00A34388">
        <w:rPr>
          <w:bCs/>
          <w:lang w:val="es-ES_tradnl"/>
        </w:rPr>
        <w:t xml:space="preserve">, se </w:t>
      </w:r>
      <w:r w:rsidR="00DE43D4" w:rsidRPr="00A34388">
        <w:rPr>
          <w:bCs/>
          <w:lang w:val="es-ES_tradnl"/>
        </w:rPr>
        <w:t xml:space="preserve">han </w:t>
      </w:r>
      <w:r w:rsidR="00D41354" w:rsidRPr="00A34388">
        <w:rPr>
          <w:bCs/>
          <w:lang w:val="es-ES_tradnl"/>
        </w:rPr>
        <w:t xml:space="preserve">diseñado </w:t>
      </w:r>
      <w:r w:rsidRPr="00A34388">
        <w:rPr>
          <w:bCs/>
          <w:lang w:val="es-ES_tradnl"/>
        </w:rPr>
        <w:t xml:space="preserve">nuevos informes estadísticos sobre los sistemas de Madrid y </w:t>
      </w:r>
      <w:r w:rsidR="00392742">
        <w:rPr>
          <w:bCs/>
          <w:lang w:val="es-ES_tradnl"/>
        </w:rPr>
        <w:t xml:space="preserve">de </w:t>
      </w:r>
      <w:r w:rsidRPr="00A34388">
        <w:rPr>
          <w:bCs/>
          <w:lang w:val="es-ES_tradnl"/>
        </w:rPr>
        <w:t xml:space="preserve">La Haya, </w:t>
      </w:r>
      <w:r w:rsidR="00D41354" w:rsidRPr="00A34388">
        <w:rPr>
          <w:color w:val="000000"/>
          <w:lang w:val="es-ES_tradnl"/>
        </w:rPr>
        <w:t>que complementan a las herramientas de presentación de informes estadísticos que existen desde hace tiempo</w:t>
      </w:r>
      <w:r w:rsidR="00D41354" w:rsidRPr="00A34388">
        <w:rPr>
          <w:bCs/>
          <w:lang w:val="es-ES_tradnl"/>
        </w:rPr>
        <w:t xml:space="preserve"> </w:t>
      </w:r>
      <w:r w:rsidR="00392742">
        <w:rPr>
          <w:bCs/>
          <w:lang w:val="es-ES_tradnl"/>
        </w:rPr>
        <w:t>–</w:t>
      </w:r>
      <w:r w:rsidRPr="00A34388">
        <w:rPr>
          <w:bCs/>
          <w:lang w:val="es-ES_tradnl"/>
        </w:rPr>
        <w:t xml:space="preserve">en particular, los Perfiles </w:t>
      </w:r>
      <w:r w:rsidR="00D41354" w:rsidRPr="00A34388">
        <w:rPr>
          <w:bCs/>
          <w:lang w:val="es-ES_tradnl"/>
        </w:rPr>
        <w:t>e</w:t>
      </w:r>
      <w:r w:rsidRPr="00A34388">
        <w:rPr>
          <w:bCs/>
          <w:lang w:val="es-ES_tradnl"/>
        </w:rPr>
        <w:t xml:space="preserve">stadísticos de </w:t>
      </w:r>
      <w:r w:rsidR="00D41354" w:rsidRPr="00A34388">
        <w:rPr>
          <w:bCs/>
          <w:lang w:val="es-ES_tradnl"/>
        </w:rPr>
        <w:t>los p</w:t>
      </w:r>
      <w:r w:rsidRPr="00A34388">
        <w:rPr>
          <w:bCs/>
          <w:lang w:val="es-ES_tradnl"/>
        </w:rPr>
        <w:t xml:space="preserve">aíses, </w:t>
      </w:r>
      <w:r w:rsidR="00931A9F" w:rsidRPr="00A34388">
        <w:rPr>
          <w:bCs/>
          <w:lang w:val="es-ES_tradnl"/>
        </w:rPr>
        <w:t xml:space="preserve">los Indicadores </w:t>
      </w:r>
      <w:r w:rsidR="00D41354" w:rsidRPr="00A34388">
        <w:rPr>
          <w:bCs/>
          <w:lang w:val="es-ES_tradnl"/>
        </w:rPr>
        <w:t>m</w:t>
      </w:r>
      <w:r w:rsidRPr="00A34388">
        <w:rPr>
          <w:bCs/>
          <w:lang w:val="es-ES_tradnl"/>
        </w:rPr>
        <w:t xml:space="preserve">undiales de </w:t>
      </w:r>
      <w:r w:rsidR="00D41354" w:rsidRPr="00A34388">
        <w:rPr>
          <w:bCs/>
          <w:lang w:val="es-ES_tradnl"/>
        </w:rPr>
        <w:t>p</w:t>
      </w:r>
      <w:r w:rsidRPr="00A34388">
        <w:rPr>
          <w:bCs/>
          <w:lang w:val="es-ES_tradnl"/>
        </w:rPr>
        <w:t xml:space="preserve">ropiedad </w:t>
      </w:r>
      <w:r w:rsidR="00D41354" w:rsidRPr="00A34388">
        <w:rPr>
          <w:bCs/>
          <w:lang w:val="es-ES_tradnl"/>
        </w:rPr>
        <w:t>i</w:t>
      </w:r>
      <w:r w:rsidRPr="00A34388">
        <w:rPr>
          <w:bCs/>
          <w:lang w:val="es-ES_tradnl"/>
        </w:rPr>
        <w:t xml:space="preserve">ntelectual, los </w:t>
      </w:r>
      <w:r w:rsidR="00931A9F" w:rsidRPr="00A34388">
        <w:rPr>
          <w:bCs/>
          <w:lang w:val="es-ES_tradnl"/>
        </w:rPr>
        <w:t>D</w:t>
      </w:r>
      <w:r w:rsidRPr="00A34388">
        <w:rPr>
          <w:bCs/>
          <w:lang w:val="es-ES_tradnl"/>
        </w:rPr>
        <w:t xml:space="preserve">atos y </w:t>
      </w:r>
      <w:r w:rsidR="00D41354" w:rsidRPr="00A34388">
        <w:rPr>
          <w:bCs/>
          <w:lang w:val="es-ES_tradnl"/>
        </w:rPr>
        <w:t>c</w:t>
      </w:r>
      <w:r w:rsidRPr="00A34388">
        <w:rPr>
          <w:bCs/>
          <w:lang w:val="es-ES_tradnl"/>
        </w:rPr>
        <w:t xml:space="preserve">ifras </w:t>
      </w:r>
      <w:r w:rsidR="00D41354" w:rsidRPr="00A34388">
        <w:rPr>
          <w:bCs/>
          <w:lang w:val="es-ES_tradnl"/>
        </w:rPr>
        <w:t xml:space="preserve">en materia de </w:t>
      </w:r>
      <w:r w:rsidRPr="00A34388">
        <w:rPr>
          <w:bCs/>
          <w:lang w:val="es-ES_tradnl"/>
        </w:rPr>
        <w:t>P.I.</w:t>
      </w:r>
      <w:r w:rsidR="006D3F12" w:rsidRPr="00A34388">
        <w:rPr>
          <w:bCs/>
          <w:lang w:val="es-ES_tradnl"/>
        </w:rPr>
        <w:t>,</w:t>
      </w:r>
      <w:r w:rsidRPr="00A34388">
        <w:rPr>
          <w:bCs/>
          <w:lang w:val="es-ES_tradnl"/>
        </w:rPr>
        <w:t xml:space="preserve"> y los informes del PCT.  Asimismo, la OMPI </w:t>
      </w:r>
      <w:r w:rsidR="00FD7A17" w:rsidRPr="00A34388">
        <w:rPr>
          <w:bCs/>
          <w:lang w:val="es-ES_tradnl"/>
        </w:rPr>
        <w:t>se comprometió a participar</w:t>
      </w:r>
      <w:r w:rsidR="009F48A4" w:rsidRPr="00A34388">
        <w:rPr>
          <w:bCs/>
          <w:lang w:val="es-ES_tradnl"/>
        </w:rPr>
        <w:t xml:space="preserve"> </w:t>
      </w:r>
      <w:r w:rsidR="009F48A4" w:rsidRPr="00A34388">
        <w:rPr>
          <w:color w:val="000000"/>
          <w:lang w:val="es-ES_tradnl"/>
        </w:rPr>
        <w:t xml:space="preserve">en la publicación del Índice mundial de innovación (GII), conjuntamente con el INSEAD y la Universidad de </w:t>
      </w:r>
      <w:proofErr w:type="spellStart"/>
      <w:r w:rsidR="009F48A4" w:rsidRPr="00A34388">
        <w:rPr>
          <w:color w:val="000000"/>
          <w:lang w:val="es-ES_tradnl"/>
        </w:rPr>
        <w:t>Cornell</w:t>
      </w:r>
      <w:proofErr w:type="spellEnd"/>
      <w:r w:rsidR="009F48A4" w:rsidRPr="00A34388">
        <w:rPr>
          <w:color w:val="000000"/>
          <w:lang w:val="es-ES_tradnl"/>
        </w:rPr>
        <w:t>.</w:t>
      </w:r>
      <w:r w:rsidR="00FD7A17" w:rsidRPr="00A34388">
        <w:rPr>
          <w:bCs/>
          <w:lang w:val="es-ES_tradnl"/>
        </w:rPr>
        <w:t xml:space="preserve">  </w:t>
      </w:r>
      <w:r w:rsidR="009F48A4" w:rsidRPr="00A34388">
        <w:rPr>
          <w:color w:val="000000"/>
          <w:lang w:val="es-ES_tradnl"/>
        </w:rPr>
        <w:t>El lanzamiento de las dos ediciones del GII del bienio, en el caso de 20</w:t>
      </w:r>
      <w:r w:rsidR="005E41E4">
        <w:rPr>
          <w:color w:val="000000"/>
          <w:lang w:val="es-ES_tradnl"/>
        </w:rPr>
        <w:t>1</w:t>
      </w:r>
      <w:r w:rsidR="009F48A4" w:rsidRPr="00A34388">
        <w:rPr>
          <w:color w:val="000000"/>
          <w:lang w:val="es-ES_tradnl"/>
        </w:rPr>
        <w:t xml:space="preserve">3 con la presencia del Secretario General de las Naciones Unidas, </w:t>
      </w:r>
      <w:r w:rsidR="00AC76AA" w:rsidRPr="00A34388">
        <w:rPr>
          <w:color w:val="000000"/>
          <w:lang w:val="es-ES_tradnl"/>
        </w:rPr>
        <w:t xml:space="preserve">mereció </w:t>
      </w:r>
      <w:r w:rsidR="009F48A4" w:rsidRPr="00A34388">
        <w:rPr>
          <w:color w:val="000000"/>
          <w:lang w:val="es-ES_tradnl"/>
        </w:rPr>
        <w:t>una notable atención de los medios de comunicación.</w:t>
      </w:r>
    </w:p>
    <w:p w:rsidR="004A3DB2" w:rsidRPr="00A34388" w:rsidRDefault="004A3DB2" w:rsidP="004A3DB2">
      <w:pPr>
        <w:autoSpaceDE w:val="0"/>
        <w:autoSpaceDN w:val="0"/>
        <w:adjustRightInd w:val="0"/>
        <w:jc w:val="both"/>
        <w:rPr>
          <w:bCs/>
          <w:lang w:val="es-ES_tradnl"/>
        </w:rPr>
      </w:pPr>
    </w:p>
    <w:p w:rsidR="004A3DB2" w:rsidRPr="00A34388" w:rsidRDefault="004A3DB2" w:rsidP="004A3DB2">
      <w:pPr>
        <w:jc w:val="both"/>
        <w:rPr>
          <w:bCs/>
          <w:lang w:val="es-ES_tradnl"/>
        </w:rPr>
      </w:pPr>
      <w:r w:rsidRPr="00A34388">
        <w:rPr>
          <w:bCs/>
          <w:lang w:val="es-ES_tradnl"/>
        </w:rPr>
        <w:t xml:space="preserve">El proyecto plurianual del CDIP sobre </w:t>
      </w:r>
      <w:r w:rsidR="00FD7A17" w:rsidRPr="00A34388">
        <w:rPr>
          <w:bCs/>
          <w:lang w:val="es-ES_tradnl"/>
        </w:rPr>
        <w:t>la propiedad intelectual y el d</w:t>
      </w:r>
      <w:r w:rsidRPr="00A34388">
        <w:rPr>
          <w:bCs/>
          <w:lang w:val="es-ES_tradnl"/>
        </w:rPr>
        <w:t xml:space="preserve">esarrollo socioeconómico </w:t>
      </w:r>
      <w:r w:rsidR="00FD7A17" w:rsidRPr="00A34388">
        <w:rPr>
          <w:bCs/>
          <w:lang w:val="es-ES_tradnl"/>
        </w:rPr>
        <w:t xml:space="preserve">registró avances sustanciales durante el </w:t>
      </w:r>
      <w:r w:rsidRPr="00A34388">
        <w:rPr>
          <w:bCs/>
          <w:lang w:val="es-ES_tradnl"/>
        </w:rPr>
        <w:t>bienio</w:t>
      </w:r>
      <w:r w:rsidR="00FD7A17" w:rsidRPr="00A34388">
        <w:rPr>
          <w:bCs/>
          <w:lang w:val="es-ES_tradnl"/>
        </w:rPr>
        <w:t xml:space="preserve"> con la finalización de estudios de país en </w:t>
      </w:r>
      <w:r w:rsidRPr="00A34388">
        <w:rPr>
          <w:bCs/>
          <w:lang w:val="es-ES_tradnl"/>
        </w:rPr>
        <w:t>un total de seis países</w:t>
      </w:r>
      <w:proofErr w:type="gramStart"/>
      <w:r w:rsidR="00FD7A17" w:rsidRPr="00A34388">
        <w:rPr>
          <w:bCs/>
          <w:lang w:val="es-ES_tradnl"/>
        </w:rPr>
        <w:t xml:space="preserve">:  </w:t>
      </w:r>
      <w:r w:rsidRPr="00A34388">
        <w:rPr>
          <w:bCs/>
          <w:lang w:val="es-ES_tradnl"/>
        </w:rPr>
        <w:t>el</w:t>
      </w:r>
      <w:proofErr w:type="gramEnd"/>
      <w:r w:rsidRPr="00A34388">
        <w:rPr>
          <w:bCs/>
          <w:lang w:val="es-ES_tradnl"/>
        </w:rPr>
        <w:t xml:space="preserve"> Brasil, Chile, China, </w:t>
      </w:r>
      <w:r w:rsidR="00FD7A17" w:rsidRPr="00A34388">
        <w:rPr>
          <w:bCs/>
          <w:lang w:val="es-ES_tradnl"/>
        </w:rPr>
        <w:t>Egipto, Tailandia y</w:t>
      </w:r>
      <w:r w:rsidRPr="00A34388">
        <w:rPr>
          <w:bCs/>
          <w:lang w:val="es-ES_tradnl"/>
        </w:rPr>
        <w:t xml:space="preserve"> </w:t>
      </w:r>
      <w:r w:rsidR="0065614B" w:rsidRPr="00A34388">
        <w:rPr>
          <w:bCs/>
          <w:lang w:val="es-ES_tradnl"/>
        </w:rPr>
        <w:t xml:space="preserve">el </w:t>
      </w:r>
      <w:r w:rsidRPr="00A34388">
        <w:rPr>
          <w:bCs/>
          <w:lang w:val="es-ES_tradnl"/>
        </w:rPr>
        <w:t>Uruguay,</w:t>
      </w:r>
      <w:r w:rsidR="00FD7A17" w:rsidRPr="00A34388">
        <w:rPr>
          <w:bCs/>
          <w:lang w:val="es-ES_tradnl"/>
        </w:rPr>
        <w:t xml:space="preserve"> </w:t>
      </w:r>
      <w:r w:rsidR="006D3F12" w:rsidRPr="00A34388">
        <w:rPr>
          <w:bCs/>
          <w:lang w:val="es-ES_tradnl"/>
        </w:rPr>
        <w:t xml:space="preserve">al tiempo que fueron cuatro los </w:t>
      </w:r>
      <w:r w:rsidRPr="00A34388">
        <w:rPr>
          <w:bCs/>
          <w:lang w:val="es-ES_tradnl"/>
        </w:rPr>
        <w:t xml:space="preserve">estudios </w:t>
      </w:r>
      <w:r w:rsidR="006D3F12" w:rsidRPr="00A34388">
        <w:rPr>
          <w:bCs/>
          <w:lang w:val="es-ES_tradnl"/>
        </w:rPr>
        <w:t xml:space="preserve">presentados </w:t>
      </w:r>
      <w:r w:rsidR="00A07E83" w:rsidRPr="00A34388">
        <w:rPr>
          <w:bCs/>
          <w:lang w:val="es-ES_tradnl"/>
        </w:rPr>
        <w:t xml:space="preserve">durante </w:t>
      </w:r>
      <w:r w:rsidRPr="00A34388">
        <w:rPr>
          <w:bCs/>
          <w:lang w:val="es-ES_tradnl"/>
        </w:rPr>
        <w:t>el bienio</w:t>
      </w:r>
      <w:r w:rsidR="006D3F12" w:rsidRPr="00A34388">
        <w:rPr>
          <w:bCs/>
          <w:lang w:val="es-ES_tradnl"/>
        </w:rPr>
        <w:t xml:space="preserve">, quedando otros dos pendientes de presentar </w:t>
      </w:r>
      <w:r w:rsidR="00FD7A17" w:rsidRPr="00A34388">
        <w:rPr>
          <w:bCs/>
          <w:lang w:val="es-ES_tradnl"/>
        </w:rPr>
        <w:t>en</w:t>
      </w:r>
      <w:r w:rsidRPr="00A34388">
        <w:rPr>
          <w:bCs/>
          <w:lang w:val="es-ES_tradnl"/>
        </w:rPr>
        <w:t xml:space="preserve"> la </w:t>
      </w:r>
      <w:r w:rsidR="00392742">
        <w:rPr>
          <w:bCs/>
          <w:lang w:val="es-ES_tradnl"/>
        </w:rPr>
        <w:t>decimo</w:t>
      </w:r>
      <w:r w:rsidRPr="00A34388">
        <w:rPr>
          <w:bCs/>
          <w:lang w:val="es-ES_tradnl"/>
        </w:rPr>
        <w:t xml:space="preserve">tercera sesión del CDIP.  Las pruebas </w:t>
      </w:r>
      <w:r w:rsidR="00A07E83" w:rsidRPr="00A34388">
        <w:rPr>
          <w:bCs/>
          <w:lang w:val="es-ES_tradnl"/>
        </w:rPr>
        <w:t xml:space="preserve">conseguidas por </w:t>
      </w:r>
      <w:r w:rsidRPr="00A34388">
        <w:rPr>
          <w:bCs/>
          <w:lang w:val="es-ES_tradnl"/>
        </w:rPr>
        <w:t xml:space="preserve">este proyecto, además de </w:t>
      </w:r>
      <w:r w:rsidR="00A07E83" w:rsidRPr="00A34388">
        <w:rPr>
          <w:bCs/>
          <w:lang w:val="es-ES_tradnl"/>
        </w:rPr>
        <w:t xml:space="preserve">por </w:t>
      </w:r>
      <w:r w:rsidR="00FD7A17" w:rsidRPr="00A34388">
        <w:rPr>
          <w:bCs/>
          <w:lang w:val="es-ES_tradnl"/>
        </w:rPr>
        <w:t>los</w:t>
      </w:r>
      <w:r w:rsidRPr="00A34388">
        <w:rPr>
          <w:bCs/>
          <w:lang w:val="es-ES_tradnl"/>
        </w:rPr>
        <w:t xml:space="preserve"> dos proyectos </w:t>
      </w:r>
      <w:r w:rsidR="00E561F0" w:rsidRPr="00A34388">
        <w:rPr>
          <w:bCs/>
          <w:lang w:val="es-ES_tradnl"/>
        </w:rPr>
        <w:t xml:space="preserve">del </w:t>
      </w:r>
      <w:r w:rsidRPr="00A34388">
        <w:rPr>
          <w:bCs/>
          <w:lang w:val="es-ES_tradnl"/>
        </w:rPr>
        <w:t>CDIP sobre la P.I. y la economía informal</w:t>
      </w:r>
      <w:r w:rsidR="00FD7A17" w:rsidRPr="00A34388">
        <w:rPr>
          <w:bCs/>
          <w:lang w:val="es-ES_tradnl"/>
        </w:rPr>
        <w:t>,</w:t>
      </w:r>
      <w:r w:rsidRPr="00A34388">
        <w:rPr>
          <w:bCs/>
          <w:lang w:val="es-ES_tradnl"/>
        </w:rPr>
        <w:t xml:space="preserve"> </w:t>
      </w:r>
      <w:r w:rsidR="00E561F0" w:rsidRPr="00A34388">
        <w:rPr>
          <w:bCs/>
          <w:lang w:val="es-ES_tradnl"/>
        </w:rPr>
        <w:t xml:space="preserve">de una parte, </w:t>
      </w:r>
      <w:r w:rsidRPr="00A34388">
        <w:rPr>
          <w:bCs/>
          <w:lang w:val="es-ES_tradnl"/>
        </w:rPr>
        <w:t>y la P.I. y la fuga de cerebros</w:t>
      </w:r>
      <w:r w:rsidR="006D3F12" w:rsidRPr="00A34388">
        <w:rPr>
          <w:bCs/>
          <w:lang w:val="es-ES_tradnl"/>
        </w:rPr>
        <w:t>,</w:t>
      </w:r>
      <w:r w:rsidRPr="00A34388">
        <w:rPr>
          <w:bCs/>
          <w:lang w:val="es-ES_tradnl"/>
        </w:rPr>
        <w:t xml:space="preserve"> </w:t>
      </w:r>
      <w:r w:rsidR="00E561F0" w:rsidRPr="00A34388">
        <w:rPr>
          <w:bCs/>
          <w:lang w:val="es-ES_tradnl"/>
        </w:rPr>
        <w:t xml:space="preserve">de otra, </w:t>
      </w:r>
      <w:r w:rsidRPr="00A34388">
        <w:rPr>
          <w:bCs/>
          <w:lang w:val="es-ES_tradnl"/>
        </w:rPr>
        <w:t xml:space="preserve">han </w:t>
      </w:r>
      <w:r w:rsidR="00FD7A17" w:rsidRPr="00A34388">
        <w:rPr>
          <w:bCs/>
          <w:lang w:val="es-ES_tradnl"/>
        </w:rPr>
        <w:t>contribuido</w:t>
      </w:r>
      <w:r w:rsidRPr="00A34388">
        <w:rPr>
          <w:bCs/>
          <w:lang w:val="es-ES_tradnl"/>
        </w:rPr>
        <w:t xml:space="preserve"> </w:t>
      </w:r>
      <w:r w:rsidR="00FD7A17" w:rsidRPr="00A34388">
        <w:rPr>
          <w:bCs/>
          <w:lang w:val="es-ES_tradnl"/>
        </w:rPr>
        <w:t xml:space="preserve">a </w:t>
      </w:r>
      <w:r w:rsidRPr="00A34388">
        <w:rPr>
          <w:bCs/>
          <w:lang w:val="es-ES_tradnl"/>
        </w:rPr>
        <w:t xml:space="preserve">reforzar el papel de la OMPI como promotor y facilitador de una investigación económica empírica y científicamente rigurosa sobre </w:t>
      </w:r>
      <w:r w:rsidR="00E561F0" w:rsidRPr="00A34388">
        <w:rPr>
          <w:bCs/>
          <w:lang w:val="es-ES_tradnl"/>
        </w:rPr>
        <w:t xml:space="preserve">el uso de </w:t>
      </w:r>
      <w:r w:rsidRPr="00A34388">
        <w:rPr>
          <w:bCs/>
          <w:lang w:val="es-ES_tradnl"/>
        </w:rPr>
        <w:t xml:space="preserve">la P.I. </w:t>
      </w:r>
      <w:r w:rsidR="00E561F0" w:rsidRPr="00A34388">
        <w:rPr>
          <w:bCs/>
          <w:lang w:val="es-ES_tradnl"/>
        </w:rPr>
        <w:t xml:space="preserve">en aras del </w:t>
      </w:r>
      <w:r w:rsidRPr="00A34388">
        <w:rPr>
          <w:bCs/>
          <w:lang w:val="es-ES_tradnl"/>
        </w:rPr>
        <w:t xml:space="preserve">desarrollo.  </w:t>
      </w:r>
    </w:p>
    <w:p w:rsidR="00197073" w:rsidRPr="00A34388" w:rsidRDefault="00197073" w:rsidP="00197073">
      <w:pPr>
        <w:jc w:val="both"/>
        <w:rPr>
          <w:i/>
          <w:iCs/>
          <w:lang w:val="es-ES_tradnl"/>
        </w:rPr>
      </w:pPr>
    </w:p>
    <w:p w:rsidR="00197073" w:rsidRPr="003F11A0" w:rsidRDefault="00197073" w:rsidP="00197073">
      <w:pPr>
        <w:jc w:val="both"/>
        <w:rPr>
          <w:iCs/>
          <w:lang w:val="es-ES_tradnl"/>
        </w:rPr>
      </w:pPr>
    </w:p>
    <w:p w:rsidR="00197073" w:rsidRPr="00332758" w:rsidRDefault="00197073" w:rsidP="00197073">
      <w:pPr>
        <w:jc w:val="center"/>
        <w:rPr>
          <w:b/>
          <w:iCs/>
          <w:lang w:val="es-ES_tradnl"/>
        </w:rPr>
      </w:pPr>
      <w:r w:rsidRPr="00332758">
        <w:rPr>
          <w:b/>
          <w:iCs/>
          <w:lang w:val="es-ES_tradnl"/>
        </w:rPr>
        <w:t>Meta estratégica VI</w:t>
      </w:r>
      <w:proofErr w:type="gramStart"/>
      <w:r w:rsidRPr="00332758">
        <w:rPr>
          <w:b/>
          <w:iCs/>
          <w:lang w:val="es-ES_tradnl"/>
        </w:rPr>
        <w:t>:  Cooperación</w:t>
      </w:r>
      <w:proofErr w:type="gramEnd"/>
      <w:r w:rsidRPr="00332758">
        <w:rPr>
          <w:b/>
          <w:iCs/>
          <w:lang w:val="es-ES_tradnl"/>
        </w:rPr>
        <w:t xml:space="preserve"> internacional para fomentar el respeto por la P.I.</w:t>
      </w:r>
    </w:p>
    <w:p w:rsidR="00197073" w:rsidRPr="00A34388" w:rsidRDefault="00197073" w:rsidP="00197073">
      <w:pPr>
        <w:jc w:val="both"/>
        <w:rPr>
          <w:i/>
          <w:iCs/>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197073">
      <w:pPr>
        <w:jc w:val="center"/>
        <w:rPr>
          <w:b/>
          <w:sz w:val="18"/>
          <w:szCs w:val="18"/>
          <w:lang w:val="es-ES_tradnl"/>
        </w:rPr>
      </w:pPr>
    </w:p>
    <w:p w:rsidR="005E68A3" w:rsidRDefault="005E68A3" w:rsidP="005E68A3">
      <w:pPr>
        <w:jc w:val="center"/>
        <w:rPr>
          <w:b/>
          <w:sz w:val="18"/>
          <w:szCs w:val="18"/>
          <w:lang w:val="es-ES_tradnl"/>
        </w:rPr>
      </w:pPr>
      <w:r>
        <w:rPr>
          <w:b/>
          <w:noProof/>
          <w:sz w:val="18"/>
          <w:szCs w:val="18"/>
        </w:rPr>
        <w:drawing>
          <wp:inline distT="0" distB="0" distL="0" distR="0" wp14:anchorId="36490D37" wp14:editId="2B8CD82A">
            <wp:extent cx="6048375" cy="160256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5974" cy="1607227"/>
                    </a:xfrm>
                    <a:prstGeom prst="rect">
                      <a:avLst/>
                    </a:prstGeom>
                    <a:noFill/>
                  </pic:spPr>
                </pic:pic>
              </a:graphicData>
            </a:graphic>
          </wp:inline>
        </w:drawing>
      </w:r>
    </w:p>
    <w:p w:rsidR="003F11A0" w:rsidRPr="003F11A0" w:rsidRDefault="003F11A0" w:rsidP="003F11A0">
      <w:pPr>
        <w:rPr>
          <w:szCs w:val="20"/>
          <w:lang w:val="es-ES_tradnl"/>
        </w:rPr>
      </w:pPr>
    </w:p>
    <w:p w:rsidR="003F11A0" w:rsidRPr="003F11A0" w:rsidRDefault="003F11A0" w:rsidP="003F11A0">
      <w:pPr>
        <w:rPr>
          <w:szCs w:val="20"/>
          <w:lang w:val="es-ES_tradnl"/>
        </w:rPr>
      </w:pPr>
    </w:p>
    <w:p w:rsidR="003F11A0" w:rsidRPr="003F11A0" w:rsidRDefault="003F11A0" w:rsidP="003F11A0">
      <w:pPr>
        <w:rPr>
          <w:szCs w:val="20"/>
          <w:lang w:val="es-ES_tradnl"/>
        </w:rPr>
      </w:pPr>
    </w:p>
    <w:p w:rsidR="00197073" w:rsidRPr="00A34388" w:rsidRDefault="00197073" w:rsidP="00197073">
      <w:pPr>
        <w:jc w:val="center"/>
        <w:rPr>
          <w:b/>
          <w:szCs w:val="20"/>
          <w:lang w:val="es-ES_tradnl"/>
        </w:rPr>
      </w:pPr>
      <w:r w:rsidRPr="00A34388">
        <w:rPr>
          <w:b/>
          <w:szCs w:val="20"/>
          <w:lang w:val="es-ES_tradnl"/>
        </w:rPr>
        <w:t>Cuadro sobre el rendimiento bienal</w:t>
      </w:r>
    </w:p>
    <w:p w:rsidR="00197073" w:rsidRPr="003F11A0" w:rsidRDefault="00197073" w:rsidP="00197073">
      <w:pPr>
        <w:rPr>
          <w:szCs w:val="20"/>
          <w:lang w:val="es-ES_tradnl"/>
        </w:rPr>
      </w:pPr>
    </w:p>
    <w:p w:rsidR="003242C1" w:rsidRPr="00A34388" w:rsidRDefault="00F6170D" w:rsidP="006277CA">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C535EB" w:rsidRPr="00A34388">
        <w:rPr>
          <w:rFonts w:cs="Arial"/>
          <w:lang w:val="es-ES_tradnl"/>
        </w:rPr>
        <w:t xml:space="preserve">los programas </w:t>
      </w:r>
      <w:r w:rsidR="003242C1" w:rsidRPr="00A34388">
        <w:rPr>
          <w:rFonts w:cs="Arial"/>
          <w:lang w:val="es-ES_tradnl"/>
        </w:rPr>
        <w:t>que contri</w:t>
      </w:r>
      <w:r w:rsidR="003F11A0">
        <w:rPr>
          <w:rFonts w:cs="Arial"/>
          <w:lang w:val="es-ES_tradnl"/>
        </w:rPr>
        <w:t>buyen a esta meta estratégica.</w:t>
      </w:r>
    </w:p>
    <w:p w:rsidR="00C14248" w:rsidRPr="001F1848" w:rsidRDefault="00C14248" w:rsidP="00C14248">
      <w:pPr>
        <w:rPr>
          <w:szCs w:val="20"/>
          <w:lang w:val="es-ES_tradnl"/>
        </w:rPr>
      </w:pPr>
    </w:p>
    <w:tbl>
      <w:tblPr>
        <w:tblW w:w="0" w:type="auto"/>
        <w:tblInd w:w="98" w:type="dxa"/>
        <w:tblLook w:val="0000" w:firstRow="0" w:lastRow="0" w:firstColumn="0" w:lastColumn="0" w:noHBand="0" w:noVBand="0"/>
      </w:tblPr>
      <w:tblGrid>
        <w:gridCol w:w="3323"/>
        <w:gridCol w:w="3270"/>
        <w:gridCol w:w="1388"/>
        <w:gridCol w:w="1385"/>
      </w:tblGrid>
      <w:tr w:rsidR="00C14248" w:rsidRPr="00A34388" w:rsidTr="00DA1567">
        <w:tc>
          <w:tcPr>
            <w:tcW w:w="3323" w:type="dxa"/>
            <w:tcBorders>
              <w:top w:val="single" w:sz="4" w:space="0" w:color="auto"/>
              <w:left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270"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388"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385" w:type="dxa"/>
            <w:tcBorders>
              <w:top w:val="single" w:sz="4" w:space="0" w:color="auto"/>
              <w:left w:val="nil"/>
              <w:bottom w:val="single" w:sz="4" w:space="0" w:color="auto"/>
              <w:right w:val="single" w:sz="4" w:space="0" w:color="auto"/>
            </w:tcBorders>
            <w:shd w:val="clear" w:color="auto" w:fill="CCFFFF"/>
            <w:vAlign w:val="center"/>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DA1567">
        <w:tc>
          <w:tcPr>
            <w:tcW w:w="3323" w:type="dxa"/>
            <w:tcBorders>
              <w:top w:val="nil"/>
              <w:left w:val="single" w:sz="4" w:space="0" w:color="auto"/>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Avances en el diálogo internacional sobre políticas entre los Estados miembros de la OMPI para fomentar el respeto por la P.I. sobre la base de la recomendación 45 de la Agenda de la OMPI para el Desarrollo.</w:t>
            </w:r>
          </w:p>
        </w:tc>
        <w:tc>
          <w:tcPr>
            <w:tcW w:w="3270" w:type="dxa"/>
            <w:tcBorders>
              <w:top w:val="nil"/>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Acuerdo constante entre los Estados miembros sobre la labor sustantiva del Comité Asesor de la OMPI sobre Observancia (ACE) en el bienio, incorporando elementos orientados al desarrollo.</w:t>
            </w:r>
          </w:p>
        </w:tc>
        <w:tc>
          <w:tcPr>
            <w:tcW w:w="1388" w:type="dxa"/>
            <w:tcBorders>
              <w:top w:val="nil"/>
              <w:left w:val="nil"/>
              <w:bottom w:val="nil"/>
            </w:tcBorders>
            <w:shd w:val="clear" w:color="auto" w:fill="auto"/>
            <w:tcMar>
              <w:top w:w="113" w:type="dxa"/>
            </w:tcMar>
          </w:tcPr>
          <w:p w:rsidR="00C14248" w:rsidRPr="00332758" w:rsidRDefault="00C14248" w:rsidP="00DA1567">
            <w:pPr>
              <w:spacing w:before="80"/>
              <w:ind w:left="179"/>
              <w:rPr>
                <w:rFonts w:cs="Arial"/>
                <w:sz w:val="14"/>
                <w:szCs w:val="14"/>
                <w:lang w:val="es-ES_tradnl"/>
              </w:rPr>
            </w:pPr>
            <w:r w:rsidRPr="00332758">
              <w:rPr>
                <w:rFonts w:cs="Arial"/>
                <w:sz w:val="14"/>
                <w:szCs w:val="14"/>
                <w:lang w:val="es-ES_tradnl"/>
              </w:rPr>
              <w:t>Programa 17</w:t>
            </w:r>
          </w:p>
        </w:tc>
        <w:tc>
          <w:tcPr>
            <w:tcW w:w="1385" w:type="dxa"/>
            <w:tcBorders>
              <w:top w:val="nil"/>
              <w:left w:val="nil"/>
              <w:bottom w:val="nil"/>
              <w:right w:val="single" w:sz="4" w:space="0" w:color="auto"/>
            </w:tcBorders>
          </w:tcPr>
          <w:p w:rsidR="00C14248" w:rsidRPr="000B4241" w:rsidRDefault="00C14248" w:rsidP="00DA1567">
            <w:pPr>
              <w:ind w:left="179"/>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323" w:type="dxa"/>
            <w:vMerge w:val="restart"/>
            <w:tcBorders>
              <w:top w:val="nil"/>
              <w:left w:val="single" w:sz="4" w:space="0" w:color="auto"/>
              <w:right w:val="nil"/>
            </w:tcBorders>
            <w:shd w:val="clear" w:color="auto" w:fill="auto"/>
            <w:tcMar>
              <w:top w:w="113" w:type="dxa"/>
            </w:tcMar>
          </w:tcPr>
          <w:p w:rsidR="00C14248" w:rsidRPr="00332758" w:rsidRDefault="00C14248" w:rsidP="00DA1567">
            <w:pPr>
              <w:spacing w:before="80"/>
              <w:rPr>
                <w:rFonts w:cs="Arial"/>
                <w:sz w:val="14"/>
                <w:szCs w:val="14"/>
                <w:lang w:val="es-ES_tradnl"/>
              </w:rPr>
            </w:pPr>
            <w:r w:rsidRPr="00332758">
              <w:rPr>
                <w:rFonts w:cs="Arial"/>
                <w:sz w:val="14"/>
                <w:szCs w:val="14"/>
                <w:lang w:val="es-ES_tradnl"/>
              </w:rPr>
              <w:t xml:space="preserve">Cooperación y coordinación sistemáticas y eficaces entre la labor de la OMPI y otras organizaciones internacionales en el ámbito del fomento del respeto por la P.I. </w:t>
            </w:r>
          </w:p>
          <w:p w:rsidR="00C14248" w:rsidRPr="00A34388" w:rsidRDefault="00C14248" w:rsidP="00DA1567">
            <w:pPr>
              <w:spacing w:before="80"/>
              <w:rPr>
                <w:rFonts w:cs="Arial"/>
                <w:color w:val="A6A6A6" w:themeColor="background1" w:themeShade="A6"/>
                <w:sz w:val="14"/>
                <w:szCs w:val="14"/>
                <w:lang w:val="es-ES_tradnl"/>
              </w:rPr>
            </w:pPr>
          </w:p>
        </w:tc>
        <w:tc>
          <w:tcPr>
            <w:tcW w:w="3270" w:type="dxa"/>
            <w:tcBorders>
              <w:top w:val="nil"/>
              <w:left w:val="nil"/>
              <w:bottom w:val="nil"/>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mecanismos de cooperación oficial en vigor.</w:t>
            </w:r>
          </w:p>
        </w:tc>
        <w:tc>
          <w:tcPr>
            <w:tcW w:w="1388" w:type="dxa"/>
            <w:tcBorders>
              <w:top w:val="nil"/>
              <w:left w:val="nil"/>
              <w:bottom w:val="nil"/>
            </w:tcBorders>
            <w:shd w:val="clear" w:color="auto" w:fill="auto"/>
            <w:tcMar>
              <w:top w:w="113" w:type="dxa"/>
            </w:tcMar>
          </w:tcPr>
          <w:p w:rsidR="00C14248" w:rsidRPr="00332758" w:rsidRDefault="00C14248" w:rsidP="00DA1567">
            <w:pPr>
              <w:spacing w:before="80"/>
              <w:ind w:left="179"/>
              <w:rPr>
                <w:rFonts w:cs="Arial"/>
                <w:sz w:val="14"/>
                <w:szCs w:val="14"/>
                <w:lang w:val="es-ES_tradnl"/>
              </w:rPr>
            </w:pPr>
            <w:r w:rsidRPr="00332758">
              <w:rPr>
                <w:rFonts w:cs="Arial"/>
                <w:sz w:val="14"/>
                <w:szCs w:val="14"/>
                <w:lang w:val="es-ES_tradnl"/>
              </w:rPr>
              <w:t>Programa 17</w:t>
            </w:r>
          </w:p>
        </w:tc>
        <w:tc>
          <w:tcPr>
            <w:tcW w:w="1385" w:type="dxa"/>
            <w:tcBorders>
              <w:top w:val="nil"/>
              <w:left w:val="nil"/>
              <w:bottom w:val="nil"/>
              <w:right w:val="single" w:sz="4" w:space="0" w:color="auto"/>
            </w:tcBorders>
          </w:tcPr>
          <w:p w:rsidR="00C14248" w:rsidRPr="000B4241" w:rsidRDefault="00C14248" w:rsidP="00DA1567">
            <w:pPr>
              <w:ind w:left="179"/>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323" w:type="dxa"/>
            <w:vMerge/>
            <w:tcBorders>
              <w:left w:val="single" w:sz="4" w:space="0" w:color="auto"/>
              <w:bottom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270" w:type="dxa"/>
            <w:tcBorders>
              <w:top w:val="nil"/>
              <w:left w:val="nil"/>
              <w:bottom w:val="single" w:sz="4" w:space="0" w:color="auto"/>
              <w:right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actividades conjuntas.</w:t>
            </w:r>
          </w:p>
        </w:tc>
        <w:tc>
          <w:tcPr>
            <w:tcW w:w="1388" w:type="dxa"/>
            <w:tcBorders>
              <w:top w:val="nil"/>
              <w:left w:val="nil"/>
              <w:bottom w:val="single" w:sz="4" w:space="0" w:color="auto"/>
            </w:tcBorders>
            <w:shd w:val="clear" w:color="auto" w:fill="auto"/>
            <w:tcMar>
              <w:top w:w="113" w:type="dxa"/>
            </w:tcMar>
          </w:tcPr>
          <w:p w:rsidR="00C14248" w:rsidRPr="00332758" w:rsidRDefault="00C14248" w:rsidP="00DA1567">
            <w:pPr>
              <w:spacing w:before="80"/>
              <w:ind w:left="179"/>
              <w:rPr>
                <w:rFonts w:cs="Arial"/>
                <w:sz w:val="14"/>
                <w:szCs w:val="14"/>
                <w:lang w:val="es-ES_tradnl"/>
              </w:rPr>
            </w:pPr>
            <w:r w:rsidRPr="00332758">
              <w:rPr>
                <w:rFonts w:cs="Arial"/>
                <w:sz w:val="14"/>
                <w:szCs w:val="14"/>
                <w:lang w:val="es-ES_tradnl"/>
              </w:rPr>
              <w:t>Programa 17</w:t>
            </w:r>
          </w:p>
        </w:tc>
        <w:tc>
          <w:tcPr>
            <w:tcW w:w="1385" w:type="dxa"/>
            <w:tcBorders>
              <w:top w:val="nil"/>
              <w:left w:val="nil"/>
              <w:bottom w:val="single" w:sz="4" w:space="0" w:color="auto"/>
              <w:right w:val="single" w:sz="4" w:space="0" w:color="auto"/>
            </w:tcBorders>
          </w:tcPr>
          <w:p w:rsidR="00C14248" w:rsidRPr="000B4241" w:rsidRDefault="00C14248" w:rsidP="00DA1567">
            <w:pPr>
              <w:ind w:left="179"/>
              <w:jc w:val="center"/>
              <w:rPr>
                <w:rFonts w:cs="Arial"/>
                <w:color w:val="008000"/>
                <w:sz w:val="22"/>
                <w:szCs w:val="22"/>
              </w:rPr>
            </w:pPr>
            <w:r w:rsidRPr="000B4241">
              <w:rPr>
                <w:rFonts w:cs="Arial"/>
                <w:color w:val="008000"/>
                <w:sz w:val="22"/>
                <w:szCs w:val="22"/>
              </w:rPr>
              <w:sym w:font="Wingdings" w:char="F06C"/>
            </w:r>
          </w:p>
        </w:tc>
      </w:tr>
    </w:tbl>
    <w:p w:rsidR="00C14248" w:rsidRPr="00A34388" w:rsidRDefault="00C14248" w:rsidP="00C14248">
      <w:pPr>
        <w:jc w:val="both"/>
        <w:rPr>
          <w:i/>
          <w:iCs/>
          <w:lang w:val="es-ES_tradnl"/>
        </w:rPr>
      </w:pPr>
    </w:p>
    <w:p w:rsidR="00197073" w:rsidRPr="00332758" w:rsidRDefault="00197073" w:rsidP="00197073">
      <w:pPr>
        <w:jc w:val="both"/>
        <w:rPr>
          <w:iCs/>
          <w:lang w:val="es-ES_tradnl"/>
        </w:rPr>
      </w:pPr>
    </w:p>
    <w:p w:rsidR="00197073" w:rsidRPr="00332758" w:rsidRDefault="00197073" w:rsidP="00197073">
      <w:pPr>
        <w:jc w:val="both"/>
        <w:rPr>
          <w:iCs/>
          <w:lang w:val="es-ES_tradnl"/>
        </w:rPr>
      </w:pPr>
      <w:r w:rsidRPr="00332758">
        <w:rPr>
          <w:iCs/>
          <w:lang w:val="es-ES_tradnl"/>
        </w:rPr>
        <w:t xml:space="preserve">Dentro de un proceso de consultas, se ha continuado avanzando con paso firme hacia la creación de un entorno propicio para la promoción del respeto por la P.I. de forma sostenible.  </w:t>
      </w:r>
      <w:r w:rsidR="004A3DB2" w:rsidRPr="00A34388">
        <w:rPr>
          <w:iCs/>
          <w:lang w:val="es-ES_tradnl"/>
        </w:rPr>
        <w:t xml:space="preserve">En su octava sesión, el ACE </w:t>
      </w:r>
      <w:r w:rsidR="00FD7A17" w:rsidRPr="00A34388">
        <w:rPr>
          <w:iCs/>
          <w:lang w:val="es-ES_tradnl"/>
        </w:rPr>
        <w:t>trabajó</w:t>
      </w:r>
      <w:r w:rsidR="004A3DB2" w:rsidRPr="00A34388">
        <w:rPr>
          <w:iCs/>
          <w:lang w:val="es-ES_tradnl"/>
        </w:rPr>
        <w:t xml:space="preserve"> en favor de la identificación de las </w:t>
      </w:r>
      <w:r w:rsidR="00FD7A17" w:rsidRPr="00A34388">
        <w:rPr>
          <w:iCs/>
          <w:lang w:val="es-ES_tradnl"/>
        </w:rPr>
        <w:t>causas</w:t>
      </w:r>
      <w:r w:rsidR="004A3DB2" w:rsidRPr="00A34388">
        <w:rPr>
          <w:iCs/>
          <w:lang w:val="es-ES_tradnl"/>
        </w:rPr>
        <w:t>, incluidas las var</w:t>
      </w:r>
      <w:r w:rsidR="00FD7A17" w:rsidRPr="00A34388">
        <w:rPr>
          <w:iCs/>
          <w:lang w:val="es-ES_tradnl"/>
        </w:rPr>
        <w:t>iables socioeconómicas, de las contravenciones de los derechos de P.I.</w:t>
      </w:r>
      <w:r w:rsidR="004A3DB2" w:rsidRPr="00A34388">
        <w:rPr>
          <w:iCs/>
          <w:lang w:val="es-ES_tradnl"/>
        </w:rPr>
        <w:t xml:space="preserve">, del desarrollo de métodos analíticos para medir las consecuencias de la falsificación y la piratería, y del análisis de modelos alternativos para hacer frente a </w:t>
      </w:r>
      <w:r w:rsidR="004A3DB2" w:rsidRPr="00A34388">
        <w:rPr>
          <w:iCs/>
          <w:lang w:val="es-ES_tradnl"/>
        </w:rPr>
        <w:lastRenderedPageBreak/>
        <w:t>este fenómeno</w:t>
      </w:r>
      <w:r w:rsidRPr="00A34388">
        <w:rPr>
          <w:iCs/>
          <w:lang w:val="es-ES_tradnl"/>
        </w:rPr>
        <w:t xml:space="preserve">.  </w:t>
      </w:r>
      <w:r w:rsidRPr="00332758">
        <w:rPr>
          <w:iCs/>
          <w:lang w:val="es-ES_tradnl"/>
        </w:rPr>
        <w:t>Los Estados miembros acordaron el programa de trabajo de la novena sesión del ACE, adoptando tanto prácticas de solución extrajudicial de controversias en materia de P.I. como acciones y medidas preventivas o experiencias positivas que complementen las medidas de observancia.</w:t>
      </w:r>
    </w:p>
    <w:p w:rsidR="00197073" w:rsidRPr="003F11A0" w:rsidRDefault="00197073" w:rsidP="00197073">
      <w:pPr>
        <w:jc w:val="both"/>
        <w:rPr>
          <w:iCs/>
          <w:sz w:val="18"/>
          <w:szCs w:val="18"/>
          <w:lang w:val="es-ES_tradnl"/>
        </w:rPr>
      </w:pPr>
    </w:p>
    <w:p w:rsidR="00197073" w:rsidRPr="003F11A0" w:rsidRDefault="00197073" w:rsidP="00197073">
      <w:pPr>
        <w:jc w:val="both"/>
        <w:rPr>
          <w:iCs/>
          <w:sz w:val="18"/>
          <w:szCs w:val="18"/>
          <w:lang w:val="es-ES_tradnl"/>
        </w:rPr>
      </w:pPr>
    </w:p>
    <w:p w:rsidR="00197073" w:rsidRPr="00332758" w:rsidRDefault="00197073" w:rsidP="00197073">
      <w:pPr>
        <w:jc w:val="center"/>
        <w:rPr>
          <w:b/>
          <w:iCs/>
          <w:lang w:val="es-ES_tradnl"/>
        </w:rPr>
      </w:pPr>
      <w:r w:rsidRPr="00332758">
        <w:rPr>
          <w:b/>
          <w:iCs/>
          <w:lang w:val="es-ES_tradnl"/>
        </w:rPr>
        <w:t>Meta estratégica VII</w:t>
      </w:r>
      <w:proofErr w:type="gramStart"/>
      <w:r w:rsidRPr="00332758">
        <w:rPr>
          <w:b/>
          <w:iCs/>
          <w:lang w:val="es-ES_tradnl"/>
        </w:rPr>
        <w:t>:  Vínculos</w:t>
      </w:r>
      <w:proofErr w:type="gramEnd"/>
      <w:r w:rsidRPr="00332758">
        <w:rPr>
          <w:b/>
          <w:iCs/>
          <w:lang w:val="es-ES_tradnl"/>
        </w:rPr>
        <w:t xml:space="preserve"> entre la P.I. y los problemas mundiales de política pública.</w:t>
      </w:r>
    </w:p>
    <w:p w:rsidR="00197073" w:rsidRPr="00A34388" w:rsidRDefault="00197073" w:rsidP="00197073">
      <w:pPr>
        <w:jc w:val="both"/>
        <w:rPr>
          <w:i/>
          <w:iCs/>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Pr="003F11A0" w:rsidRDefault="00197073" w:rsidP="003F11A0">
      <w:pPr>
        <w:rPr>
          <w:sz w:val="18"/>
          <w:szCs w:val="18"/>
          <w:lang w:val="es-ES_tradnl"/>
        </w:rPr>
      </w:pPr>
    </w:p>
    <w:p w:rsidR="005E68A3" w:rsidRPr="003F11A0" w:rsidRDefault="005E68A3" w:rsidP="003F11A0">
      <w:pPr>
        <w:jc w:val="center"/>
        <w:rPr>
          <w:b/>
          <w:sz w:val="18"/>
          <w:szCs w:val="18"/>
          <w:lang w:val="es-ES_tradnl"/>
        </w:rPr>
      </w:pPr>
      <w:r>
        <w:rPr>
          <w:b/>
          <w:noProof/>
          <w:sz w:val="18"/>
          <w:szCs w:val="18"/>
        </w:rPr>
        <w:drawing>
          <wp:inline distT="0" distB="0" distL="0" distR="0" wp14:anchorId="554D8D49" wp14:editId="1B32150B">
            <wp:extent cx="5981700" cy="2337914"/>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4301" cy="2338931"/>
                    </a:xfrm>
                    <a:prstGeom prst="rect">
                      <a:avLst/>
                    </a:prstGeom>
                    <a:noFill/>
                  </pic:spPr>
                </pic:pic>
              </a:graphicData>
            </a:graphic>
          </wp:inline>
        </w:drawing>
      </w:r>
    </w:p>
    <w:p w:rsidR="00197073" w:rsidRPr="003F11A0" w:rsidRDefault="00197073" w:rsidP="003F11A0">
      <w:pPr>
        <w:rPr>
          <w:sz w:val="18"/>
          <w:szCs w:val="18"/>
          <w:lang w:val="es-ES_tradnl"/>
        </w:rPr>
      </w:pPr>
    </w:p>
    <w:p w:rsidR="00197073" w:rsidRPr="003F11A0" w:rsidRDefault="00197073">
      <w:pPr>
        <w:rPr>
          <w:sz w:val="18"/>
          <w:szCs w:val="18"/>
          <w:lang w:val="es-ES_tradnl"/>
        </w:rPr>
      </w:pPr>
    </w:p>
    <w:p w:rsidR="00197073" w:rsidRPr="00A34388" w:rsidRDefault="00197073" w:rsidP="00197073">
      <w:pPr>
        <w:jc w:val="center"/>
        <w:rPr>
          <w:b/>
          <w:szCs w:val="20"/>
          <w:lang w:val="es-ES_tradnl"/>
        </w:rPr>
      </w:pPr>
      <w:r w:rsidRPr="00A34388">
        <w:rPr>
          <w:b/>
          <w:szCs w:val="20"/>
          <w:lang w:val="es-ES_tradnl"/>
        </w:rPr>
        <w:t>Cuadro sobre el rendimiento bienal</w:t>
      </w:r>
    </w:p>
    <w:p w:rsidR="00197073" w:rsidRPr="00A34388" w:rsidRDefault="00197073" w:rsidP="00197073">
      <w:pPr>
        <w:jc w:val="both"/>
        <w:rPr>
          <w:i/>
          <w:iCs/>
          <w:lang w:val="es-ES_tradnl"/>
        </w:rPr>
      </w:pPr>
    </w:p>
    <w:p w:rsidR="00C535EB"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C535EB" w:rsidRPr="00A34388">
        <w:rPr>
          <w:rFonts w:cs="Arial"/>
          <w:lang w:val="es-ES_tradnl"/>
        </w:rPr>
        <w:t xml:space="preserve">los programas </w:t>
      </w:r>
      <w:r w:rsidR="00E561F0" w:rsidRPr="00A34388">
        <w:rPr>
          <w:rFonts w:cs="Arial"/>
          <w:lang w:val="es-ES_tradnl"/>
        </w:rPr>
        <w:t>que contribuyen a esta meta estratégica</w:t>
      </w:r>
      <w:r w:rsidR="003242C1" w:rsidRPr="00A34388">
        <w:rPr>
          <w:rFonts w:cs="Arial"/>
          <w:lang w:val="es-ES_tradnl"/>
        </w:rPr>
        <w:t xml:space="preserve">.   </w:t>
      </w:r>
    </w:p>
    <w:p w:rsidR="00C14248" w:rsidRPr="00A34388" w:rsidRDefault="00C14248" w:rsidP="00C14248">
      <w:pPr>
        <w:autoSpaceDE w:val="0"/>
        <w:autoSpaceDN w:val="0"/>
        <w:adjustRightInd w:val="0"/>
        <w:jc w:val="both"/>
        <w:rPr>
          <w:rFonts w:cs="Arial"/>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C14248" w:rsidRPr="00A34388" w:rsidTr="00DA1567">
        <w:tc>
          <w:tcPr>
            <w:tcW w:w="3242"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409"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366"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349" w:type="dxa"/>
            <w:tcBorders>
              <w:top w:val="single" w:sz="4" w:space="0" w:color="auto"/>
              <w:bottom w:val="single" w:sz="4" w:space="0" w:color="auto"/>
            </w:tcBorders>
            <w:shd w:val="clear" w:color="auto" w:fill="CCFFFF"/>
            <w:vAlign w:val="center"/>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DA1567">
        <w:tc>
          <w:tcPr>
            <w:tcW w:w="3242" w:type="dxa"/>
            <w:vMerge w:val="restart"/>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Conocimiento más adecuado entre los encargados de la adopción de políticas de la relación existente entre los desafíos mundiales y la innovación y la P.I. como base para formular políticas de manera más eficaz.</w:t>
            </w:r>
          </w:p>
        </w:tc>
        <w:tc>
          <w:tcPr>
            <w:tcW w:w="3409" w:type="dxa"/>
            <w:tcBorders>
              <w:top w:val="single" w:sz="4" w:space="0" w:color="auto"/>
              <w:bottom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Referencias a la labor de la OMPI en el ámbito de los desafíos mundiales en otros procesos de política.</w:t>
            </w:r>
          </w:p>
        </w:tc>
        <w:tc>
          <w:tcPr>
            <w:tcW w:w="1366" w:type="dxa"/>
            <w:tcBorders>
              <w:top w:val="single" w:sz="4" w:space="0" w:color="auto"/>
              <w:bottom w:val="nil"/>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18 </w:t>
            </w:r>
          </w:p>
        </w:tc>
        <w:tc>
          <w:tcPr>
            <w:tcW w:w="1349" w:type="dxa"/>
            <w:tcBorders>
              <w:top w:val="single" w:sz="4" w:space="0" w:color="auto"/>
              <w:bottom w:val="nil"/>
            </w:tcBorders>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409" w:type="dxa"/>
            <w:tcBorders>
              <w:top w:val="nil"/>
              <w:bottom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Mayor utilización del material que se ofrece en la página web de la División de Desafíos Mundiales.</w:t>
            </w:r>
          </w:p>
        </w:tc>
        <w:tc>
          <w:tcPr>
            <w:tcW w:w="1366" w:type="dxa"/>
            <w:tcBorders>
              <w:top w:val="nil"/>
              <w:bottom w:val="nil"/>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18</w:t>
            </w:r>
          </w:p>
        </w:tc>
        <w:tc>
          <w:tcPr>
            <w:tcW w:w="1349" w:type="dxa"/>
            <w:tcBorders>
              <w:top w:val="nil"/>
              <w:bottom w:val="nil"/>
            </w:tcBorders>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409" w:type="dxa"/>
            <w:tcBorders>
              <w:top w:val="nil"/>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Comentarios de los participantes en foros de política.</w:t>
            </w:r>
          </w:p>
        </w:tc>
        <w:tc>
          <w:tcPr>
            <w:tcW w:w="1366" w:type="dxa"/>
            <w:tcBorders>
              <w:top w:val="nil"/>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18 </w:t>
            </w:r>
          </w:p>
        </w:tc>
        <w:tc>
          <w:tcPr>
            <w:tcW w:w="1349" w:type="dxa"/>
            <w:tcBorders>
              <w:top w:val="nil"/>
            </w:tcBorders>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La OMPI constituye una fuente fidedigna de apoyo, asistencia y referencia para la información sobre la innovación y la P.I. en los pertinentes procesos de políticas públicas. </w:t>
            </w: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y diversidad de peticiones concretas de Estados miembros y organizaciones internacionales que solicitan aportaciones de la OMPI en relación con la P.I. y las cuestiones mundiales de política pública.</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18 </w:t>
            </w:r>
          </w:p>
        </w:tc>
        <w:tc>
          <w:tcPr>
            <w:tcW w:w="1349" w:type="dxa"/>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Las herramientas de P.I. se utilizan para la transferencia de tecnología por parte de países desarrollados a países en desarrollo, especialmente los países menos adelantados, para responder a los desafíos mundiales.</w:t>
            </w: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participantes en plataformas de P.I.</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18 </w:t>
            </w:r>
          </w:p>
        </w:tc>
        <w:tc>
          <w:tcPr>
            <w:tcW w:w="1349" w:type="dxa"/>
          </w:tcPr>
          <w:p w:rsidR="00C14248" w:rsidRPr="000B4241" w:rsidRDefault="00C14248" w:rsidP="00DA1567">
            <w:pPr>
              <w:jc w:val="center"/>
              <w:rPr>
                <w:rFonts w:cs="Arial"/>
                <w:color w:val="00B050"/>
                <w:sz w:val="22"/>
                <w:szCs w:val="22"/>
              </w:rPr>
            </w:pPr>
            <w:r w:rsidRPr="000B4241">
              <w:rPr>
                <w:rFonts w:cs="Arial"/>
                <w:color w:val="008000"/>
                <w:sz w:val="22"/>
                <w:szCs w:val="22"/>
              </w:rPr>
              <w:sym w:font="Wingdings" w:char="F06C"/>
            </w:r>
          </w:p>
        </w:tc>
      </w:tr>
      <w:tr w:rsidR="00C14248" w:rsidRPr="00A34388" w:rsidTr="00DA1567">
        <w:tc>
          <w:tcPr>
            <w:tcW w:w="3242" w:type="dxa"/>
            <w:vMerge/>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transacciones realizadas por medio de la(s) plataforma(s).</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18</w:t>
            </w:r>
          </w:p>
        </w:tc>
        <w:tc>
          <w:tcPr>
            <w:tcW w:w="1349" w:type="dxa"/>
          </w:tcPr>
          <w:p w:rsidR="00C14248" w:rsidRPr="000B4241" w:rsidRDefault="00C14248" w:rsidP="00DA1567">
            <w:pPr>
              <w:jc w:val="center"/>
              <w:rPr>
                <w:rFonts w:cs="Arial"/>
                <w:sz w:val="22"/>
                <w:szCs w:val="22"/>
              </w:rPr>
            </w:pPr>
            <w:r w:rsidRPr="000B4241">
              <w:rPr>
                <w:rFonts w:cs="Arial"/>
                <w:color w:val="E36C0A" w:themeColor="accent6" w:themeShade="BF"/>
                <w:sz w:val="22"/>
                <w:szCs w:val="22"/>
              </w:rPr>
              <w:sym w:font="Wingdings" w:char="F06C"/>
            </w:r>
          </w:p>
        </w:tc>
      </w:tr>
      <w:tr w:rsidR="00C14248" w:rsidRPr="00A34388" w:rsidTr="00DA1567">
        <w:tc>
          <w:tcPr>
            <w:tcW w:w="3242"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 OMPI es el foro pertinente para analizar y debatir cuestiones en el ámbito de la P.I. y la política de competencia.</w:t>
            </w: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países que solicitan aportaciones concretas de la OMPI en relación con la P.I. y las cuestiones relativas al Derecho de competencia.</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18</w:t>
            </w:r>
          </w:p>
        </w:tc>
        <w:tc>
          <w:tcPr>
            <w:tcW w:w="1349" w:type="dxa"/>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3242"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340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y diversidad de sectores interesados (oficinas de P.I., autoridades encargadas de cuestiones de competencia, OIG y ONG) que entablan diálogo con la OMPI.</w:t>
            </w:r>
          </w:p>
        </w:tc>
        <w:tc>
          <w:tcPr>
            <w:tcW w:w="1366"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18</w:t>
            </w:r>
          </w:p>
        </w:tc>
        <w:tc>
          <w:tcPr>
            <w:tcW w:w="1349" w:type="dxa"/>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bl>
    <w:p w:rsidR="00C14248" w:rsidRPr="00A34388" w:rsidRDefault="00C14248" w:rsidP="00C14248">
      <w:pPr>
        <w:jc w:val="both"/>
        <w:rPr>
          <w:i/>
          <w:iCs/>
          <w:lang w:val="es-ES_tradnl"/>
        </w:rPr>
      </w:pPr>
    </w:p>
    <w:p w:rsidR="00E32DB6" w:rsidRPr="00A34388" w:rsidRDefault="00E32DB6" w:rsidP="00E32DB6">
      <w:pPr>
        <w:jc w:val="both"/>
        <w:rPr>
          <w:lang w:val="es-ES_tradnl"/>
        </w:rPr>
      </w:pPr>
      <w:r w:rsidRPr="00A34388">
        <w:rPr>
          <w:bCs/>
          <w:iCs/>
          <w:lang w:val="es-ES_tradnl"/>
        </w:rPr>
        <w:t xml:space="preserve">Se ha avanzado mucho en lo que respecta a fomentar un conocimiento más adecuado entre los encargados de la adopción de políticas de la relación existente entre los desafíos mundiales y la innovación y la P.I., desde la perspectiva de varios problemas mundiales de carácter urgente que están relacionados entre sí, especialmente los de la salud mundial, el cambio climático y la seguridad </w:t>
      </w:r>
      <w:r w:rsidRPr="00A34388">
        <w:rPr>
          <w:bCs/>
          <w:iCs/>
          <w:lang w:val="es-ES_tradnl"/>
        </w:rPr>
        <w:lastRenderedPageBreak/>
        <w:t xml:space="preserve">alimentaria.  Un </w:t>
      </w:r>
      <w:r w:rsidR="00671E2B" w:rsidRPr="00A34388">
        <w:rPr>
          <w:bCs/>
          <w:iCs/>
          <w:lang w:val="es-ES_tradnl"/>
        </w:rPr>
        <w:t xml:space="preserve">importante hito durante </w:t>
      </w:r>
      <w:r w:rsidRPr="00A34388">
        <w:rPr>
          <w:bCs/>
          <w:iCs/>
          <w:lang w:val="es-ES_tradnl"/>
        </w:rPr>
        <w:t xml:space="preserve">el bienio </w:t>
      </w:r>
      <w:r w:rsidR="00671E2B" w:rsidRPr="00A34388">
        <w:rPr>
          <w:bCs/>
          <w:iCs/>
          <w:lang w:val="es-ES_tradnl"/>
        </w:rPr>
        <w:t xml:space="preserve">fue </w:t>
      </w:r>
      <w:r w:rsidR="00392742">
        <w:rPr>
          <w:bCs/>
          <w:iCs/>
          <w:lang w:val="es-ES_tradnl"/>
        </w:rPr>
        <w:t xml:space="preserve">la puesta en marcha, </w:t>
      </w:r>
      <w:r w:rsidR="00392742" w:rsidRPr="00A34388">
        <w:rPr>
          <w:lang w:val="es-ES_tradnl"/>
        </w:rPr>
        <w:t>en noviembre de 2013</w:t>
      </w:r>
      <w:r w:rsidR="00392742">
        <w:rPr>
          <w:lang w:val="es-ES_tradnl"/>
        </w:rPr>
        <w:t xml:space="preserve">, </w:t>
      </w:r>
      <w:r w:rsidRPr="00A34388">
        <w:rPr>
          <w:bCs/>
          <w:iCs/>
          <w:lang w:val="es-ES_tradnl"/>
        </w:rPr>
        <w:t>de</w:t>
      </w:r>
      <w:r w:rsidRPr="00A34388">
        <w:rPr>
          <w:lang w:val="es-ES_tradnl"/>
        </w:rPr>
        <w:t xml:space="preserve"> </w:t>
      </w:r>
      <w:r w:rsidR="00392742">
        <w:rPr>
          <w:lang w:val="es-ES_tradnl"/>
        </w:rPr>
        <w:t xml:space="preserve">la plataforma </w:t>
      </w:r>
      <w:r w:rsidRPr="00A34388">
        <w:rPr>
          <w:lang w:val="es-ES_tradnl"/>
        </w:rPr>
        <w:t>WIPO GREEN</w:t>
      </w:r>
      <w:r w:rsidR="00671E2B" w:rsidRPr="00A34388">
        <w:rPr>
          <w:lang w:val="es-ES_tradnl"/>
        </w:rPr>
        <w:t xml:space="preserve">, </w:t>
      </w:r>
      <w:r w:rsidRPr="00A34388">
        <w:rPr>
          <w:lang w:val="es-ES_tradnl"/>
        </w:rPr>
        <w:t xml:space="preserve">un </w:t>
      </w:r>
      <w:r w:rsidR="00671E2B" w:rsidRPr="00A34388">
        <w:rPr>
          <w:lang w:val="es-ES_tradnl"/>
        </w:rPr>
        <w:t xml:space="preserve">mercado </w:t>
      </w:r>
      <w:r w:rsidRPr="00A34388">
        <w:rPr>
          <w:lang w:val="es-ES_tradnl"/>
        </w:rPr>
        <w:t>interactiv</w:t>
      </w:r>
      <w:r w:rsidR="00671E2B" w:rsidRPr="00A34388">
        <w:rPr>
          <w:lang w:val="es-ES_tradnl"/>
        </w:rPr>
        <w:t>o</w:t>
      </w:r>
      <w:r w:rsidRPr="00A34388">
        <w:rPr>
          <w:lang w:val="es-ES_tradnl"/>
        </w:rPr>
        <w:t xml:space="preserve"> que promueve la innovación, </w:t>
      </w:r>
      <w:r w:rsidR="00891B82" w:rsidRPr="00A34388">
        <w:rPr>
          <w:lang w:val="es-ES_tradnl"/>
        </w:rPr>
        <w:t xml:space="preserve">la </w:t>
      </w:r>
      <w:r w:rsidRPr="00A34388">
        <w:rPr>
          <w:lang w:val="es-ES_tradnl"/>
        </w:rPr>
        <w:t xml:space="preserve">transmisión y </w:t>
      </w:r>
      <w:r w:rsidR="00891B82" w:rsidRPr="00A34388">
        <w:rPr>
          <w:lang w:val="es-ES_tradnl"/>
        </w:rPr>
        <w:t xml:space="preserve">la </w:t>
      </w:r>
      <w:r w:rsidRPr="00A34388">
        <w:rPr>
          <w:lang w:val="es-ES_tradnl"/>
        </w:rPr>
        <w:t xml:space="preserve">difusión de tecnologías verdes </w:t>
      </w:r>
      <w:r w:rsidR="00671E2B" w:rsidRPr="00A34388">
        <w:rPr>
          <w:lang w:val="es-ES_tradnl"/>
        </w:rPr>
        <w:t xml:space="preserve">al establecer vínculos </w:t>
      </w:r>
      <w:r w:rsidRPr="00A34388">
        <w:rPr>
          <w:lang w:val="es-ES_tradnl"/>
        </w:rPr>
        <w:t>entre los proveedores de tecnología</w:t>
      </w:r>
      <w:r w:rsidR="00671E2B" w:rsidRPr="00A34388">
        <w:rPr>
          <w:lang w:val="es-ES_tradnl"/>
        </w:rPr>
        <w:t>s</w:t>
      </w:r>
      <w:r w:rsidRPr="00A34388">
        <w:rPr>
          <w:lang w:val="es-ES_tradnl"/>
        </w:rPr>
        <w:t xml:space="preserve"> y servicios</w:t>
      </w:r>
      <w:r w:rsidR="00F83B81" w:rsidRPr="00A34388">
        <w:rPr>
          <w:lang w:val="es-ES_tradnl"/>
        </w:rPr>
        <w:t>,</w:t>
      </w:r>
      <w:r w:rsidRPr="00A34388">
        <w:rPr>
          <w:lang w:val="es-ES_tradnl"/>
        </w:rPr>
        <w:t xml:space="preserve"> y </w:t>
      </w:r>
      <w:r w:rsidR="00671E2B" w:rsidRPr="00A34388">
        <w:rPr>
          <w:lang w:val="es-ES_tradnl"/>
        </w:rPr>
        <w:t xml:space="preserve">los </w:t>
      </w:r>
      <w:r w:rsidRPr="00A34388">
        <w:rPr>
          <w:lang w:val="es-ES_tradnl"/>
        </w:rPr>
        <w:t xml:space="preserve">que buscan soluciones innovadoras.  Al final del bienio, WIPO GREEN contaba con 62 miembros (37 socios y 25 proveedores de tecnologías y </w:t>
      </w:r>
      <w:r w:rsidR="00671E2B" w:rsidRPr="00A34388">
        <w:rPr>
          <w:lang w:val="es-ES_tradnl"/>
        </w:rPr>
        <w:t>necesidades</w:t>
      </w:r>
      <w:r w:rsidRPr="00A34388">
        <w:rPr>
          <w:lang w:val="es-ES_tradnl"/>
        </w:rPr>
        <w:t xml:space="preserve">) y con 737 </w:t>
      </w:r>
      <w:r w:rsidR="00671E2B" w:rsidRPr="00A34388">
        <w:rPr>
          <w:lang w:val="es-ES_tradnl"/>
        </w:rPr>
        <w:t xml:space="preserve">registros </w:t>
      </w:r>
      <w:r w:rsidRPr="00A34388">
        <w:rPr>
          <w:lang w:val="es-ES_tradnl"/>
        </w:rPr>
        <w:t xml:space="preserve">en la base de datos.  Otro logro </w:t>
      </w:r>
      <w:r w:rsidR="00DE04D6" w:rsidRPr="00A34388">
        <w:rPr>
          <w:lang w:val="es-ES_tradnl"/>
        </w:rPr>
        <w:t xml:space="preserve">reseñable </w:t>
      </w:r>
      <w:r w:rsidRPr="00A34388">
        <w:rPr>
          <w:lang w:val="es-ES_tradnl"/>
        </w:rPr>
        <w:t xml:space="preserve">fue la publicación, en 2013, del estudio técnico conjunto titulado </w:t>
      </w:r>
      <w:proofErr w:type="spellStart"/>
      <w:r w:rsidRPr="00A34388">
        <w:rPr>
          <w:i/>
          <w:lang w:val="es-ES_tradnl"/>
        </w:rPr>
        <w:t>Promoting</w:t>
      </w:r>
      <w:proofErr w:type="spellEnd"/>
      <w:r w:rsidRPr="00A34388">
        <w:rPr>
          <w:i/>
          <w:lang w:val="es-ES_tradnl"/>
        </w:rPr>
        <w:t xml:space="preserve"> Access to Medical Technologies and </w:t>
      </w:r>
      <w:proofErr w:type="spellStart"/>
      <w:r w:rsidRPr="00A34388">
        <w:rPr>
          <w:i/>
          <w:lang w:val="es-ES_tradnl"/>
        </w:rPr>
        <w:t>Innovation</w:t>
      </w:r>
      <w:proofErr w:type="spellEnd"/>
      <w:r w:rsidRPr="00A34388">
        <w:rPr>
          <w:i/>
          <w:lang w:val="es-ES_tradnl"/>
        </w:rPr>
        <w:t xml:space="preserve"> – </w:t>
      </w:r>
      <w:proofErr w:type="spellStart"/>
      <w:r w:rsidRPr="00A34388">
        <w:rPr>
          <w:i/>
          <w:lang w:val="es-ES_tradnl"/>
        </w:rPr>
        <w:t>Intersections</w:t>
      </w:r>
      <w:proofErr w:type="spellEnd"/>
      <w:r w:rsidRPr="00A34388">
        <w:rPr>
          <w:i/>
          <w:lang w:val="es-ES_tradnl"/>
        </w:rPr>
        <w:t xml:space="preserve"> </w:t>
      </w:r>
      <w:proofErr w:type="spellStart"/>
      <w:r w:rsidRPr="00A34388">
        <w:rPr>
          <w:i/>
          <w:lang w:val="es-ES_tradnl"/>
        </w:rPr>
        <w:t>between</w:t>
      </w:r>
      <w:proofErr w:type="spellEnd"/>
      <w:r w:rsidRPr="00A34388">
        <w:rPr>
          <w:i/>
          <w:lang w:val="es-ES_tradnl"/>
        </w:rPr>
        <w:t xml:space="preserve"> </w:t>
      </w:r>
      <w:proofErr w:type="spellStart"/>
      <w:r w:rsidRPr="00A34388">
        <w:rPr>
          <w:i/>
          <w:lang w:val="es-ES_tradnl"/>
        </w:rPr>
        <w:t>public</w:t>
      </w:r>
      <w:proofErr w:type="spellEnd"/>
      <w:r w:rsidRPr="00A34388">
        <w:rPr>
          <w:i/>
          <w:lang w:val="es-ES_tradnl"/>
        </w:rPr>
        <w:t xml:space="preserve"> </w:t>
      </w:r>
      <w:proofErr w:type="spellStart"/>
      <w:r w:rsidRPr="00A34388">
        <w:rPr>
          <w:i/>
          <w:lang w:val="es-ES_tradnl"/>
        </w:rPr>
        <w:t>health</w:t>
      </w:r>
      <w:proofErr w:type="spellEnd"/>
      <w:r w:rsidRPr="00A34388">
        <w:rPr>
          <w:i/>
          <w:lang w:val="es-ES_tradnl"/>
        </w:rPr>
        <w:t xml:space="preserve">, </w:t>
      </w:r>
      <w:proofErr w:type="spellStart"/>
      <w:r w:rsidRPr="00A34388">
        <w:rPr>
          <w:i/>
          <w:lang w:val="es-ES_tradnl"/>
        </w:rPr>
        <w:t>intellectual</w:t>
      </w:r>
      <w:proofErr w:type="spellEnd"/>
      <w:r w:rsidRPr="00A34388">
        <w:rPr>
          <w:i/>
          <w:lang w:val="es-ES_tradnl"/>
        </w:rPr>
        <w:t xml:space="preserve"> </w:t>
      </w:r>
      <w:proofErr w:type="spellStart"/>
      <w:r w:rsidRPr="00A34388">
        <w:rPr>
          <w:i/>
          <w:lang w:val="es-ES_tradnl"/>
        </w:rPr>
        <w:t>property</w:t>
      </w:r>
      <w:proofErr w:type="spellEnd"/>
      <w:r w:rsidRPr="00A34388">
        <w:rPr>
          <w:i/>
          <w:lang w:val="es-ES_tradnl"/>
        </w:rPr>
        <w:t xml:space="preserve"> and </w:t>
      </w:r>
      <w:proofErr w:type="spellStart"/>
      <w:r w:rsidRPr="00A34388">
        <w:rPr>
          <w:i/>
          <w:lang w:val="es-ES_tradnl"/>
        </w:rPr>
        <w:t>trade</w:t>
      </w:r>
      <w:proofErr w:type="spellEnd"/>
      <w:r w:rsidRPr="00A34388">
        <w:rPr>
          <w:i/>
          <w:lang w:val="es-ES_tradnl"/>
        </w:rPr>
        <w:t xml:space="preserve"> </w:t>
      </w:r>
      <w:r w:rsidRPr="00A34388">
        <w:rPr>
          <w:lang w:val="es-ES_tradnl"/>
        </w:rPr>
        <w:t>(Promover el acceso a las tecnologías médicas y la innovación</w:t>
      </w:r>
      <w:proofErr w:type="gramStart"/>
      <w:r w:rsidRPr="00A34388">
        <w:rPr>
          <w:lang w:val="es-ES_tradnl"/>
        </w:rPr>
        <w:t>:</w:t>
      </w:r>
      <w:r w:rsidR="001920BB" w:rsidRPr="00A34388">
        <w:rPr>
          <w:lang w:val="es-ES_tradnl"/>
        </w:rPr>
        <w:t xml:space="preserve"> </w:t>
      </w:r>
      <w:r w:rsidRPr="00A34388">
        <w:rPr>
          <w:lang w:val="es-ES_tradnl"/>
        </w:rPr>
        <w:t xml:space="preserve"> las</w:t>
      </w:r>
      <w:proofErr w:type="gramEnd"/>
      <w:r w:rsidRPr="00A34388">
        <w:rPr>
          <w:lang w:val="es-ES_tradnl"/>
        </w:rPr>
        <w:t xml:space="preserve"> intersecciones de la salud pública, la propiedad intelectual y el comercio), resultado de la cooperación </w:t>
      </w:r>
      <w:r w:rsidR="001920BB" w:rsidRPr="00A34388">
        <w:rPr>
          <w:lang w:val="es-ES_tradnl"/>
        </w:rPr>
        <w:t xml:space="preserve">trilateral </w:t>
      </w:r>
      <w:r w:rsidRPr="00A34388">
        <w:rPr>
          <w:lang w:val="es-ES_tradnl"/>
        </w:rPr>
        <w:t>en</w:t>
      </w:r>
      <w:r w:rsidR="00392742">
        <w:rPr>
          <w:lang w:val="es-ES_tradnl"/>
        </w:rPr>
        <w:t>tre la OMC, la OMPI y la</w:t>
      </w:r>
      <w:r w:rsidR="00392742" w:rsidRPr="00392742">
        <w:rPr>
          <w:lang w:val="es-ES_tradnl"/>
        </w:rPr>
        <w:t xml:space="preserve"> </w:t>
      </w:r>
      <w:r w:rsidR="00392742">
        <w:rPr>
          <w:lang w:val="es-ES_tradnl"/>
        </w:rPr>
        <w:t>OMS.</w:t>
      </w:r>
    </w:p>
    <w:p w:rsidR="00671E2B" w:rsidRPr="00A34388" w:rsidRDefault="00671E2B" w:rsidP="00E32DB6">
      <w:pPr>
        <w:jc w:val="both"/>
        <w:rPr>
          <w:lang w:val="es-ES_tradnl"/>
        </w:rPr>
      </w:pPr>
    </w:p>
    <w:p w:rsidR="00E32DB6" w:rsidRPr="00A34388" w:rsidRDefault="00E32DB6" w:rsidP="00E32DB6">
      <w:pPr>
        <w:jc w:val="both"/>
        <w:rPr>
          <w:lang w:val="es-ES_tradnl"/>
        </w:rPr>
      </w:pPr>
      <w:r w:rsidRPr="00A34388">
        <w:rPr>
          <w:rFonts w:eastAsia="Batang"/>
          <w:lang w:val="es-ES_tradnl" w:eastAsia="ja-JP"/>
        </w:rPr>
        <w:t xml:space="preserve">En el marco de la serie de Seminarios de la OMPI sobre Desafíos Mundiales, </w:t>
      </w:r>
      <w:r w:rsidR="00891B82" w:rsidRPr="00A34388">
        <w:rPr>
          <w:rFonts w:eastAsia="Batang"/>
          <w:lang w:val="es-ES_tradnl" w:eastAsia="ja-JP"/>
        </w:rPr>
        <w:t xml:space="preserve">iniciada </w:t>
      </w:r>
      <w:r w:rsidRPr="00A34388">
        <w:rPr>
          <w:rFonts w:eastAsia="Batang"/>
          <w:lang w:val="es-ES_tradnl" w:eastAsia="ja-JP"/>
        </w:rPr>
        <w:t xml:space="preserve">en marzo de 2012, se organizaron </w:t>
      </w:r>
      <w:r w:rsidR="00DE04D6" w:rsidRPr="00A34388">
        <w:rPr>
          <w:rFonts w:eastAsia="Batang"/>
          <w:lang w:val="es-ES_tradnl" w:eastAsia="ja-JP"/>
        </w:rPr>
        <w:t xml:space="preserve">durante </w:t>
      </w:r>
      <w:r w:rsidR="00891B82" w:rsidRPr="00A34388">
        <w:rPr>
          <w:rFonts w:eastAsia="Batang"/>
          <w:lang w:val="es-ES_tradnl" w:eastAsia="ja-JP"/>
        </w:rPr>
        <w:t xml:space="preserve">el bienio </w:t>
      </w:r>
      <w:r w:rsidRPr="00A34388">
        <w:rPr>
          <w:rFonts w:eastAsia="Batang"/>
          <w:lang w:val="es-ES_tradnl" w:eastAsia="ja-JP"/>
        </w:rPr>
        <w:t xml:space="preserve">tres seminarios </w:t>
      </w:r>
      <w:r w:rsidR="001D7B21" w:rsidRPr="00A34388">
        <w:rPr>
          <w:rFonts w:eastAsia="Batang"/>
          <w:lang w:val="es-ES_tradnl" w:eastAsia="ja-JP"/>
        </w:rPr>
        <w:t xml:space="preserve">que </w:t>
      </w:r>
      <w:r w:rsidR="00392742">
        <w:rPr>
          <w:rFonts w:eastAsia="Batang"/>
          <w:lang w:val="es-ES_tradnl" w:eastAsia="ja-JP"/>
        </w:rPr>
        <w:t>constituyeron</w:t>
      </w:r>
      <w:r w:rsidR="001D7B21" w:rsidRPr="00A34388">
        <w:rPr>
          <w:rFonts w:eastAsia="Batang"/>
          <w:lang w:val="es-ES_tradnl" w:eastAsia="ja-JP"/>
        </w:rPr>
        <w:t xml:space="preserve"> un foro para que </w:t>
      </w:r>
      <w:r w:rsidR="00891B82" w:rsidRPr="00A34388">
        <w:rPr>
          <w:rFonts w:eastAsia="Batang"/>
          <w:lang w:val="es-ES_tradnl" w:eastAsia="ja-JP"/>
        </w:rPr>
        <w:t xml:space="preserve">los </w:t>
      </w:r>
      <w:r w:rsidR="001920BB" w:rsidRPr="00A34388">
        <w:rPr>
          <w:rFonts w:eastAsia="Batang"/>
          <w:lang w:val="es-ES_tradnl" w:eastAsia="ja-JP"/>
        </w:rPr>
        <w:t xml:space="preserve">participantes </w:t>
      </w:r>
      <w:r w:rsidR="001D7B21" w:rsidRPr="00A34388">
        <w:rPr>
          <w:rFonts w:eastAsia="Batang"/>
          <w:lang w:val="es-ES_tradnl" w:eastAsia="ja-JP"/>
        </w:rPr>
        <w:t xml:space="preserve">intercambiaran </w:t>
      </w:r>
      <w:r w:rsidRPr="00A34388">
        <w:rPr>
          <w:rFonts w:eastAsia="Batang"/>
          <w:lang w:val="es-ES_tradnl" w:eastAsia="ja-JP"/>
        </w:rPr>
        <w:t xml:space="preserve">ideas, </w:t>
      </w:r>
      <w:r w:rsidR="001D7B21" w:rsidRPr="00A34388">
        <w:rPr>
          <w:rFonts w:eastAsia="Batang"/>
          <w:lang w:val="es-ES_tradnl" w:eastAsia="ja-JP"/>
        </w:rPr>
        <w:t xml:space="preserve">experiencias </w:t>
      </w:r>
      <w:r w:rsidRPr="00A34388">
        <w:rPr>
          <w:rFonts w:eastAsia="Batang"/>
          <w:lang w:val="es-ES_tradnl" w:eastAsia="ja-JP"/>
        </w:rPr>
        <w:t xml:space="preserve">e información </w:t>
      </w:r>
      <w:r w:rsidR="00891B82" w:rsidRPr="00A34388">
        <w:rPr>
          <w:rFonts w:eastAsia="Batang"/>
          <w:lang w:val="es-ES_tradnl" w:eastAsia="ja-JP"/>
        </w:rPr>
        <w:t xml:space="preserve">relacionadas con cada uno de los tres ámbitos de actuación </w:t>
      </w:r>
      <w:r w:rsidR="00DE04D6" w:rsidRPr="00A34388">
        <w:rPr>
          <w:rFonts w:eastAsia="Batang"/>
          <w:lang w:val="es-ES_tradnl" w:eastAsia="ja-JP"/>
        </w:rPr>
        <w:t xml:space="preserve">clave </w:t>
      </w:r>
      <w:r w:rsidR="00891B82" w:rsidRPr="00A34388">
        <w:rPr>
          <w:rFonts w:eastAsia="Batang"/>
          <w:lang w:val="es-ES_tradnl" w:eastAsia="ja-JP"/>
        </w:rPr>
        <w:t>del programa</w:t>
      </w:r>
      <w:r w:rsidRPr="00A34388">
        <w:rPr>
          <w:bCs/>
          <w:iCs/>
          <w:lang w:val="es-ES_tradnl"/>
        </w:rPr>
        <w:t>.</w:t>
      </w:r>
    </w:p>
    <w:p w:rsidR="00E32DB6" w:rsidRPr="00A34388" w:rsidRDefault="00E32DB6" w:rsidP="00E32DB6">
      <w:pPr>
        <w:jc w:val="both"/>
        <w:rPr>
          <w:bCs/>
          <w:iCs/>
          <w:lang w:val="es-ES_tradnl"/>
        </w:rPr>
      </w:pPr>
    </w:p>
    <w:p w:rsidR="00E32DB6" w:rsidRPr="00A34388" w:rsidRDefault="00E32DB6" w:rsidP="00E32DB6">
      <w:pPr>
        <w:jc w:val="both"/>
        <w:rPr>
          <w:bCs/>
          <w:iCs/>
          <w:lang w:val="es-ES_tradnl"/>
        </w:rPr>
      </w:pPr>
      <w:r w:rsidRPr="00332758">
        <w:rPr>
          <w:bCs/>
          <w:iCs/>
          <w:lang w:val="es-ES_tradnl"/>
        </w:rPr>
        <w:t xml:space="preserve">Asimismo, en 2012 se obtuvieron avances significativos en el marco del </w:t>
      </w:r>
      <w:r w:rsidRPr="00332758">
        <w:rPr>
          <w:bCs/>
          <w:i/>
          <w:iCs/>
          <w:lang w:val="es-ES_tradnl"/>
        </w:rPr>
        <w:t xml:space="preserve">WIPO </w:t>
      </w:r>
      <w:proofErr w:type="spellStart"/>
      <w:r w:rsidRPr="00332758">
        <w:rPr>
          <w:bCs/>
          <w:i/>
          <w:iCs/>
          <w:lang w:val="es-ES_tradnl"/>
        </w:rPr>
        <w:t>Re</w:t>
      </w:r>
      <w:proofErr w:type="gramStart"/>
      <w:r w:rsidRPr="00332758">
        <w:rPr>
          <w:bCs/>
          <w:i/>
          <w:iCs/>
          <w:lang w:val="es-ES_tradnl"/>
        </w:rPr>
        <w:t>:Search</w:t>
      </w:r>
      <w:proofErr w:type="spellEnd"/>
      <w:proofErr w:type="gramEnd"/>
      <w:r w:rsidRPr="00332758">
        <w:rPr>
          <w:bCs/>
          <w:iCs/>
          <w:lang w:val="es-ES_tradnl"/>
        </w:rPr>
        <w:t>, un consorcio en el que participan una amplia gama de instituciones del sector privado y público de países desarrollados y en desarrollo, que brinda acceso exento de regalías a activos de P.I. para estimular nueva I+D sobre las enfermedades tropicales desatendidas, la tuberculosis y el paludismo</w:t>
      </w:r>
      <w:r w:rsidRPr="00A34388">
        <w:rPr>
          <w:bCs/>
          <w:iCs/>
          <w:lang w:val="es-ES_tradnl"/>
        </w:rPr>
        <w:t xml:space="preserve">.  </w:t>
      </w:r>
      <w:r w:rsidR="005F5C69" w:rsidRPr="00A34388">
        <w:rPr>
          <w:bCs/>
          <w:iCs/>
          <w:lang w:val="es-ES_tradnl"/>
        </w:rPr>
        <w:t>Este consorcio h</w:t>
      </w:r>
      <w:r w:rsidRPr="00A34388">
        <w:rPr>
          <w:bCs/>
          <w:iCs/>
          <w:lang w:val="es-ES_tradnl"/>
        </w:rPr>
        <w:t xml:space="preserve">a logrado </w:t>
      </w:r>
      <w:r w:rsidR="00FF7A9D" w:rsidRPr="00A34388">
        <w:rPr>
          <w:bCs/>
          <w:iCs/>
          <w:lang w:val="es-ES_tradnl"/>
        </w:rPr>
        <w:t>ser reconocid</w:t>
      </w:r>
      <w:r w:rsidR="00F81B8F" w:rsidRPr="00A34388">
        <w:rPr>
          <w:bCs/>
          <w:iCs/>
          <w:lang w:val="es-ES_tradnl"/>
        </w:rPr>
        <w:t>o</w:t>
      </w:r>
      <w:r w:rsidR="00FF7A9D" w:rsidRPr="00A34388">
        <w:rPr>
          <w:bCs/>
          <w:iCs/>
          <w:lang w:val="es-ES_tradnl"/>
        </w:rPr>
        <w:t xml:space="preserve"> </w:t>
      </w:r>
      <w:r w:rsidRPr="00A34388">
        <w:rPr>
          <w:bCs/>
          <w:iCs/>
          <w:lang w:val="es-ES_tradnl"/>
        </w:rPr>
        <w:t xml:space="preserve">como plataforma, sumando 30 nuevos miembros y once </w:t>
      </w:r>
      <w:r w:rsidR="007D3BBF" w:rsidRPr="00A34388">
        <w:rPr>
          <w:bCs/>
          <w:iCs/>
          <w:lang w:val="es-ES_tradnl"/>
        </w:rPr>
        <w:t>acuerdos</w:t>
      </w:r>
      <w:r w:rsidRPr="00A34388">
        <w:rPr>
          <w:bCs/>
          <w:iCs/>
          <w:lang w:val="es-ES_tradnl"/>
        </w:rPr>
        <w:t xml:space="preserve"> de </w:t>
      </w:r>
      <w:r w:rsidR="005F5C69" w:rsidRPr="00A34388">
        <w:rPr>
          <w:bCs/>
          <w:iCs/>
          <w:lang w:val="es-ES_tradnl"/>
        </w:rPr>
        <w:t xml:space="preserve">investigación en colaboración </w:t>
      </w:r>
      <w:r w:rsidRPr="00A34388">
        <w:rPr>
          <w:bCs/>
          <w:iCs/>
          <w:lang w:val="es-ES_tradnl"/>
        </w:rPr>
        <w:t xml:space="preserve">en 2012, </w:t>
      </w:r>
      <w:r w:rsidR="007D3BBF" w:rsidRPr="00A34388">
        <w:rPr>
          <w:bCs/>
          <w:iCs/>
          <w:lang w:val="es-ES_tradnl"/>
        </w:rPr>
        <w:t>así como</w:t>
      </w:r>
      <w:r w:rsidRPr="00A34388">
        <w:rPr>
          <w:bCs/>
          <w:iCs/>
          <w:lang w:val="es-ES_tradnl"/>
        </w:rPr>
        <w:t xml:space="preserve"> 19 nuevos miembros y 33 nuevos acuerdos de investigación en 2013.  Con ello, al final del bienio, el </w:t>
      </w:r>
      <w:r w:rsidR="00F81B8F" w:rsidRPr="00A34388">
        <w:rPr>
          <w:bCs/>
          <w:iCs/>
          <w:lang w:val="es-ES_tradnl"/>
        </w:rPr>
        <w:t xml:space="preserve">número total </w:t>
      </w:r>
      <w:r w:rsidRPr="00A34388">
        <w:rPr>
          <w:bCs/>
          <w:iCs/>
          <w:lang w:val="es-ES_tradnl"/>
        </w:rPr>
        <w:t xml:space="preserve">de miembros </w:t>
      </w:r>
      <w:r w:rsidR="00F81B8F" w:rsidRPr="00A34388">
        <w:rPr>
          <w:bCs/>
          <w:iCs/>
          <w:lang w:val="es-ES_tradnl"/>
        </w:rPr>
        <w:t xml:space="preserve">ascendía a </w:t>
      </w:r>
      <w:r w:rsidRPr="00A34388">
        <w:rPr>
          <w:bCs/>
          <w:iCs/>
          <w:lang w:val="es-ES_tradnl"/>
        </w:rPr>
        <w:t xml:space="preserve">80 y el de </w:t>
      </w:r>
      <w:r w:rsidR="00F81B8F" w:rsidRPr="00A34388">
        <w:rPr>
          <w:bCs/>
          <w:iCs/>
          <w:lang w:val="es-ES_tradnl"/>
        </w:rPr>
        <w:t xml:space="preserve">colaboraciones </w:t>
      </w:r>
      <w:r w:rsidR="007D3BBF" w:rsidRPr="00A34388">
        <w:rPr>
          <w:bCs/>
          <w:iCs/>
          <w:lang w:val="es-ES_tradnl"/>
        </w:rPr>
        <w:t>a</w:t>
      </w:r>
      <w:r w:rsidRPr="00A34388">
        <w:rPr>
          <w:bCs/>
          <w:iCs/>
          <w:lang w:val="es-ES_tradnl"/>
        </w:rPr>
        <w:t xml:space="preserve"> 44; </w:t>
      </w:r>
      <w:r w:rsidR="007D3BBF" w:rsidRPr="00A34388">
        <w:rPr>
          <w:bCs/>
          <w:iCs/>
          <w:lang w:val="es-ES_tradnl"/>
        </w:rPr>
        <w:t xml:space="preserve"> </w:t>
      </w:r>
      <w:r w:rsidRPr="00A34388">
        <w:rPr>
          <w:bCs/>
          <w:iCs/>
          <w:lang w:val="es-ES_tradnl"/>
        </w:rPr>
        <w:t xml:space="preserve">en </w:t>
      </w:r>
      <w:r w:rsidR="0016160D" w:rsidRPr="00A34388">
        <w:rPr>
          <w:bCs/>
          <w:iCs/>
          <w:lang w:val="es-ES_tradnl"/>
        </w:rPr>
        <w:t xml:space="preserve">términos de </w:t>
      </w:r>
      <w:r w:rsidRPr="00A34388">
        <w:rPr>
          <w:bCs/>
          <w:iCs/>
          <w:lang w:val="es-ES_tradnl"/>
        </w:rPr>
        <w:t xml:space="preserve">número de miembros, ello </w:t>
      </w:r>
      <w:r w:rsidR="00F81B8F" w:rsidRPr="00A34388">
        <w:rPr>
          <w:bCs/>
          <w:iCs/>
          <w:lang w:val="es-ES_tradnl"/>
        </w:rPr>
        <w:t xml:space="preserve">supuso </w:t>
      </w:r>
      <w:r w:rsidRPr="00A34388">
        <w:rPr>
          <w:bCs/>
          <w:iCs/>
          <w:lang w:val="es-ES_tradnl"/>
        </w:rPr>
        <w:t>un incremento del 260</w:t>
      </w:r>
      <w:r w:rsidR="00392DEF" w:rsidRPr="00A34388">
        <w:rPr>
          <w:bCs/>
          <w:iCs/>
          <w:lang w:val="es-ES_tradnl"/>
        </w:rPr>
        <w:t>%</w:t>
      </w:r>
      <w:r w:rsidRPr="00A34388">
        <w:rPr>
          <w:bCs/>
          <w:iCs/>
          <w:lang w:val="es-ES_tradnl"/>
        </w:rPr>
        <w:t xml:space="preserve"> desde la puesta en marcha de</w:t>
      </w:r>
      <w:r w:rsidR="0016160D" w:rsidRPr="00A34388">
        <w:rPr>
          <w:bCs/>
          <w:iCs/>
          <w:lang w:val="es-ES_tradnl"/>
        </w:rPr>
        <w:t xml:space="preserve">l consorcio </w:t>
      </w:r>
      <w:r w:rsidRPr="00A34388">
        <w:rPr>
          <w:bCs/>
          <w:iCs/>
          <w:lang w:val="es-ES_tradnl"/>
        </w:rPr>
        <w:t xml:space="preserve">en octubre de 2011.  </w:t>
      </w:r>
      <w:r w:rsidRPr="00332758">
        <w:rPr>
          <w:bCs/>
          <w:iCs/>
          <w:lang w:val="es-ES_tradnl"/>
        </w:rPr>
        <w:t xml:space="preserve">Por otra parte, entre los Miembros del </w:t>
      </w:r>
      <w:r w:rsidRPr="00332758">
        <w:rPr>
          <w:bCs/>
          <w:i/>
          <w:iCs/>
          <w:lang w:val="es-ES_tradnl"/>
        </w:rPr>
        <w:t xml:space="preserve">WIPO </w:t>
      </w:r>
      <w:proofErr w:type="spellStart"/>
      <w:r w:rsidRPr="00332758">
        <w:rPr>
          <w:bCs/>
          <w:i/>
          <w:iCs/>
          <w:lang w:val="es-ES_tradnl"/>
        </w:rPr>
        <w:t>Re</w:t>
      </w:r>
      <w:proofErr w:type="gramStart"/>
      <w:r w:rsidRPr="00332758">
        <w:rPr>
          <w:bCs/>
          <w:i/>
          <w:iCs/>
          <w:lang w:val="es-ES_tradnl"/>
        </w:rPr>
        <w:t>:Search</w:t>
      </w:r>
      <w:proofErr w:type="spellEnd"/>
      <w:proofErr w:type="gramEnd"/>
      <w:r w:rsidRPr="00332758">
        <w:rPr>
          <w:bCs/>
          <w:i/>
          <w:iCs/>
          <w:lang w:val="es-ES_tradnl"/>
        </w:rPr>
        <w:t xml:space="preserve"> </w:t>
      </w:r>
      <w:r w:rsidRPr="00332758">
        <w:rPr>
          <w:bCs/>
          <w:iCs/>
          <w:lang w:val="es-ES_tradnl"/>
        </w:rPr>
        <w:t xml:space="preserve">se encuentran </w:t>
      </w:r>
      <w:r w:rsidR="00C248A9" w:rsidRPr="00332758">
        <w:rPr>
          <w:bCs/>
          <w:iCs/>
          <w:lang w:val="es-ES_tradnl"/>
        </w:rPr>
        <w:t>15</w:t>
      </w:r>
      <w:r w:rsidRPr="00332758">
        <w:rPr>
          <w:bCs/>
          <w:iCs/>
          <w:lang w:val="es-ES_tradnl"/>
        </w:rPr>
        <w:t xml:space="preserve"> países de África, lo que adquiere una relevancia especial en el marco de los objetivos de política más amplios formulados en la A.D</w:t>
      </w:r>
      <w:r w:rsidRPr="00A34388">
        <w:rPr>
          <w:bCs/>
          <w:iCs/>
          <w:lang w:val="es-ES_tradnl"/>
        </w:rPr>
        <w:t xml:space="preserve">.  </w:t>
      </w:r>
    </w:p>
    <w:p w:rsidR="00197073" w:rsidRDefault="00197073" w:rsidP="003F11A0">
      <w:pPr>
        <w:jc w:val="both"/>
        <w:rPr>
          <w:iCs/>
          <w:lang w:val="es-ES_tradnl"/>
        </w:rPr>
      </w:pPr>
    </w:p>
    <w:p w:rsidR="003F11A0" w:rsidRPr="003F11A0" w:rsidRDefault="003F11A0" w:rsidP="003F11A0">
      <w:pPr>
        <w:jc w:val="both"/>
        <w:rPr>
          <w:iCs/>
          <w:lang w:val="es-ES_tradnl"/>
        </w:rPr>
      </w:pPr>
    </w:p>
    <w:p w:rsidR="00197073" w:rsidRPr="00332758" w:rsidRDefault="00197073" w:rsidP="003F11A0">
      <w:pPr>
        <w:jc w:val="both"/>
        <w:rPr>
          <w:b/>
          <w:iCs/>
          <w:lang w:val="es-ES_tradnl"/>
        </w:rPr>
      </w:pPr>
      <w:r w:rsidRPr="00332758">
        <w:rPr>
          <w:b/>
          <w:iCs/>
          <w:lang w:val="es-ES_tradnl"/>
        </w:rPr>
        <w:t>Meta estratégica VIII</w:t>
      </w:r>
      <w:proofErr w:type="gramStart"/>
      <w:r w:rsidRPr="00332758">
        <w:rPr>
          <w:b/>
          <w:iCs/>
          <w:lang w:val="es-ES_tradnl"/>
        </w:rPr>
        <w:t>:  Comunicación</w:t>
      </w:r>
      <w:proofErr w:type="gramEnd"/>
      <w:r w:rsidRPr="00332758">
        <w:rPr>
          <w:b/>
          <w:iCs/>
          <w:lang w:val="es-ES_tradnl"/>
        </w:rPr>
        <w:t xml:space="preserve"> eficaz entre la OMPI, sus Estados miembros y todas las partes interesadas.</w:t>
      </w:r>
    </w:p>
    <w:p w:rsidR="00197073" w:rsidRPr="00A34388" w:rsidRDefault="00197073" w:rsidP="003F11A0">
      <w:pPr>
        <w:jc w:val="both"/>
        <w:rPr>
          <w:i/>
          <w:iCs/>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197073">
      <w:pPr>
        <w:jc w:val="center"/>
        <w:rPr>
          <w:b/>
          <w:sz w:val="18"/>
          <w:szCs w:val="18"/>
          <w:lang w:val="es-ES_tradnl"/>
        </w:rPr>
      </w:pPr>
    </w:p>
    <w:p w:rsidR="005E68A3" w:rsidRDefault="005E68A3" w:rsidP="00197073">
      <w:pPr>
        <w:jc w:val="center"/>
        <w:rPr>
          <w:b/>
          <w:sz w:val="18"/>
          <w:szCs w:val="18"/>
          <w:lang w:val="es-ES_tradnl"/>
        </w:rPr>
      </w:pPr>
      <w:r>
        <w:rPr>
          <w:b/>
          <w:noProof/>
          <w:sz w:val="18"/>
          <w:szCs w:val="18"/>
        </w:rPr>
        <w:drawing>
          <wp:inline distT="0" distB="0" distL="0" distR="0" wp14:anchorId="6B5E1392" wp14:editId="1321BA4F">
            <wp:extent cx="5943600" cy="2546027"/>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8551" cy="2548148"/>
                    </a:xfrm>
                    <a:prstGeom prst="rect">
                      <a:avLst/>
                    </a:prstGeom>
                    <a:noFill/>
                  </pic:spPr>
                </pic:pic>
              </a:graphicData>
            </a:graphic>
          </wp:inline>
        </w:drawing>
      </w:r>
    </w:p>
    <w:p w:rsidR="005E68A3" w:rsidRPr="003F11A0" w:rsidRDefault="005E68A3" w:rsidP="003F11A0">
      <w:pPr>
        <w:rPr>
          <w:szCs w:val="20"/>
          <w:lang w:val="es-ES_tradnl"/>
        </w:rPr>
      </w:pPr>
    </w:p>
    <w:p w:rsidR="003230BA" w:rsidRPr="00A34388" w:rsidRDefault="003230BA">
      <w:pPr>
        <w:rPr>
          <w:b/>
          <w:szCs w:val="20"/>
          <w:lang w:val="es-ES_tradnl"/>
        </w:rPr>
      </w:pPr>
      <w:r w:rsidRPr="00A34388">
        <w:rPr>
          <w:b/>
          <w:szCs w:val="20"/>
          <w:lang w:val="es-ES_tradnl"/>
        </w:rPr>
        <w:br w:type="page"/>
      </w:r>
    </w:p>
    <w:p w:rsidR="003F11A0" w:rsidRPr="003F11A0" w:rsidRDefault="003F11A0" w:rsidP="003F11A0">
      <w:pPr>
        <w:rPr>
          <w:szCs w:val="20"/>
          <w:lang w:val="es-ES_tradnl"/>
        </w:rPr>
      </w:pPr>
    </w:p>
    <w:p w:rsidR="00197073" w:rsidRPr="00A34388" w:rsidRDefault="00197073" w:rsidP="00197073">
      <w:pPr>
        <w:jc w:val="center"/>
        <w:rPr>
          <w:b/>
          <w:szCs w:val="20"/>
          <w:lang w:val="es-ES_tradnl"/>
        </w:rPr>
      </w:pPr>
      <w:r w:rsidRPr="00A34388">
        <w:rPr>
          <w:b/>
          <w:szCs w:val="20"/>
          <w:lang w:val="es-ES_tradnl"/>
        </w:rPr>
        <w:t>Cuadro sobre el rendimiento bienal</w:t>
      </w:r>
    </w:p>
    <w:p w:rsidR="00197073" w:rsidRPr="003F11A0" w:rsidRDefault="00197073" w:rsidP="003F11A0">
      <w:pPr>
        <w:rPr>
          <w:szCs w:val="20"/>
          <w:lang w:val="es-ES_tradnl"/>
        </w:rPr>
      </w:pPr>
    </w:p>
    <w:p w:rsidR="00C535EB"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C535EB" w:rsidRPr="00A34388">
        <w:rPr>
          <w:rFonts w:cs="Arial"/>
          <w:lang w:val="es-ES_tradnl"/>
        </w:rPr>
        <w:t xml:space="preserve">los programas </w:t>
      </w:r>
      <w:r w:rsidR="00DE04D6" w:rsidRPr="00A34388">
        <w:rPr>
          <w:rFonts w:cs="Arial"/>
          <w:lang w:val="es-ES_tradnl"/>
        </w:rPr>
        <w:t>que contribuyen a esta meta estratégica</w:t>
      </w:r>
      <w:r w:rsidR="003242C1" w:rsidRPr="00A34388">
        <w:rPr>
          <w:rFonts w:cs="Arial"/>
          <w:lang w:val="es-ES_tradnl"/>
        </w:rPr>
        <w:t>.</w:t>
      </w:r>
    </w:p>
    <w:p w:rsidR="00C14248" w:rsidRPr="001F1848" w:rsidRDefault="00C14248" w:rsidP="00C14248">
      <w:pPr>
        <w:widowControl w:val="0"/>
        <w:rPr>
          <w:szCs w:val="20"/>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236"/>
      </w:tblGrid>
      <w:tr w:rsidR="00C14248" w:rsidRPr="00A34388" w:rsidTr="00DA1567">
        <w:tc>
          <w:tcPr>
            <w:tcW w:w="2704" w:type="dxa"/>
            <w:tcBorders>
              <w:top w:val="single" w:sz="4" w:space="0" w:color="auto"/>
              <w:bottom w:val="single" w:sz="4" w:space="0" w:color="auto"/>
            </w:tcBorders>
            <w:shd w:val="clear" w:color="auto" w:fill="CCFFFF"/>
            <w:vAlign w:val="center"/>
          </w:tcPr>
          <w:p w:rsidR="00C14248" w:rsidRPr="00A34388" w:rsidRDefault="00C14248" w:rsidP="00DA1567">
            <w:pPr>
              <w:widowControl w:val="0"/>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4173" w:type="dxa"/>
            <w:tcBorders>
              <w:top w:val="single" w:sz="4" w:space="0" w:color="auto"/>
              <w:bottom w:val="single" w:sz="4" w:space="0" w:color="auto"/>
            </w:tcBorders>
            <w:shd w:val="clear" w:color="auto" w:fill="CCFFFF"/>
            <w:vAlign w:val="center"/>
          </w:tcPr>
          <w:p w:rsidR="00C14248" w:rsidRPr="00A34388" w:rsidRDefault="00C14248" w:rsidP="00DA1567">
            <w:pPr>
              <w:widowControl w:val="0"/>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253" w:type="dxa"/>
            <w:tcBorders>
              <w:top w:val="single" w:sz="4" w:space="0" w:color="auto"/>
              <w:bottom w:val="single" w:sz="4" w:space="0" w:color="auto"/>
            </w:tcBorders>
            <w:shd w:val="clear" w:color="auto" w:fill="CCFFFF"/>
            <w:vAlign w:val="center"/>
          </w:tcPr>
          <w:p w:rsidR="00C14248" w:rsidRPr="00A34388" w:rsidRDefault="00C14248" w:rsidP="00DA1567">
            <w:pPr>
              <w:widowControl w:val="0"/>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236" w:type="dxa"/>
            <w:tcBorders>
              <w:top w:val="single" w:sz="4" w:space="0" w:color="auto"/>
              <w:bottom w:val="single" w:sz="4" w:space="0" w:color="auto"/>
            </w:tcBorders>
            <w:shd w:val="clear" w:color="auto" w:fill="CCFFFF"/>
            <w:vAlign w:val="center"/>
          </w:tcPr>
          <w:p w:rsidR="00C14248" w:rsidRPr="00332758" w:rsidRDefault="00C14248" w:rsidP="00DA1567">
            <w:pPr>
              <w:widowControl w:val="0"/>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DA1567">
        <w:tc>
          <w:tcPr>
            <w:tcW w:w="2704" w:type="dxa"/>
            <w:vMerge w:val="restart"/>
            <w:tcBorders>
              <w:top w:val="single" w:sz="4" w:space="0" w:color="auto"/>
            </w:tcBorders>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Comunicación más eficaz con el público en general acerca de la P.I. y la función de la OMPI. </w:t>
            </w:r>
          </w:p>
        </w:tc>
        <w:tc>
          <w:tcPr>
            <w:tcW w:w="4173" w:type="dxa"/>
            <w:tcBorders>
              <w:top w:val="single" w:sz="4" w:space="0" w:color="auto"/>
            </w:tcBorders>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Número de artículos de prensa sobre la labor de la OMPI.</w:t>
            </w:r>
          </w:p>
        </w:tc>
        <w:tc>
          <w:tcPr>
            <w:tcW w:w="1253" w:type="dxa"/>
            <w:tcBorders>
              <w:top w:val="single" w:sz="4" w:space="0" w:color="auto"/>
            </w:tcBorders>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Borders>
              <w:top w:val="single" w:sz="4" w:space="0" w:color="auto"/>
            </w:tcBorders>
          </w:tcPr>
          <w:p w:rsidR="00C14248" w:rsidRPr="000B4241" w:rsidRDefault="00C14248" w:rsidP="00DA1567">
            <w:pPr>
              <w:widowControl w:val="0"/>
              <w:spacing w:before="20"/>
              <w:jc w:val="center"/>
              <w:rPr>
                <w:rFonts w:cs="Arial"/>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Tasa de disponibilidad de las principales publicaciones de la OMPI en todos los idiomas oficiales de las NN.UU.</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Promedio de visualizaciones por vídeo de la OMPI en YouTube </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Promedio de descargas por publicación de la OMPI. </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Número de países que comunican que han organizado eventos y actividades con motivo del Día Mundial de la Propiedad Intelectual. </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Número de peticiones de información externas atendidas por la Biblioteca de la OMPI.</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Porcentaje de opiniones favorables de las partes interesadas sobre la misión, las actividades y la imagen institucional de la OMPI. </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val="restart"/>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Mejora en la prestación de servicios y la atención de consultas.</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Índice de satisfacción de los clientes y partes interesadas.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Tiempo de atención de las solicitudes de información gestionadas mediante el sistema de identificación (</w:t>
            </w:r>
            <w:proofErr w:type="spellStart"/>
            <w:r w:rsidRPr="00332758">
              <w:rPr>
                <w:rFonts w:cs="Arial"/>
                <w:sz w:val="14"/>
                <w:szCs w:val="14"/>
                <w:lang w:val="es-ES_tradnl"/>
              </w:rPr>
              <w:t>ticketing</w:t>
            </w:r>
            <w:proofErr w:type="spellEnd"/>
            <w:r w:rsidRPr="00332758">
              <w:rPr>
                <w:rFonts w:cs="Arial"/>
                <w:sz w:val="14"/>
                <w:szCs w:val="14"/>
                <w:lang w:val="es-ES_tradnl"/>
              </w:rPr>
              <w:t xml:space="preserve"> </w:t>
            </w:r>
            <w:proofErr w:type="spellStart"/>
            <w:r w:rsidRPr="00332758">
              <w:rPr>
                <w:rFonts w:cs="Arial"/>
                <w:sz w:val="14"/>
                <w:szCs w:val="14"/>
                <w:lang w:val="es-ES_tradnl"/>
              </w:rPr>
              <w:t>system</w:t>
            </w:r>
            <w:proofErr w:type="spellEnd"/>
            <w:r w:rsidRPr="00332758">
              <w:rPr>
                <w:rFonts w:cs="Arial"/>
                <w:sz w:val="14"/>
                <w:szCs w:val="14"/>
                <w:lang w:val="es-ES_tradnl"/>
              </w:rPr>
              <w:t>).</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19</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val="restart"/>
            <w:shd w:val="clear" w:color="auto" w:fill="auto"/>
            <w:tcMar>
              <w:top w:w="113" w:type="dxa"/>
            </w:tcMar>
          </w:tcPr>
          <w:p w:rsidR="00C14248" w:rsidRPr="00332758" w:rsidRDefault="00C14248" w:rsidP="00DA1567">
            <w:pPr>
              <w:widowControl w:val="0"/>
              <w:spacing w:before="80"/>
              <w:rPr>
                <w:rFonts w:cs="Arial"/>
                <w:sz w:val="14"/>
                <w:szCs w:val="14"/>
                <w:lang w:val="es-ES_tradnl"/>
              </w:rPr>
            </w:pPr>
            <w:r w:rsidRPr="00332758">
              <w:rPr>
                <w:rFonts w:cs="Arial"/>
                <w:sz w:val="14"/>
                <w:szCs w:val="14"/>
                <w:lang w:val="es-ES_tradnl"/>
              </w:rPr>
              <w:t>La OMPI participa y colabora eficazmente en los procesos y negociaciones de las NN.UU. y otras OIG.</w:t>
            </w:r>
          </w:p>
          <w:p w:rsidR="00C14248" w:rsidRPr="00332758" w:rsidRDefault="00C14248" w:rsidP="00DA1567">
            <w:pPr>
              <w:widowControl w:val="0"/>
              <w:spacing w:before="80"/>
              <w:ind w:firstLine="140"/>
              <w:rPr>
                <w:rFonts w:cs="Arial"/>
                <w:sz w:val="14"/>
                <w:szCs w:val="14"/>
                <w:lang w:val="es-ES_tradnl"/>
              </w:rPr>
            </w:pPr>
            <w:r w:rsidRPr="00332758">
              <w:rPr>
                <w:rFonts w:cs="Arial"/>
                <w:sz w:val="14"/>
                <w:szCs w:val="14"/>
                <w:lang w:val="es-ES_tradnl"/>
              </w:rPr>
              <w:t xml:space="preserve"> </w:t>
            </w:r>
          </w:p>
          <w:p w:rsidR="00C14248" w:rsidRPr="00332758" w:rsidRDefault="00C14248" w:rsidP="00DA1567">
            <w:pPr>
              <w:widowControl w:val="0"/>
              <w:spacing w:before="80"/>
              <w:ind w:firstLine="140"/>
              <w:rPr>
                <w:rFonts w:cs="Arial"/>
                <w:sz w:val="14"/>
                <w:szCs w:val="14"/>
                <w:lang w:val="es-ES_tradnl"/>
              </w:rPr>
            </w:pPr>
            <w:r w:rsidRPr="00332758">
              <w:rPr>
                <w:rFonts w:cs="Arial"/>
                <w:sz w:val="14"/>
                <w:szCs w:val="14"/>
                <w:lang w:val="es-ES_tradnl"/>
              </w:rPr>
              <w:t xml:space="preserve"> </w:t>
            </w:r>
          </w:p>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Utilización de las aportaciones de la OMPI en informes, resoluciones y documentos de procesos de las partes interesadas.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spacing w:before="2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Comentarios recibidos sobre la aportación o participación de la OMPI en los procesos y foros de las Naciones Unidas y otras OIG.</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spacing w:before="20"/>
              <w:jc w:val="center"/>
              <w:rPr>
                <w:sz w:val="22"/>
                <w:szCs w:val="22"/>
              </w:rPr>
            </w:pPr>
            <w:r w:rsidRPr="000B4241">
              <w:rPr>
                <w:rFonts w:cs="Arial"/>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Porcentaje de respuestas cursadas puntualmente atendiendo a peticiones externas de aportación por parte de las NN.UU., OIG, etc.</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Número de actividades o planes de trabajo comunes emprendidos y examinados con arreglo a acuerdos concertados con organizaciones asociadas (memorandos de entendimiento nuevos o vigentes suscritos con OIG).</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vMerge/>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Nuevas iniciativas conjuntas con otros organismos de las NN.UU.</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Intercambios abiertos, transparentes y dinámicos con las ONG.</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Número de reuniones informativas, reuniones y actividades organizadas para ONG.</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rPr>
                <w:rFonts w:cs="Arial"/>
                <w:color w:val="A6A6A6" w:themeColor="background1" w:themeShade="A6"/>
                <w:sz w:val="14"/>
                <w:szCs w:val="14"/>
                <w:lang w:val="es-ES_tradnl"/>
              </w:rPr>
            </w:pPr>
          </w:p>
        </w:tc>
        <w:tc>
          <w:tcPr>
            <w:tcW w:w="4173" w:type="dxa"/>
            <w:shd w:val="clear" w:color="auto" w:fill="auto"/>
            <w:tcMar>
              <w:top w:w="113" w:type="dxa"/>
            </w:tcMar>
          </w:tcPr>
          <w:p w:rsidR="00C14248" w:rsidRPr="00A34388" w:rsidRDefault="00C14248" w:rsidP="00DA1567">
            <w:pPr>
              <w:widowControl w:val="0"/>
              <w:rPr>
                <w:rFonts w:cs="Arial"/>
                <w:color w:val="A6A6A6" w:themeColor="background1" w:themeShade="A6"/>
                <w:sz w:val="14"/>
                <w:szCs w:val="14"/>
                <w:lang w:val="es-ES_tradnl"/>
              </w:rPr>
            </w:pPr>
            <w:r w:rsidRPr="00332758">
              <w:rPr>
                <w:rFonts w:cs="Arial"/>
                <w:sz w:val="14"/>
                <w:szCs w:val="14"/>
                <w:lang w:val="es-ES_tradnl"/>
              </w:rPr>
              <w:t>Número de reuniones informativas, reuniones y actividades organizadas para ONG de países en desarrollo y PMA.</w:t>
            </w:r>
          </w:p>
        </w:tc>
        <w:tc>
          <w:tcPr>
            <w:tcW w:w="1253" w:type="dxa"/>
            <w:shd w:val="clear" w:color="auto" w:fill="auto"/>
            <w:tcMar>
              <w:top w:w="113" w:type="dxa"/>
            </w:tcMar>
          </w:tcPr>
          <w:p w:rsidR="00C14248" w:rsidRPr="00332758" w:rsidRDefault="00C14248" w:rsidP="00DA1567">
            <w:pPr>
              <w:widowControl w:val="0"/>
              <w:jc w:val="center"/>
              <w:rPr>
                <w:rFonts w:cs="Arial"/>
                <w:sz w:val="14"/>
                <w:szCs w:val="14"/>
                <w:lang w:val="es-ES_tradnl"/>
              </w:rPr>
            </w:pPr>
            <w:r w:rsidRPr="00332758">
              <w:rPr>
                <w:rFonts w:cs="Arial"/>
                <w:sz w:val="14"/>
                <w:szCs w:val="14"/>
                <w:lang w:val="es-ES_tradnl"/>
              </w:rPr>
              <w:t>Programa 20</w:t>
            </w:r>
          </w:p>
        </w:tc>
        <w:tc>
          <w:tcPr>
            <w:tcW w:w="1236" w:type="dxa"/>
          </w:tcPr>
          <w:p w:rsidR="00C14248" w:rsidRPr="000B4241" w:rsidRDefault="00C14248" w:rsidP="00DA1567">
            <w:pPr>
              <w:widowControl w:val="0"/>
              <w:jc w:val="center"/>
              <w:rPr>
                <w:color w:val="00B050"/>
                <w:sz w:val="22"/>
                <w:szCs w:val="22"/>
              </w:rPr>
            </w:pPr>
            <w:r w:rsidRPr="000B4241">
              <w:rPr>
                <w:rFonts w:cs="Arial"/>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 xml:space="preserve">Atención eficaz a los Estados miembros.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Porcentaje de sesiones de Comité precedidas de reuniones informativas para los Estados miembros.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Porcentaje de cartas dirigidas al Director General por los Estados miembros que han obtenido respuesta en el plazo de dos semanas.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spacing w:before="8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A34388" w:rsidRDefault="00C14248" w:rsidP="00DA1567">
            <w:pPr>
              <w:widowControl w:val="0"/>
              <w:spacing w:before="80"/>
              <w:rPr>
                <w:rFonts w:cs="Arial"/>
                <w:color w:val="A6A6A6" w:themeColor="background1" w:themeShade="A6"/>
                <w:sz w:val="14"/>
                <w:szCs w:val="14"/>
                <w:lang w:val="es-ES_tradnl"/>
              </w:rPr>
            </w:pPr>
            <w:r w:rsidRPr="00332758">
              <w:rPr>
                <w:rFonts w:cs="Arial"/>
                <w:sz w:val="14"/>
                <w:szCs w:val="14"/>
                <w:lang w:val="es-ES_tradnl"/>
              </w:rPr>
              <w:t>Índice de satisfacción de los Estados miembros respecto de la preparación y funcionamiento de las Asambleas.</w:t>
            </w: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r w:rsidR="00C14248" w:rsidRPr="00A34388" w:rsidTr="00DA1567">
        <w:tc>
          <w:tcPr>
            <w:tcW w:w="2704" w:type="dxa"/>
            <w:shd w:val="clear" w:color="auto" w:fill="auto"/>
            <w:tcMar>
              <w:top w:w="113" w:type="dxa"/>
            </w:tcMar>
          </w:tcPr>
          <w:p w:rsidR="00C14248" w:rsidRPr="00A34388" w:rsidRDefault="00C14248" w:rsidP="00DA1567">
            <w:pPr>
              <w:widowControl w:val="0"/>
              <w:ind w:firstLine="140"/>
              <w:rPr>
                <w:rFonts w:cs="Arial"/>
                <w:color w:val="A6A6A6" w:themeColor="background1" w:themeShade="A6"/>
                <w:sz w:val="14"/>
                <w:szCs w:val="14"/>
                <w:lang w:val="es-ES_tradnl"/>
              </w:rPr>
            </w:pPr>
            <w:r w:rsidRPr="00332758">
              <w:rPr>
                <w:rFonts w:cs="Arial"/>
                <w:sz w:val="14"/>
                <w:szCs w:val="14"/>
                <w:lang w:val="es-ES_tradnl"/>
              </w:rPr>
              <w:t xml:space="preserve"> </w:t>
            </w:r>
          </w:p>
        </w:tc>
        <w:tc>
          <w:tcPr>
            <w:tcW w:w="4173" w:type="dxa"/>
            <w:shd w:val="clear" w:color="auto" w:fill="auto"/>
            <w:tcMar>
              <w:top w:w="113" w:type="dxa"/>
            </w:tcMar>
          </w:tcPr>
          <w:p w:rsidR="00C14248" w:rsidRPr="00332758" w:rsidRDefault="00C14248" w:rsidP="00DA1567">
            <w:pPr>
              <w:widowControl w:val="0"/>
              <w:spacing w:before="80"/>
              <w:rPr>
                <w:rFonts w:cs="Arial"/>
                <w:sz w:val="14"/>
                <w:szCs w:val="14"/>
                <w:lang w:val="es-ES_tradnl"/>
              </w:rPr>
            </w:pPr>
            <w:r w:rsidRPr="00332758">
              <w:rPr>
                <w:rFonts w:cs="Arial"/>
                <w:sz w:val="14"/>
                <w:szCs w:val="14"/>
                <w:lang w:val="es-ES_tradnl"/>
              </w:rPr>
              <w:t>Publicación puntual de los documentos de las Asambleas.</w:t>
            </w:r>
          </w:p>
          <w:p w:rsidR="00C14248" w:rsidRPr="00A34388" w:rsidRDefault="00C14248" w:rsidP="00DA1567">
            <w:pPr>
              <w:widowControl w:val="0"/>
              <w:spacing w:before="80"/>
              <w:rPr>
                <w:rFonts w:cs="Arial"/>
                <w:color w:val="A6A6A6" w:themeColor="background1" w:themeShade="A6"/>
                <w:sz w:val="14"/>
                <w:szCs w:val="14"/>
                <w:lang w:val="es-ES_tradnl"/>
              </w:rPr>
            </w:pPr>
          </w:p>
        </w:tc>
        <w:tc>
          <w:tcPr>
            <w:tcW w:w="1253" w:type="dxa"/>
            <w:shd w:val="clear" w:color="auto" w:fill="auto"/>
            <w:tcMar>
              <w:top w:w="113" w:type="dxa"/>
            </w:tcMar>
          </w:tcPr>
          <w:p w:rsidR="00C14248" w:rsidRPr="00332758" w:rsidRDefault="00C14248" w:rsidP="00DA1567">
            <w:pPr>
              <w:widowControl w:val="0"/>
              <w:spacing w:before="80"/>
              <w:jc w:val="center"/>
              <w:rPr>
                <w:rFonts w:cs="Arial"/>
                <w:sz w:val="14"/>
                <w:szCs w:val="14"/>
                <w:lang w:val="es-ES_tradnl"/>
              </w:rPr>
            </w:pPr>
            <w:r w:rsidRPr="00332758">
              <w:rPr>
                <w:rFonts w:cs="Arial"/>
                <w:sz w:val="14"/>
                <w:szCs w:val="14"/>
                <w:lang w:val="es-ES_tradnl"/>
              </w:rPr>
              <w:t>Programa 21</w:t>
            </w:r>
          </w:p>
        </w:tc>
        <w:tc>
          <w:tcPr>
            <w:tcW w:w="1236" w:type="dxa"/>
          </w:tcPr>
          <w:p w:rsidR="00C14248" w:rsidRPr="000B4241" w:rsidRDefault="00C14248" w:rsidP="00DA1567">
            <w:pPr>
              <w:widowControl w:val="0"/>
              <w:jc w:val="center"/>
              <w:rPr>
                <w:color w:val="008000"/>
                <w:sz w:val="22"/>
                <w:szCs w:val="22"/>
              </w:rPr>
            </w:pPr>
            <w:r w:rsidRPr="000B4241">
              <w:rPr>
                <w:rFonts w:cs="Arial"/>
                <w:color w:val="008000"/>
                <w:sz w:val="22"/>
                <w:szCs w:val="22"/>
              </w:rPr>
              <w:sym w:font="Wingdings" w:char="F06C"/>
            </w:r>
          </w:p>
        </w:tc>
      </w:tr>
    </w:tbl>
    <w:p w:rsidR="00C14248" w:rsidRPr="00A34388" w:rsidRDefault="00C14248" w:rsidP="00C14248">
      <w:pPr>
        <w:widowControl w:val="0"/>
        <w:jc w:val="both"/>
        <w:rPr>
          <w:i/>
          <w:iCs/>
          <w:lang w:val="es-ES_tradnl"/>
        </w:rPr>
      </w:pPr>
    </w:p>
    <w:p w:rsidR="00D42C49" w:rsidRPr="00A34388" w:rsidRDefault="00D42C49" w:rsidP="003F11A0">
      <w:pPr>
        <w:jc w:val="both"/>
        <w:rPr>
          <w:lang w:val="es-ES_tradnl"/>
        </w:rPr>
      </w:pPr>
      <w:r w:rsidRPr="00A34388">
        <w:rPr>
          <w:lang w:val="es-ES_tradnl"/>
        </w:rPr>
        <w:t xml:space="preserve">La OMPI siguió avanzando en relación con varios </w:t>
      </w:r>
      <w:r w:rsidR="00190516" w:rsidRPr="00A34388">
        <w:rPr>
          <w:lang w:val="es-ES_tradnl"/>
        </w:rPr>
        <w:t xml:space="preserve">importantes </w:t>
      </w:r>
      <w:r w:rsidRPr="00A34388">
        <w:rPr>
          <w:lang w:val="es-ES_tradnl"/>
        </w:rPr>
        <w:t xml:space="preserve">proyectos estratégicos de mejora sobre comunicaciones por Internet, identidad institucional, servicio al cliente y comunicaciones internas, que </w:t>
      </w:r>
      <w:r w:rsidR="00FF7A9D" w:rsidRPr="00A34388">
        <w:rPr>
          <w:lang w:val="es-ES_tradnl"/>
        </w:rPr>
        <w:t xml:space="preserve">han ayudado </w:t>
      </w:r>
      <w:r w:rsidRPr="00A34388">
        <w:rPr>
          <w:lang w:val="es-ES_tradnl"/>
        </w:rPr>
        <w:t xml:space="preserve">a mejorar la calidad, </w:t>
      </w:r>
      <w:r w:rsidR="006C201F" w:rsidRPr="00A34388">
        <w:rPr>
          <w:lang w:val="es-ES_tradnl"/>
        </w:rPr>
        <w:t xml:space="preserve">la </w:t>
      </w:r>
      <w:r w:rsidRPr="00A34388">
        <w:rPr>
          <w:lang w:val="es-ES_tradnl"/>
        </w:rPr>
        <w:t xml:space="preserve">facilidad de </w:t>
      </w:r>
      <w:r w:rsidR="00FF7A9D" w:rsidRPr="00A34388">
        <w:rPr>
          <w:lang w:val="es-ES_tradnl"/>
        </w:rPr>
        <w:t xml:space="preserve">uso </w:t>
      </w:r>
      <w:r w:rsidRPr="00A34388">
        <w:rPr>
          <w:lang w:val="es-ES_tradnl"/>
        </w:rPr>
        <w:t xml:space="preserve">y </w:t>
      </w:r>
      <w:r w:rsidR="006C201F" w:rsidRPr="00A34388">
        <w:rPr>
          <w:lang w:val="es-ES_tradnl"/>
        </w:rPr>
        <w:t xml:space="preserve">el </w:t>
      </w:r>
      <w:r w:rsidRPr="00A34388">
        <w:rPr>
          <w:lang w:val="es-ES_tradnl"/>
        </w:rPr>
        <w:t xml:space="preserve">suministro de </w:t>
      </w:r>
      <w:r w:rsidR="00FF7A9D" w:rsidRPr="00A34388">
        <w:rPr>
          <w:lang w:val="es-ES_tradnl"/>
        </w:rPr>
        <w:t xml:space="preserve">los </w:t>
      </w:r>
      <w:r w:rsidRPr="00A34388">
        <w:rPr>
          <w:lang w:val="es-ES_tradnl"/>
        </w:rPr>
        <w:t>contenidos de la OMPI</w:t>
      </w:r>
      <w:r w:rsidR="00392742">
        <w:rPr>
          <w:lang w:val="es-ES_tradnl"/>
        </w:rPr>
        <w:t>,</w:t>
      </w:r>
      <w:r w:rsidRPr="00A34388">
        <w:rPr>
          <w:lang w:val="es-ES_tradnl"/>
        </w:rPr>
        <w:t xml:space="preserve"> </w:t>
      </w:r>
      <w:r w:rsidR="009979FA" w:rsidRPr="00A34388">
        <w:rPr>
          <w:lang w:val="es-ES_tradnl"/>
        </w:rPr>
        <w:lastRenderedPageBreak/>
        <w:t xml:space="preserve">ampliado </w:t>
      </w:r>
      <w:r w:rsidRPr="00A34388">
        <w:rPr>
          <w:lang w:val="es-ES_tradnl"/>
        </w:rPr>
        <w:t xml:space="preserve">la </w:t>
      </w:r>
      <w:r w:rsidR="00FF7A9D" w:rsidRPr="00A34388">
        <w:rPr>
          <w:lang w:val="es-ES_tradnl"/>
        </w:rPr>
        <w:t xml:space="preserve">comprensión que se tiene </w:t>
      </w:r>
      <w:r w:rsidRPr="00A34388">
        <w:rPr>
          <w:lang w:val="es-ES_tradnl"/>
        </w:rPr>
        <w:t xml:space="preserve">acerca de la labor e </w:t>
      </w:r>
      <w:r w:rsidR="00CD2134" w:rsidRPr="00A34388">
        <w:rPr>
          <w:lang w:val="es-ES_tradnl"/>
        </w:rPr>
        <w:t>imagen</w:t>
      </w:r>
      <w:r w:rsidRPr="00A34388">
        <w:rPr>
          <w:lang w:val="es-ES_tradnl"/>
        </w:rPr>
        <w:t xml:space="preserve"> institucional de la OMPI</w:t>
      </w:r>
      <w:r w:rsidR="00392742">
        <w:rPr>
          <w:lang w:val="es-ES_tradnl"/>
        </w:rPr>
        <w:t>,</w:t>
      </w:r>
      <w:r w:rsidR="00CD2134" w:rsidRPr="00A34388">
        <w:rPr>
          <w:lang w:val="es-ES_tradnl"/>
        </w:rPr>
        <w:t xml:space="preserve"> </w:t>
      </w:r>
      <w:r w:rsidRPr="00A34388">
        <w:rPr>
          <w:lang w:val="es-ES_tradnl"/>
        </w:rPr>
        <w:t>y genera</w:t>
      </w:r>
      <w:r w:rsidR="009979FA" w:rsidRPr="00A34388">
        <w:rPr>
          <w:lang w:val="es-ES_tradnl"/>
        </w:rPr>
        <w:t>do</w:t>
      </w:r>
      <w:r w:rsidRPr="00A34388">
        <w:rPr>
          <w:lang w:val="es-ES_tradnl"/>
        </w:rPr>
        <w:t xml:space="preserve"> una cultura propia en materia de comunicación y servicios.  Gracias a las nuevas estrategias sobre medios sociales, en el bienio 2012/13 aumentó de manera exponencial el número de personas de todo el mundo que accedieron a contenidos exclusivos de la OMPI.</w:t>
      </w:r>
    </w:p>
    <w:p w:rsidR="00D42C49" w:rsidRPr="00A34388" w:rsidRDefault="00D42C49" w:rsidP="003F11A0">
      <w:pPr>
        <w:jc w:val="both"/>
        <w:rPr>
          <w:lang w:val="es-ES_tradnl"/>
        </w:rPr>
      </w:pPr>
    </w:p>
    <w:p w:rsidR="00D42C49" w:rsidRPr="00A34388" w:rsidRDefault="00D42C49" w:rsidP="00D42C49">
      <w:pPr>
        <w:autoSpaceDE w:val="0"/>
        <w:autoSpaceDN w:val="0"/>
        <w:adjustRightInd w:val="0"/>
        <w:jc w:val="both"/>
        <w:rPr>
          <w:lang w:val="es-ES_tradnl"/>
        </w:rPr>
      </w:pPr>
      <w:r w:rsidRPr="00A34388">
        <w:rPr>
          <w:lang w:val="es-ES_tradnl"/>
        </w:rPr>
        <w:t xml:space="preserve">Un destacable </w:t>
      </w:r>
      <w:r w:rsidR="00CD2134" w:rsidRPr="00A34388">
        <w:rPr>
          <w:lang w:val="es-ES_tradnl"/>
        </w:rPr>
        <w:t>logro alcanzado</w:t>
      </w:r>
      <w:r w:rsidRPr="00A34388">
        <w:rPr>
          <w:lang w:val="es-ES_tradnl"/>
        </w:rPr>
        <w:t xml:space="preserve"> durante el bienio </w:t>
      </w:r>
      <w:r w:rsidR="00656ED0" w:rsidRPr="00A34388">
        <w:rPr>
          <w:lang w:val="es-ES_tradnl"/>
        </w:rPr>
        <w:t xml:space="preserve">fue </w:t>
      </w:r>
      <w:r w:rsidRPr="00A34388">
        <w:rPr>
          <w:lang w:val="es-ES_tradnl"/>
        </w:rPr>
        <w:t>la</w:t>
      </w:r>
      <w:r w:rsidR="00CD2134" w:rsidRPr="00A34388">
        <w:rPr>
          <w:lang w:val="es-ES_tradnl"/>
        </w:rPr>
        <w:t xml:space="preserve"> </w:t>
      </w:r>
      <w:r w:rsidR="006C201F" w:rsidRPr="00A34388">
        <w:rPr>
          <w:lang w:val="es-ES_tradnl"/>
        </w:rPr>
        <w:t xml:space="preserve">entrada en </w:t>
      </w:r>
      <w:r w:rsidR="003F11A0">
        <w:rPr>
          <w:lang w:val="es-ES_tradnl"/>
        </w:rPr>
        <w:t>funcionamiento, en noviembre de </w:t>
      </w:r>
      <w:r w:rsidR="006C201F" w:rsidRPr="00A34388">
        <w:rPr>
          <w:lang w:val="es-ES_tradnl"/>
        </w:rPr>
        <w:t xml:space="preserve">2013, de la versión completamente remodelada </w:t>
      </w:r>
      <w:r w:rsidR="00CD2134" w:rsidRPr="00A34388">
        <w:rPr>
          <w:lang w:val="es-ES_tradnl"/>
        </w:rPr>
        <w:t>del sitio Web de la OMPI</w:t>
      </w:r>
      <w:r w:rsidRPr="00A34388">
        <w:rPr>
          <w:lang w:val="es-ES_tradnl"/>
        </w:rPr>
        <w:t xml:space="preserve">, </w:t>
      </w:r>
      <w:r w:rsidR="009979FA" w:rsidRPr="00A34388">
        <w:rPr>
          <w:lang w:val="es-ES_tradnl"/>
        </w:rPr>
        <w:t xml:space="preserve">la cual </w:t>
      </w:r>
      <w:r w:rsidRPr="00A34388">
        <w:rPr>
          <w:lang w:val="es-ES_tradnl"/>
        </w:rPr>
        <w:t xml:space="preserve">ha </w:t>
      </w:r>
      <w:r w:rsidR="009979FA" w:rsidRPr="00A34388">
        <w:rPr>
          <w:lang w:val="es-ES_tradnl"/>
        </w:rPr>
        <w:t xml:space="preserve">merecido </w:t>
      </w:r>
      <w:r w:rsidRPr="00A34388">
        <w:rPr>
          <w:lang w:val="es-ES_tradnl"/>
        </w:rPr>
        <w:t xml:space="preserve">una cantidad abrumadora de elogios por parte de los usuarios.  </w:t>
      </w:r>
      <w:r w:rsidR="00656ED0" w:rsidRPr="00A34388">
        <w:rPr>
          <w:lang w:val="es-ES_tradnl"/>
        </w:rPr>
        <w:t xml:space="preserve">Una </w:t>
      </w:r>
      <w:r w:rsidRPr="00A34388">
        <w:rPr>
          <w:lang w:val="es-ES_tradnl"/>
        </w:rPr>
        <w:t xml:space="preserve">de las mejoras de contenidos </w:t>
      </w:r>
      <w:r w:rsidR="006C201F" w:rsidRPr="00A34388">
        <w:rPr>
          <w:lang w:val="es-ES_tradnl"/>
        </w:rPr>
        <w:t xml:space="preserve">que mejor acogida </w:t>
      </w:r>
      <w:r w:rsidR="009979FA" w:rsidRPr="00A34388">
        <w:rPr>
          <w:lang w:val="es-ES_tradnl"/>
        </w:rPr>
        <w:t xml:space="preserve">han tenido </w:t>
      </w:r>
      <w:r w:rsidRPr="00A34388">
        <w:rPr>
          <w:lang w:val="es-ES_tradnl"/>
        </w:rPr>
        <w:t xml:space="preserve">ha sido la de las nuevas páginas de perfiles de países de la OMPI, que </w:t>
      </w:r>
      <w:r w:rsidR="00CD2134" w:rsidRPr="00A34388">
        <w:rPr>
          <w:lang w:val="es-ES_tradnl"/>
        </w:rPr>
        <w:t>alojan contenidos dinámicos sobre más de 190 países</w:t>
      </w:r>
      <w:r w:rsidR="00392742">
        <w:rPr>
          <w:lang w:val="es-ES_tradnl"/>
        </w:rPr>
        <w:t>,</w:t>
      </w:r>
      <w:r w:rsidR="00CD2134" w:rsidRPr="00A34388">
        <w:rPr>
          <w:lang w:val="es-ES_tradnl"/>
        </w:rPr>
        <w:t xml:space="preserve"> procedentes de alrededor de veinte bases de datos de la Organización</w:t>
      </w:r>
      <w:r w:rsidR="00392742">
        <w:rPr>
          <w:lang w:val="es-ES_tradnl"/>
        </w:rPr>
        <w:t>.</w:t>
      </w:r>
    </w:p>
    <w:p w:rsidR="00D42C49" w:rsidRPr="00A34388" w:rsidRDefault="00D42C49" w:rsidP="00D42C49">
      <w:pPr>
        <w:jc w:val="both"/>
        <w:rPr>
          <w:sz w:val="16"/>
          <w:szCs w:val="16"/>
          <w:lang w:val="es-ES_tradnl"/>
        </w:rPr>
      </w:pPr>
    </w:p>
    <w:p w:rsidR="00D42C49" w:rsidRPr="00A34388" w:rsidRDefault="00D42C49" w:rsidP="00D42C49">
      <w:pPr>
        <w:autoSpaceDE w:val="0"/>
        <w:autoSpaceDN w:val="0"/>
        <w:adjustRightInd w:val="0"/>
        <w:jc w:val="both"/>
        <w:rPr>
          <w:lang w:val="es-ES_tradnl"/>
        </w:rPr>
      </w:pPr>
      <w:r w:rsidRPr="00A34388">
        <w:rPr>
          <w:lang w:val="es-ES_tradnl"/>
        </w:rPr>
        <w:t xml:space="preserve">La estrategia mejorada de la OMPI </w:t>
      </w:r>
      <w:r w:rsidR="00656ED0" w:rsidRPr="00A34388">
        <w:rPr>
          <w:lang w:val="es-ES_tradnl"/>
        </w:rPr>
        <w:t xml:space="preserve">sobre </w:t>
      </w:r>
      <w:r w:rsidRPr="00A34388">
        <w:rPr>
          <w:lang w:val="es-ES_tradnl"/>
        </w:rPr>
        <w:t xml:space="preserve">medios sociales, puesta en marcha en marzo de 2012, ha permitido establecer un contacto directo con las partes interesadas y </w:t>
      </w:r>
      <w:r w:rsidR="008F2101" w:rsidRPr="00A34388">
        <w:rPr>
          <w:lang w:val="es-ES_tradnl"/>
        </w:rPr>
        <w:t>mejorar el suministro de contenidos</w:t>
      </w:r>
      <w:r w:rsidRPr="00A34388">
        <w:rPr>
          <w:lang w:val="es-ES_tradnl"/>
        </w:rPr>
        <w:t xml:space="preserve"> de la OMPI a un público más amplio y especializado.  El número total de consultas a fotografías de la OMPI en </w:t>
      </w:r>
      <w:proofErr w:type="spellStart"/>
      <w:r w:rsidRPr="00A34388">
        <w:rPr>
          <w:lang w:val="es-ES_tradnl"/>
        </w:rPr>
        <w:t>Flickr</w:t>
      </w:r>
      <w:proofErr w:type="spellEnd"/>
      <w:r w:rsidRPr="00A34388">
        <w:rPr>
          <w:lang w:val="es-ES_tradnl"/>
        </w:rPr>
        <w:t xml:space="preserve"> </w:t>
      </w:r>
      <w:r w:rsidR="00A40807" w:rsidRPr="00A34388">
        <w:rPr>
          <w:lang w:val="es-ES_tradnl"/>
        </w:rPr>
        <w:t xml:space="preserve">se incrementó </w:t>
      </w:r>
      <w:r w:rsidRPr="00A34388">
        <w:rPr>
          <w:lang w:val="es-ES_tradnl"/>
        </w:rPr>
        <w:t xml:space="preserve">desde las 150.000 registradas a finales de 2012 hasta más de 900.000 al </w:t>
      </w:r>
      <w:r w:rsidR="006C201F" w:rsidRPr="00A34388">
        <w:rPr>
          <w:lang w:val="es-ES_tradnl"/>
        </w:rPr>
        <w:t xml:space="preserve">concluir </w:t>
      </w:r>
      <w:r w:rsidRPr="00A34388">
        <w:rPr>
          <w:lang w:val="es-ES_tradnl"/>
        </w:rPr>
        <w:t xml:space="preserve">2013.  Durante el bienio, se crearon un total de 122 nuevos videos para el sitio web y el canal de la OMPI en YouTube, con más contenidos de tipo periodístico y noticias sobre la </w:t>
      </w:r>
      <w:r w:rsidR="008F2101" w:rsidRPr="00A34388">
        <w:rPr>
          <w:lang w:val="es-ES_tradnl"/>
        </w:rPr>
        <w:t>P.I.</w:t>
      </w:r>
      <w:r w:rsidRPr="00A34388">
        <w:rPr>
          <w:lang w:val="es-ES_tradnl"/>
        </w:rPr>
        <w:t>, a</w:t>
      </w:r>
      <w:r w:rsidR="008F2101" w:rsidRPr="00A34388">
        <w:rPr>
          <w:lang w:val="es-ES_tradnl"/>
        </w:rPr>
        <w:t xml:space="preserve">demás de </w:t>
      </w:r>
      <w:r w:rsidRPr="00A34388">
        <w:rPr>
          <w:lang w:val="es-ES_tradnl"/>
        </w:rPr>
        <w:t>vídeos didácticos y presentaciones.  Las cifras de visit</w:t>
      </w:r>
      <w:r w:rsidR="008F2101" w:rsidRPr="00A34388">
        <w:rPr>
          <w:lang w:val="es-ES_tradnl"/>
        </w:rPr>
        <w:t xml:space="preserve">antes </w:t>
      </w:r>
      <w:r w:rsidRPr="00A34388">
        <w:rPr>
          <w:lang w:val="es-ES_tradnl"/>
        </w:rPr>
        <w:t>se dispararon gracias a la incorporación de las animaciones de “</w:t>
      </w:r>
      <w:proofErr w:type="spellStart"/>
      <w:r w:rsidRPr="00A34388">
        <w:rPr>
          <w:lang w:val="es-ES_tradnl"/>
        </w:rPr>
        <w:t>Pororo</w:t>
      </w:r>
      <w:proofErr w:type="spellEnd"/>
      <w:r w:rsidRPr="00A34388">
        <w:rPr>
          <w:lang w:val="es-ES_tradnl"/>
        </w:rPr>
        <w:t xml:space="preserve">” para niños (más de 3,8 millones de visitas), </w:t>
      </w:r>
      <w:r w:rsidR="00656ED0" w:rsidRPr="00A34388">
        <w:rPr>
          <w:lang w:val="es-ES_tradnl"/>
        </w:rPr>
        <w:t xml:space="preserve">concluyéndose </w:t>
      </w:r>
      <w:r w:rsidRPr="00A34388">
        <w:rPr>
          <w:lang w:val="es-ES_tradnl"/>
        </w:rPr>
        <w:t xml:space="preserve">el bienio con un aumento exponencial </w:t>
      </w:r>
      <w:r w:rsidR="00245196" w:rsidRPr="00A34388">
        <w:rPr>
          <w:lang w:val="es-ES_tradnl"/>
        </w:rPr>
        <w:t>d</w:t>
      </w:r>
      <w:r w:rsidRPr="00A34388">
        <w:rPr>
          <w:lang w:val="es-ES_tradnl"/>
        </w:rPr>
        <w:t>el total de visitas al canal de la OMPI superior al 2.900</w:t>
      </w:r>
      <w:r w:rsidR="00392DEF" w:rsidRPr="00A34388">
        <w:rPr>
          <w:lang w:val="es-ES_tradnl"/>
        </w:rPr>
        <w:t>%</w:t>
      </w:r>
      <w:r w:rsidRPr="00A34388">
        <w:rPr>
          <w:lang w:val="es-ES_tradnl"/>
        </w:rPr>
        <w:t xml:space="preserve"> </w:t>
      </w:r>
      <w:r w:rsidR="00656ED0" w:rsidRPr="00A34388">
        <w:rPr>
          <w:lang w:val="es-ES_tradnl"/>
        </w:rPr>
        <w:t xml:space="preserve">con </w:t>
      </w:r>
      <w:r w:rsidRPr="00A34388">
        <w:rPr>
          <w:lang w:val="es-ES_tradnl"/>
        </w:rPr>
        <w:t xml:space="preserve">respecto </w:t>
      </w:r>
      <w:r w:rsidR="00656ED0" w:rsidRPr="00A34388">
        <w:rPr>
          <w:lang w:val="es-ES_tradnl"/>
        </w:rPr>
        <w:t xml:space="preserve">al término de </w:t>
      </w:r>
      <w:r w:rsidRPr="00A34388">
        <w:rPr>
          <w:lang w:val="es-ES_tradnl"/>
        </w:rPr>
        <w:t>2011.</w:t>
      </w:r>
    </w:p>
    <w:p w:rsidR="00D42C49" w:rsidRPr="00A34388" w:rsidRDefault="00D42C49" w:rsidP="00D42C49">
      <w:pPr>
        <w:autoSpaceDE w:val="0"/>
        <w:autoSpaceDN w:val="0"/>
        <w:adjustRightInd w:val="0"/>
        <w:jc w:val="both"/>
        <w:rPr>
          <w:lang w:val="es-ES_tradnl"/>
        </w:rPr>
      </w:pPr>
    </w:p>
    <w:p w:rsidR="00D42C49" w:rsidRPr="00A34388" w:rsidRDefault="00D42C49" w:rsidP="00D42C49">
      <w:pPr>
        <w:autoSpaceDE w:val="0"/>
        <w:autoSpaceDN w:val="0"/>
        <w:adjustRightInd w:val="0"/>
        <w:jc w:val="both"/>
        <w:rPr>
          <w:lang w:val="es-ES_tradnl"/>
        </w:rPr>
      </w:pPr>
      <w:r w:rsidRPr="00A34388">
        <w:rPr>
          <w:lang w:val="es-ES_tradnl"/>
        </w:rPr>
        <w:t>Para el Día Mundial de la P</w:t>
      </w:r>
      <w:r w:rsidR="008F2101" w:rsidRPr="00A34388">
        <w:rPr>
          <w:lang w:val="es-ES_tradnl"/>
        </w:rPr>
        <w:t>.I.</w:t>
      </w:r>
      <w:r w:rsidRPr="00A34388">
        <w:rPr>
          <w:lang w:val="es-ES_tradnl"/>
        </w:rPr>
        <w:t xml:space="preserve">, </w:t>
      </w:r>
      <w:r w:rsidR="008F2101" w:rsidRPr="00A34388">
        <w:rPr>
          <w:lang w:val="es-ES_tradnl"/>
        </w:rPr>
        <w:t xml:space="preserve">que es la actividad de divulgación más relevante que realiza la OMPI de carácter anual, la Organización </w:t>
      </w:r>
      <w:r w:rsidRPr="00A34388">
        <w:rPr>
          <w:lang w:val="es-ES_tradnl"/>
        </w:rPr>
        <w:t xml:space="preserve">intensificó </w:t>
      </w:r>
      <w:r w:rsidR="00A40807" w:rsidRPr="00A34388">
        <w:rPr>
          <w:lang w:val="es-ES_tradnl"/>
        </w:rPr>
        <w:t xml:space="preserve">el recurso por su parte a </w:t>
      </w:r>
      <w:r w:rsidRPr="00A34388">
        <w:rPr>
          <w:lang w:val="es-ES_tradnl"/>
        </w:rPr>
        <w:t xml:space="preserve">los medios sociales </w:t>
      </w:r>
      <w:r w:rsidR="00A40807" w:rsidRPr="00A34388">
        <w:rPr>
          <w:lang w:val="es-ES_tradnl"/>
        </w:rPr>
        <w:t xml:space="preserve">con vistas a </w:t>
      </w:r>
      <w:r w:rsidR="004B685C" w:rsidRPr="00A34388">
        <w:rPr>
          <w:lang w:val="es-ES_tradnl"/>
        </w:rPr>
        <w:t xml:space="preserve">conseguir involucrar </w:t>
      </w:r>
      <w:r w:rsidRPr="00A34388">
        <w:rPr>
          <w:lang w:val="es-ES_tradnl"/>
        </w:rPr>
        <w:t xml:space="preserve">a un público lo más amplio posible y reforzar </w:t>
      </w:r>
      <w:r w:rsidR="004B685C" w:rsidRPr="00A34388">
        <w:rPr>
          <w:lang w:val="es-ES_tradnl"/>
        </w:rPr>
        <w:t xml:space="preserve">su </w:t>
      </w:r>
      <w:r w:rsidR="008F2101" w:rsidRPr="00A34388">
        <w:rPr>
          <w:lang w:val="es-ES_tradnl"/>
        </w:rPr>
        <w:t>adhesión</w:t>
      </w:r>
      <w:r w:rsidRPr="00A34388">
        <w:rPr>
          <w:lang w:val="es-ES_tradnl"/>
        </w:rPr>
        <w:t>.  En 2013, el número total de visitas a la página en F</w:t>
      </w:r>
      <w:r w:rsidR="008C44E3" w:rsidRPr="00A34388">
        <w:rPr>
          <w:lang w:val="es-ES_tradnl"/>
        </w:rPr>
        <w:t xml:space="preserve">acebook del Día Mundial de la P.I. duplicó con creces </w:t>
      </w:r>
      <w:r w:rsidRPr="00A34388">
        <w:rPr>
          <w:lang w:val="es-ES_tradnl"/>
        </w:rPr>
        <w:t xml:space="preserve">(375.000) </w:t>
      </w:r>
      <w:r w:rsidR="00245196" w:rsidRPr="00A34388">
        <w:rPr>
          <w:lang w:val="es-ES_tradnl"/>
        </w:rPr>
        <w:t xml:space="preserve">el registrado </w:t>
      </w:r>
      <w:r w:rsidRPr="00A34388">
        <w:rPr>
          <w:lang w:val="es-ES_tradnl"/>
        </w:rPr>
        <w:t xml:space="preserve">en 2012, y la mayoría de los “me gusta” </w:t>
      </w:r>
      <w:r w:rsidR="00656ED0" w:rsidRPr="00A34388">
        <w:rPr>
          <w:lang w:val="es-ES_tradnl"/>
        </w:rPr>
        <w:t xml:space="preserve">recibidos por </w:t>
      </w:r>
      <w:r w:rsidRPr="00A34388">
        <w:rPr>
          <w:lang w:val="es-ES_tradnl"/>
        </w:rPr>
        <w:t xml:space="preserve">la página </w:t>
      </w:r>
      <w:r w:rsidR="00656ED0" w:rsidRPr="00A34388">
        <w:rPr>
          <w:lang w:val="es-ES_tradnl"/>
        </w:rPr>
        <w:t xml:space="preserve">procedió </w:t>
      </w:r>
      <w:r w:rsidRPr="00A34388">
        <w:rPr>
          <w:lang w:val="es-ES_tradnl"/>
        </w:rPr>
        <w:t xml:space="preserve">de la </w:t>
      </w:r>
      <w:r w:rsidR="008C44E3" w:rsidRPr="00A34388">
        <w:rPr>
          <w:lang w:val="es-ES_tradnl"/>
        </w:rPr>
        <w:t>I</w:t>
      </w:r>
      <w:r w:rsidRPr="00A34388">
        <w:rPr>
          <w:lang w:val="es-ES_tradnl"/>
        </w:rPr>
        <w:t xml:space="preserve">ndia, los Estados Unidos de América, México, el Brasil y el Reino Unido.  El 26 de abril de 2013, el sitio web de la OMPI registró más del doble de visitas que en cualquier otro día de los doce meses anteriores.  Algunos de </w:t>
      </w:r>
      <w:r w:rsidR="00656ED0" w:rsidRPr="00A34388">
        <w:rPr>
          <w:lang w:val="es-ES_tradnl"/>
        </w:rPr>
        <w:t xml:space="preserve">sus </w:t>
      </w:r>
      <w:r w:rsidRPr="00A34388">
        <w:rPr>
          <w:lang w:val="es-ES_tradnl"/>
        </w:rPr>
        <w:t xml:space="preserve">contenidos </w:t>
      </w:r>
      <w:r w:rsidR="00656ED0" w:rsidRPr="00A34388">
        <w:rPr>
          <w:lang w:val="es-ES_tradnl"/>
        </w:rPr>
        <w:t xml:space="preserve">centrales </w:t>
      </w:r>
      <w:r w:rsidRPr="00A34388">
        <w:rPr>
          <w:lang w:val="es-ES_tradnl"/>
        </w:rPr>
        <w:t>fueron “Innovadores visionarios” y “Creatividad</w:t>
      </w:r>
      <w:proofErr w:type="gramStart"/>
      <w:r w:rsidRPr="00A34388">
        <w:rPr>
          <w:lang w:val="es-ES_tradnl"/>
        </w:rPr>
        <w:t>:  La</w:t>
      </w:r>
      <w:proofErr w:type="gramEnd"/>
      <w:r w:rsidRPr="00A34388">
        <w:rPr>
          <w:lang w:val="es-ES_tradnl"/>
        </w:rPr>
        <w:t xml:space="preserve"> nueva generación”, así como las exposiciones del Día </w:t>
      </w:r>
      <w:r w:rsidR="008C44E3" w:rsidRPr="00A34388">
        <w:rPr>
          <w:lang w:val="es-ES_tradnl"/>
        </w:rPr>
        <w:t xml:space="preserve">Mundial de la P.I. </w:t>
      </w:r>
      <w:r w:rsidRPr="00A34388">
        <w:rPr>
          <w:lang w:val="es-ES_tradnl"/>
        </w:rPr>
        <w:t xml:space="preserve">sobre las patentes de Steve Jobs (2012) y </w:t>
      </w:r>
      <w:r w:rsidR="006C201F" w:rsidRPr="00A34388">
        <w:rPr>
          <w:lang w:val="es-ES_tradnl"/>
        </w:rPr>
        <w:t xml:space="preserve">la </w:t>
      </w:r>
      <w:r w:rsidRPr="00A34388">
        <w:rPr>
          <w:lang w:val="es-ES_tradnl"/>
        </w:rPr>
        <w:t xml:space="preserve">impresión tridimensional (2013). </w:t>
      </w:r>
    </w:p>
    <w:p w:rsidR="00D42C49" w:rsidRPr="00A34388" w:rsidRDefault="00D42C49" w:rsidP="00D42C49">
      <w:pPr>
        <w:jc w:val="both"/>
        <w:rPr>
          <w:lang w:val="es-ES_tradnl"/>
        </w:rPr>
      </w:pPr>
    </w:p>
    <w:p w:rsidR="00D42C49" w:rsidRPr="00A34388" w:rsidRDefault="00D42C49" w:rsidP="00D42C49">
      <w:pPr>
        <w:autoSpaceDE w:val="0"/>
        <w:autoSpaceDN w:val="0"/>
        <w:adjustRightInd w:val="0"/>
        <w:jc w:val="both"/>
        <w:rPr>
          <w:lang w:val="es-ES_tradnl"/>
        </w:rPr>
      </w:pPr>
      <w:r w:rsidRPr="00332758">
        <w:rPr>
          <w:lang w:val="es-ES_tradnl"/>
        </w:rPr>
        <w:t>El empleo de un enfoque más integrado hacia la promoción de acontecimientos, productos y logros importantes ha permitido aumentar la visibilidad y el entendimiento del público hacia las actividades que realiza la OMPI.  Para ello, se hizo uso de una estructura más lógica para la transmisión de mensajes;  se elaboraron contenidos (editoriales, visuales y en Internet) originales y adaptados a cada caso en los seis idiomas;  se cultivaron las relaciones con la prensa y las partes interesadas;  se utilizó como portavoces a personalidades de renombre;  y se emplearon varios canales de difusión</w:t>
      </w:r>
      <w:r w:rsidRPr="00A34388">
        <w:rPr>
          <w:lang w:val="es-ES_tradnl"/>
        </w:rPr>
        <w:t xml:space="preserve">.  Durante el bienio, </w:t>
      </w:r>
      <w:r w:rsidR="00A40807" w:rsidRPr="00A34388">
        <w:rPr>
          <w:lang w:val="es-ES_tradnl"/>
        </w:rPr>
        <w:t>una serie de</w:t>
      </w:r>
      <w:r w:rsidR="00D24583" w:rsidRPr="00A34388">
        <w:rPr>
          <w:lang w:val="es-ES_tradnl"/>
        </w:rPr>
        <w:t xml:space="preserve"> acontecimientos</w:t>
      </w:r>
      <w:r w:rsidR="00A40807" w:rsidRPr="00A34388">
        <w:rPr>
          <w:lang w:val="es-ES_tradnl"/>
        </w:rPr>
        <w:t xml:space="preserve">, productos y resultados significativos, como la adopción de los dos nuevos tratados de la OMPI, la publicación de los informes de la Organización sobre P.I., de primer orden a nivel mundial, el importante hito que </w:t>
      </w:r>
      <w:r w:rsidR="009979FA" w:rsidRPr="00A34388">
        <w:rPr>
          <w:lang w:val="es-ES_tradnl"/>
        </w:rPr>
        <w:t xml:space="preserve">ha supuesto </w:t>
      </w:r>
      <w:r w:rsidR="00A40807" w:rsidRPr="00A34388">
        <w:rPr>
          <w:lang w:val="es-ES_tradnl"/>
        </w:rPr>
        <w:t>la extensión de la Base Mundial de Datos sobre Marcas y del sistema PATENTSCOPE, y la puesta en marcha de la iniciativa WIPO GREEN, merecieron un importante esfuerzo concertado de comunicación.</w:t>
      </w:r>
      <w:r w:rsidRPr="00A34388">
        <w:rPr>
          <w:lang w:val="es-ES_tradnl"/>
        </w:rPr>
        <w:t xml:space="preserve">  El </w:t>
      </w:r>
      <w:r w:rsidR="00A40807" w:rsidRPr="00A34388">
        <w:rPr>
          <w:lang w:val="es-ES_tradnl"/>
        </w:rPr>
        <w:t xml:space="preserve">enfoque </w:t>
      </w:r>
      <w:r w:rsidRPr="00A34388">
        <w:rPr>
          <w:lang w:val="es-ES_tradnl"/>
        </w:rPr>
        <w:t xml:space="preserve">integrado ha conseguido también que se dispare la cobertura </w:t>
      </w:r>
      <w:r w:rsidR="00A40807" w:rsidRPr="00A34388">
        <w:rPr>
          <w:lang w:val="es-ES_tradnl"/>
        </w:rPr>
        <w:t xml:space="preserve">por </w:t>
      </w:r>
      <w:r w:rsidRPr="00A34388">
        <w:rPr>
          <w:lang w:val="es-ES_tradnl"/>
        </w:rPr>
        <w:t>l</w:t>
      </w:r>
      <w:r w:rsidR="00385149" w:rsidRPr="00A34388">
        <w:rPr>
          <w:lang w:val="es-ES_tradnl"/>
        </w:rPr>
        <w:t xml:space="preserve">os medios internacionales </w:t>
      </w:r>
      <w:r w:rsidR="00A40807" w:rsidRPr="00A34388">
        <w:rPr>
          <w:lang w:val="es-ES_tradnl"/>
        </w:rPr>
        <w:t>de</w:t>
      </w:r>
      <w:r w:rsidR="00392742">
        <w:rPr>
          <w:lang w:val="es-ES_tradnl"/>
        </w:rPr>
        <w:t>l informe sobre</w:t>
      </w:r>
      <w:r w:rsidR="00A40807" w:rsidRPr="00A34388">
        <w:rPr>
          <w:lang w:val="es-ES_tradnl"/>
        </w:rPr>
        <w:t xml:space="preserve"> </w:t>
      </w:r>
      <w:r w:rsidRPr="00A34388">
        <w:rPr>
          <w:lang w:val="es-ES_tradnl"/>
        </w:rPr>
        <w:t xml:space="preserve">los </w:t>
      </w:r>
      <w:r w:rsidR="00392742" w:rsidRPr="00A34388">
        <w:rPr>
          <w:lang w:val="es-ES_tradnl"/>
        </w:rPr>
        <w:t xml:space="preserve">Indicadores </w:t>
      </w:r>
      <w:r w:rsidRPr="00A34388">
        <w:rPr>
          <w:lang w:val="es-ES_tradnl"/>
        </w:rPr>
        <w:t>mundiales de propiedad intelectual (</w:t>
      </w:r>
      <w:r w:rsidR="00A40807" w:rsidRPr="00A34388">
        <w:rPr>
          <w:lang w:val="es-ES_tradnl"/>
        </w:rPr>
        <w:t xml:space="preserve">incluyendo </w:t>
      </w:r>
      <w:r w:rsidRPr="00A34388">
        <w:rPr>
          <w:lang w:val="es-ES_tradnl"/>
        </w:rPr>
        <w:t xml:space="preserve">2,3 millones de impresiones potenciales del </w:t>
      </w:r>
      <w:proofErr w:type="spellStart"/>
      <w:r w:rsidR="00392742">
        <w:rPr>
          <w:lang w:val="es-ES_tradnl"/>
        </w:rPr>
        <w:t>tuit</w:t>
      </w:r>
      <w:proofErr w:type="spellEnd"/>
      <w:r w:rsidRPr="00A34388">
        <w:rPr>
          <w:lang w:val="es-ES_tradnl"/>
        </w:rPr>
        <w:t xml:space="preserve"> </w:t>
      </w:r>
      <w:r w:rsidR="00392742">
        <w:rPr>
          <w:lang w:val="es-ES_tradnl"/>
        </w:rPr>
        <w:t>principal</w:t>
      </w:r>
      <w:r w:rsidRPr="00A34388">
        <w:rPr>
          <w:lang w:val="es-ES_tradnl"/>
        </w:rPr>
        <w:t xml:space="preserve">) </w:t>
      </w:r>
      <w:r w:rsidR="00A40807" w:rsidRPr="00A34388">
        <w:rPr>
          <w:lang w:val="es-ES_tradnl"/>
        </w:rPr>
        <w:t>y d</w:t>
      </w:r>
      <w:r w:rsidRPr="00A34388">
        <w:rPr>
          <w:lang w:val="es-ES_tradnl"/>
        </w:rPr>
        <w:t xml:space="preserve">el Índice </w:t>
      </w:r>
      <w:r w:rsidR="00385149" w:rsidRPr="00A34388">
        <w:rPr>
          <w:lang w:val="es-ES_tradnl"/>
        </w:rPr>
        <w:t>M</w:t>
      </w:r>
      <w:r w:rsidRPr="00A34388">
        <w:rPr>
          <w:lang w:val="es-ES_tradnl"/>
        </w:rPr>
        <w:t xml:space="preserve">undial de </w:t>
      </w:r>
      <w:r w:rsidR="00385149" w:rsidRPr="00A34388">
        <w:rPr>
          <w:lang w:val="es-ES_tradnl"/>
        </w:rPr>
        <w:t>I</w:t>
      </w:r>
      <w:r w:rsidRPr="00A34388">
        <w:rPr>
          <w:lang w:val="es-ES_tradnl"/>
        </w:rPr>
        <w:t>nnovación (</w:t>
      </w:r>
      <w:r w:rsidR="00A40807" w:rsidRPr="00A34388">
        <w:rPr>
          <w:lang w:val="es-ES_tradnl"/>
        </w:rPr>
        <w:t xml:space="preserve">con </w:t>
      </w:r>
      <w:r w:rsidRPr="00A34388">
        <w:rPr>
          <w:lang w:val="es-ES_tradnl"/>
        </w:rPr>
        <w:t xml:space="preserve">más de 400 artículos </w:t>
      </w:r>
      <w:r w:rsidR="00541444" w:rsidRPr="00A34388">
        <w:rPr>
          <w:lang w:val="es-ES_tradnl"/>
        </w:rPr>
        <w:t xml:space="preserve">publicados </w:t>
      </w:r>
      <w:r w:rsidRPr="00A34388">
        <w:rPr>
          <w:lang w:val="es-ES_tradnl"/>
        </w:rPr>
        <w:t xml:space="preserve">en todo el mundo y un </w:t>
      </w:r>
      <w:r w:rsidR="00245196" w:rsidRPr="00A34388">
        <w:rPr>
          <w:lang w:val="es-ES_tradnl"/>
        </w:rPr>
        <w:t xml:space="preserve">crecimiento </w:t>
      </w:r>
      <w:r w:rsidR="00541444" w:rsidRPr="00A34388">
        <w:rPr>
          <w:lang w:val="es-ES_tradnl"/>
        </w:rPr>
        <w:t xml:space="preserve">en páginas vistas, en 2012 y 2013, superior al </w:t>
      </w:r>
      <w:r w:rsidRPr="00A34388">
        <w:rPr>
          <w:lang w:val="es-ES_tradnl"/>
        </w:rPr>
        <w:t>400</w:t>
      </w:r>
      <w:r w:rsidR="00392DEF" w:rsidRPr="00A34388">
        <w:rPr>
          <w:lang w:val="es-ES_tradnl"/>
        </w:rPr>
        <w:t>%</w:t>
      </w:r>
      <w:r w:rsidRPr="00A34388">
        <w:rPr>
          <w:lang w:val="es-ES_tradnl"/>
        </w:rPr>
        <w:t xml:space="preserve"> </w:t>
      </w:r>
      <w:r w:rsidR="00A40807" w:rsidRPr="00A34388">
        <w:rPr>
          <w:lang w:val="es-ES_tradnl"/>
        </w:rPr>
        <w:t xml:space="preserve">con </w:t>
      </w:r>
      <w:r w:rsidRPr="00A34388">
        <w:rPr>
          <w:lang w:val="es-ES_tradnl"/>
        </w:rPr>
        <w:t xml:space="preserve">respecto </w:t>
      </w:r>
      <w:r w:rsidR="00A40807" w:rsidRPr="00A34388">
        <w:rPr>
          <w:lang w:val="es-ES_tradnl"/>
        </w:rPr>
        <w:t xml:space="preserve">a </w:t>
      </w:r>
      <w:r w:rsidRPr="00A34388">
        <w:rPr>
          <w:lang w:val="es-ES_tradnl"/>
        </w:rPr>
        <w:t xml:space="preserve">2011). </w:t>
      </w:r>
    </w:p>
    <w:p w:rsidR="003230BA" w:rsidRPr="00332758" w:rsidRDefault="003230BA">
      <w:pPr>
        <w:rPr>
          <w:b/>
          <w:iCs/>
          <w:lang w:val="es-ES_tradnl"/>
        </w:rPr>
      </w:pPr>
      <w:r w:rsidRPr="00332758">
        <w:rPr>
          <w:b/>
          <w:iCs/>
          <w:lang w:val="es-ES_tradnl"/>
        </w:rPr>
        <w:br w:type="page"/>
      </w:r>
    </w:p>
    <w:p w:rsidR="003F11A0" w:rsidRPr="003F11A0" w:rsidRDefault="003F11A0" w:rsidP="003F11A0">
      <w:pPr>
        <w:rPr>
          <w:b/>
          <w:iCs/>
          <w:lang w:val="es-ES_tradnl"/>
        </w:rPr>
      </w:pPr>
    </w:p>
    <w:p w:rsidR="00197073" w:rsidRPr="00332758" w:rsidRDefault="00197073" w:rsidP="00197073">
      <w:pPr>
        <w:jc w:val="center"/>
        <w:rPr>
          <w:b/>
          <w:iCs/>
          <w:lang w:val="es-ES_tradnl"/>
        </w:rPr>
      </w:pPr>
      <w:r w:rsidRPr="00332758">
        <w:rPr>
          <w:b/>
          <w:iCs/>
          <w:lang w:val="es-ES_tradnl"/>
        </w:rPr>
        <w:t>Meta estratégica IX</w:t>
      </w:r>
      <w:proofErr w:type="gramStart"/>
      <w:r w:rsidRPr="00332758">
        <w:rPr>
          <w:b/>
          <w:iCs/>
          <w:lang w:val="es-ES_tradnl"/>
        </w:rPr>
        <w:t>:  Estructura</w:t>
      </w:r>
      <w:proofErr w:type="gramEnd"/>
      <w:r w:rsidRPr="00332758">
        <w:rPr>
          <w:b/>
          <w:iCs/>
          <w:lang w:val="es-ES_tradnl"/>
        </w:rPr>
        <w:t xml:space="preserve"> eficiente de apoyo administrativo y financiero que facilite la ejecución de los programas de la OMPI.</w:t>
      </w:r>
    </w:p>
    <w:p w:rsidR="00197073" w:rsidRPr="00A34388" w:rsidRDefault="00197073" w:rsidP="00197073">
      <w:pPr>
        <w:jc w:val="both"/>
        <w:rPr>
          <w:lang w:val="es-ES_tradnl"/>
        </w:rPr>
      </w:pPr>
    </w:p>
    <w:p w:rsidR="00197073" w:rsidRPr="00A34388" w:rsidRDefault="00197073" w:rsidP="00197073">
      <w:pPr>
        <w:jc w:val="both"/>
        <w:rPr>
          <w:lang w:val="es-ES_tradnl"/>
        </w:rPr>
      </w:pPr>
    </w:p>
    <w:p w:rsidR="00197073" w:rsidRPr="00A34388" w:rsidRDefault="003024FE" w:rsidP="00197073">
      <w:pPr>
        <w:jc w:val="center"/>
        <w:rPr>
          <w:b/>
          <w:sz w:val="18"/>
          <w:szCs w:val="18"/>
          <w:lang w:val="es-ES_tradnl"/>
        </w:rPr>
      </w:pPr>
      <w:r w:rsidRPr="00A34388">
        <w:rPr>
          <w:b/>
          <w:sz w:val="18"/>
          <w:szCs w:val="18"/>
          <w:lang w:val="es-ES_tradnl"/>
        </w:rPr>
        <w:t>Reseña general de los avances logrados por resultado previsto</w:t>
      </w:r>
    </w:p>
    <w:p w:rsidR="00197073" w:rsidRDefault="00197073" w:rsidP="003F11A0">
      <w:pPr>
        <w:rPr>
          <w:b/>
          <w:sz w:val="18"/>
          <w:szCs w:val="18"/>
          <w:lang w:val="es-ES_tradnl"/>
        </w:rPr>
      </w:pPr>
    </w:p>
    <w:p w:rsidR="005E68A3" w:rsidRDefault="005E68A3" w:rsidP="00197073">
      <w:pPr>
        <w:jc w:val="center"/>
        <w:rPr>
          <w:b/>
          <w:sz w:val="18"/>
          <w:szCs w:val="18"/>
          <w:lang w:val="es-ES_tradnl"/>
        </w:rPr>
      </w:pPr>
      <w:r>
        <w:rPr>
          <w:b/>
          <w:noProof/>
          <w:sz w:val="18"/>
          <w:szCs w:val="18"/>
        </w:rPr>
        <w:drawing>
          <wp:inline distT="0" distB="0" distL="0" distR="0" wp14:anchorId="0FF51C54" wp14:editId="494C7BC3">
            <wp:extent cx="6269675" cy="59340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3752" cy="5937934"/>
                    </a:xfrm>
                    <a:prstGeom prst="rect">
                      <a:avLst/>
                    </a:prstGeom>
                    <a:noFill/>
                  </pic:spPr>
                </pic:pic>
              </a:graphicData>
            </a:graphic>
          </wp:inline>
        </w:drawing>
      </w:r>
    </w:p>
    <w:p w:rsidR="005E68A3" w:rsidRPr="00A34388" w:rsidRDefault="005E68A3" w:rsidP="003F11A0">
      <w:pPr>
        <w:rPr>
          <w:b/>
          <w:sz w:val="18"/>
          <w:szCs w:val="18"/>
          <w:lang w:val="es-ES_tradnl"/>
        </w:rPr>
      </w:pPr>
    </w:p>
    <w:p w:rsidR="003F11A0" w:rsidRDefault="003F11A0">
      <w:pPr>
        <w:rPr>
          <w:b/>
          <w:sz w:val="18"/>
          <w:szCs w:val="18"/>
          <w:lang w:val="es-ES_tradnl"/>
        </w:rPr>
      </w:pPr>
      <w:r>
        <w:rPr>
          <w:b/>
          <w:sz w:val="18"/>
          <w:szCs w:val="18"/>
          <w:lang w:val="es-ES_tradnl"/>
        </w:rPr>
        <w:br w:type="page"/>
      </w:r>
    </w:p>
    <w:p w:rsidR="00197073" w:rsidRPr="00A34388" w:rsidRDefault="00197073" w:rsidP="003F11A0">
      <w:pPr>
        <w:rPr>
          <w:b/>
          <w:sz w:val="18"/>
          <w:szCs w:val="18"/>
          <w:lang w:val="es-ES_tradnl"/>
        </w:rPr>
      </w:pPr>
    </w:p>
    <w:p w:rsidR="00197073" w:rsidRPr="00A34388" w:rsidRDefault="00197073" w:rsidP="00197073">
      <w:pPr>
        <w:jc w:val="center"/>
        <w:rPr>
          <w:b/>
          <w:szCs w:val="20"/>
          <w:lang w:val="es-ES_tradnl"/>
        </w:rPr>
      </w:pPr>
      <w:r w:rsidRPr="00A34388">
        <w:rPr>
          <w:b/>
          <w:szCs w:val="20"/>
          <w:lang w:val="es-ES_tradnl"/>
        </w:rPr>
        <w:t>Cuadro sobre el rendimiento bienal</w:t>
      </w:r>
    </w:p>
    <w:p w:rsidR="00197073" w:rsidRPr="00A34388" w:rsidRDefault="00197073" w:rsidP="003F11A0">
      <w:pPr>
        <w:rPr>
          <w:b/>
          <w:sz w:val="18"/>
          <w:szCs w:val="18"/>
          <w:lang w:val="es-ES_tradnl"/>
        </w:rPr>
      </w:pPr>
    </w:p>
    <w:p w:rsidR="00C535EB" w:rsidRPr="00A34388" w:rsidRDefault="00F6170D" w:rsidP="00C535EB">
      <w:pPr>
        <w:autoSpaceDE w:val="0"/>
        <w:autoSpaceDN w:val="0"/>
        <w:adjustRightInd w:val="0"/>
        <w:jc w:val="both"/>
        <w:rPr>
          <w:rFonts w:cs="Arial"/>
          <w:lang w:val="es-ES_tradnl"/>
        </w:rPr>
      </w:pPr>
      <w:r w:rsidRPr="00A34388">
        <w:rPr>
          <w:rFonts w:cs="Arial"/>
          <w:lang w:val="es-ES_tradnl"/>
        </w:rPr>
        <w:t>En el siguiente cuadro</w:t>
      </w:r>
      <w:r w:rsidR="00C535EB" w:rsidRPr="00A34388">
        <w:rPr>
          <w:rFonts w:cs="Arial"/>
          <w:lang w:val="es-ES_tradnl"/>
        </w:rPr>
        <w:t xml:space="preserve"> se incluye una reseña general de la consecución de los resultados previstos en el bienio 2012/13 medidos por los indicadores </w:t>
      </w:r>
      <w:r w:rsidR="003242C1" w:rsidRPr="00A34388">
        <w:rPr>
          <w:rFonts w:cs="Arial"/>
          <w:lang w:val="es-ES_tradnl"/>
        </w:rPr>
        <w:t xml:space="preserve">relativos a </w:t>
      </w:r>
      <w:r w:rsidR="00DE04D6" w:rsidRPr="00A34388">
        <w:rPr>
          <w:rFonts w:cs="Arial"/>
          <w:lang w:val="es-ES_tradnl"/>
        </w:rPr>
        <w:t>los programas que contribuyen a esta meta estratégica</w:t>
      </w:r>
      <w:r w:rsidR="00C14248">
        <w:rPr>
          <w:rFonts w:cs="Arial"/>
          <w:lang w:val="es-ES_tradnl"/>
        </w:rPr>
        <w:t>.</w:t>
      </w:r>
    </w:p>
    <w:p w:rsidR="00C14248" w:rsidRPr="001F1848" w:rsidRDefault="00C14248" w:rsidP="00C14248">
      <w:pPr>
        <w:rPr>
          <w:szCs w:val="20"/>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C14248" w:rsidRPr="00A34388" w:rsidTr="00DA1567">
        <w:trPr>
          <w:cantSplit/>
          <w:tblHeader/>
        </w:trPr>
        <w:tc>
          <w:tcPr>
            <w:tcW w:w="2987"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Resultados previstos</w:t>
            </w:r>
          </w:p>
        </w:tc>
        <w:tc>
          <w:tcPr>
            <w:tcW w:w="3799"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Indicadores de rendimiento</w:t>
            </w:r>
          </w:p>
        </w:tc>
        <w:tc>
          <w:tcPr>
            <w:tcW w:w="1417" w:type="dxa"/>
            <w:tcBorders>
              <w:top w:val="single" w:sz="4" w:space="0" w:color="auto"/>
              <w:bottom w:val="single" w:sz="4" w:space="0" w:color="auto"/>
            </w:tcBorders>
            <w:shd w:val="clear" w:color="auto" w:fill="CCFFFF"/>
            <w:vAlign w:val="center"/>
          </w:tcPr>
          <w:p w:rsidR="00C14248" w:rsidRPr="00A34388" w:rsidRDefault="00C14248" w:rsidP="00DA1567">
            <w:pPr>
              <w:spacing w:before="120" w:after="120"/>
              <w:jc w:val="center"/>
              <w:rPr>
                <w:rFonts w:cs="Arial"/>
                <w:b/>
                <w:bCs/>
                <w:color w:val="A6A6A6" w:themeColor="background1" w:themeShade="A6"/>
                <w:sz w:val="14"/>
                <w:szCs w:val="14"/>
                <w:lang w:val="es-ES_tradnl"/>
              </w:rPr>
            </w:pPr>
            <w:r w:rsidRPr="00332758">
              <w:rPr>
                <w:rFonts w:cs="Arial"/>
                <w:b/>
                <w:bCs/>
                <w:sz w:val="14"/>
                <w:szCs w:val="14"/>
                <w:lang w:val="es-ES_tradnl"/>
              </w:rPr>
              <w:t>Programas responsables</w:t>
            </w:r>
          </w:p>
        </w:tc>
        <w:tc>
          <w:tcPr>
            <w:tcW w:w="1163" w:type="dxa"/>
            <w:tcBorders>
              <w:top w:val="single" w:sz="4" w:space="0" w:color="auto"/>
              <w:bottom w:val="single" w:sz="4" w:space="0" w:color="auto"/>
            </w:tcBorders>
            <w:shd w:val="clear" w:color="auto" w:fill="CCFFFF"/>
            <w:vAlign w:val="center"/>
          </w:tcPr>
          <w:p w:rsidR="00C14248" w:rsidRPr="00332758" w:rsidRDefault="00C14248" w:rsidP="00DA1567">
            <w:pPr>
              <w:spacing w:before="120" w:after="120"/>
              <w:jc w:val="center"/>
              <w:rPr>
                <w:rFonts w:cs="Arial"/>
                <w:b/>
                <w:bCs/>
                <w:sz w:val="14"/>
                <w:szCs w:val="14"/>
                <w:lang w:val="es-ES_tradnl"/>
              </w:rPr>
            </w:pPr>
            <w:r w:rsidRPr="00332758">
              <w:rPr>
                <w:rFonts w:cs="Arial"/>
                <w:b/>
                <w:bCs/>
                <w:sz w:val="14"/>
                <w:szCs w:val="14"/>
                <w:lang w:val="es-ES_tradnl"/>
              </w:rPr>
              <w:t>Clave de colores</w:t>
            </w:r>
          </w:p>
        </w:tc>
      </w:tr>
      <w:tr w:rsidR="00C14248" w:rsidRPr="00A34388" w:rsidTr="004C2A49">
        <w:trPr>
          <w:cantSplit/>
        </w:trPr>
        <w:tc>
          <w:tcPr>
            <w:tcW w:w="2987" w:type="dxa"/>
            <w:vMerge w:val="restart"/>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3799" w:type="dxa"/>
            <w:tcBorders>
              <w:top w:val="single" w:sz="4" w:space="0" w:color="auto"/>
            </w:tcBorders>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Disminución de los costos de adquisición de productos y servicios por la OMPI (derivada de invitaciones a presentar ofertas, negociaciones o prácticas de globalización de las Naciones Unidas).</w:t>
            </w:r>
          </w:p>
        </w:tc>
        <w:tc>
          <w:tcPr>
            <w:tcW w:w="1417" w:type="dxa"/>
            <w:tcBorders>
              <w:top w:val="single" w:sz="4" w:space="0" w:color="auto"/>
            </w:tcBorders>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24</w:t>
            </w:r>
          </w:p>
        </w:tc>
        <w:tc>
          <w:tcPr>
            <w:tcW w:w="1163" w:type="dxa"/>
            <w:tcBorders>
              <w:top w:val="single" w:sz="4" w:space="0" w:color="auto"/>
              <w:bottom w:val="nil"/>
            </w:tcBorders>
          </w:tcPr>
          <w:p w:rsidR="00C14248" w:rsidRPr="000B4241" w:rsidRDefault="00C14248" w:rsidP="00DA1567">
            <w:pPr>
              <w:spacing w:before="20"/>
              <w:jc w:val="center"/>
              <w:rPr>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usuarios internos satisfechos con los servicios de adquisiciones. </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gastos efectuados con arreglo a las prácticas vigentes en NN.UU.</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4C2A49" w:rsidRDefault="00C14248" w:rsidP="00DA1567">
            <w:pPr>
              <w:jc w:val="center"/>
              <w:rPr>
                <w:rFonts w:cs="Arial"/>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Tiempo de tramitación de las autorizaciones electrónicas de viaje (e-TA) y peticiones electrónicas de actividades (e-ER) (condicionado al cumplimiento del plazo previsto).</w:t>
            </w:r>
          </w:p>
        </w:tc>
        <w:tc>
          <w:tcPr>
            <w:tcW w:w="1417" w:type="dxa"/>
            <w:shd w:val="clear" w:color="auto" w:fill="auto"/>
            <w:tcMar>
              <w:top w:w="113" w:type="dxa"/>
            </w:tcMar>
          </w:tcPr>
          <w:p w:rsidR="00C14248" w:rsidRPr="00332758" w:rsidRDefault="00C14248" w:rsidP="00DA1567">
            <w:pPr>
              <w:spacing w:before="60"/>
              <w:jc w:val="center"/>
              <w:rPr>
                <w:rFonts w:cs="Arial"/>
                <w:sz w:val="14"/>
                <w:szCs w:val="14"/>
                <w:lang w:val="es-ES_tradnl"/>
              </w:rPr>
            </w:pPr>
            <w:r w:rsidRPr="00332758">
              <w:rPr>
                <w:rFonts w:cs="Arial"/>
                <w:sz w:val="14"/>
                <w:szCs w:val="14"/>
                <w:lang w:val="es-ES_tradnl"/>
              </w:rPr>
              <w:t xml:space="preserve">Programa 24 </w:t>
            </w:r>
          </w:p>
        </w:tc>
        <w:tc>
          <w:tcPr>
            <w:tcW w:w="1163" w:type="dxa"/>
            <w:tcBorders>
              <w:top w:val="nil"/>
              <w:bottom w:val="nil"/>
            </w:tcBorders>
            <w:shd w:val="clear" w:color="auto" w:fill="auto"/>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Tiempo de tramitación de visados para terceros.</w:t>
            </w:r>
          </w:p>
        </w:tc>
        <w:tc>
          <w:tcPr>
            <w:tcW w:w="1417" w:type="dxa"/>
            <w:shd w:val="clear" w:color="auto" w:fill="auto"/>
            <w:tcMar>
              <w:top w:w="113" w:type="dxa"/>
            </w:tcMar>
          </w:tcPr>
          <w:p w:rsidR="00C14248" w:rsidRPr="00332758" w:rsidRDefault="00C14248" w:rsidP="00DA1567">
            <w:pPr>
              <w:spacing w:before="60"/>
              <w:jc w:val="center"/>
              <w:rPr>
                <w:rFonts w:cs="Arial"/>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Reducción de los costos de viaje gracias a las conferencias electrónicas y las videoconferencias.</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800175">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Menos tiempo desde el inicio hasta la finalización de las transacciones ordinarias relativas a los recursos humanos (subsidio de educación y subsidio por mantenimiento).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tcBorders>
          </w:tcPr>
          <w:p w:rsidR="00C14248" w:rsidRPr="000B4241" w:rsidRDefault="00C14248" w:rsidP="00DA1567">
            <w:pPr>
              <w:spacing w:before="20"/>
              <w:jc w:val="center"/>
              <w:rPr>
                <w:rFonts w:cs="Arial"/>
                <w:color w:val="FF0000"/>
                <w:sz w:val="22"/>
                <w:szCs w:val="22"/>
              </w:rPr>
            </w:pPr>
            <w:r w:rsidRPr="000B4241">
              <w:rPr>
                <w:rFonts w:cs="Arial"/>
                <w:color w:val="FF0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Relación entre el número de empleados (equivalentes en jornadas completas) y el personal de recursos humanos.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Pr>
          <w:p w:rsidR="00C14248" w:rsidRPr="000B4241" w:rsidRDefault="00C14248" w:rsidP="00DA1567">
            <w:pPr>
              <w:spacing w:before="20"/>
              <w:jc w:val="center"/>
              <w:rPr>
                <w:sz w:val="22"/>
                <w:szCs w:val="22"/>
              </w:rPr>
            </w:pPr>
            <w:r w:rsidRPr="000B4241">
              <w:rPr>
                <w:rFonts w:cs="Arial"/>
                <w:color w:val="FF0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miembros del personal satisfechos con los servicios de recursos humanos.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Pr>
          <w:p w:rsidR="00C14248" w:rsidRPr="000B4241" w:rsidRDefault="00C14248" w:rsidP="00DA1567">
            <w:pPr>
              <w:spacing w:before="20"/>
              <w:jc w:val="center"/>
              <w:rPr>
                <w:sz w:val="22"/>
                <w:szCs w:val="22"/>
              </w:rPr>
            </w:pPr>
            <w:r w:rsidRPr="000B4241">
              <w:rPr>
                <w:rFonts w:cs="Arial"/>
                <w:color w:val="E36C0A" w:themeColor="accent6" w:themeShade="BF"/>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Índice de productividad para los cálculos, la introducción de datos, así como para la compilación y el suministro de estadísticas (distribución del correo).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lotes de ayuda del PCT en papel o en formato electrónico transmitidos en el plazo previsto.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notificaciones del Sistema de Madrid en papel transmitidas en el plazo previsto.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la base </w:t>
            </w:r>
            <w:proofErr w:type="spellStart"/>
            <w:r w:rsidRPr="00332758">
              <w:rPr>
                <w:rFonts w:cs="Arial"/>
                <w:sz w:val="14"/>
                <w:szCs w:val="14"/>
                <w:lang w:val="es-ES_tradnl"/>
              </w:rPr>
              <w:t>Romarin</w:t>
            </w:r>
            <w:proofErr w:type="spellEnd"/>
            <w:r w:rsidRPr="00332758">
              <w:rPr>
                <w:rFonts w:cs="Arial"/>
                <w:sz w:val="14"/>
                <w:szCs w:val="14"/>
                <w:lang w:val="es-ES_tradnl"/>
              </w:rPr>
              <w:t xml:space="preserve"> del Sistema de Madrid disponible por Internet en el plazo previsto.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sz w:val="22"/>
                <w:szCs w:val="22"/>
              </w:rPr>
            </w:pPr>
            <w:r w:rsidRPr="000B4241">
              <w:rPr>
                <w:rFonts w:cs="Arial"/>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usuarios internos y externos satisfechos con los servicios de conferencias de la OMPI.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Normas de productividad de la traducción y costo por página traducida.</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Adopción de una amplia política lingüística por los Estados miembros con la dotación de recursos necesarios.</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27</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Subcontratación de la operación y la provisión de la infraestructura de T.I.</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Acceso a las reuniones de la OMPI por Internet en tiempo real o en diferido.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medios de comunicación perfectamente integrados.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Pr>
          <w:p w:rsidR="00C14248" w:rsidRPr="000B4241" w:rsidRDefault="00C14248" w:rsidP="00DA1567">
            <w:pPr>
              <w:jc w:val="center"/>
              <w:rPr>
                <w:sz w:val="22"/>
                <w:szCs w:val="22"/>
              </w:rPr>
            </w:pPr>
            <w:r w:rsidRPr="000B4241">
              <w:rPr>
                <w:rFonts w:cs="Arial"/>
                <w:color w:val="E36C0A" w:themeColor="accent6" w:themeShade="BF"/>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Alquiler de espacios de trabajo adicionales e instalaciones conexas (sobre la base del mismo número de empleados de nómina registrado a fines de 2011).</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24</w:t>
            </w:r>
          </w:p>
        </w:tc>
        <w:tc>
          <w:tcPr>
            <w:tcW w:w="1163" w:type="dxa"/>
            <w:tcBorders>
              <w:bottom w:val="nil"/>
            </w:tcBorders>
          </w:tcPr>
          <w:p w:rsidR="00C14248" w:rsidRPr="000B4241" w:rsidRDefault="00C14248" w:rsidP="00DA1567">
            <w:pPr>
              <w:jc w:val="center"/>
              <w:rPr>
                <w:sz w:val="22"/>
                <w:szCs w:val="22"/>
              </w:rPr>
            </w:pPr>
            <w:r w:rsidRPr="000B4241">
              <w:rPr>
                <w:rFonts w:cs="Arial"/>
                <w:color w:val="008000"/>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Número de instalaciones técnicas principales (eléctricas, sanitarias, calefacción y refrigeración) que sido objeto de mejoras conforme a las normas aplicables (por definir).</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 xml:space="preserve">Programa 24 </w:t>
            </w:r>
          </w:p>
        </w:tc>
        <w:tc>
          <w:tcPr>
            <w:tcW w:w="1163" w:type="dxa"/>
            <w:tcBorders>
              <w:top w:val="nil"/>
              <w:bottom w:val="single" w:sz="4" w:space="0" w:color="auto"/>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vMerge w:val="restart"/>
            <w:shd w:val="clear" w:color="auto" w:fill="auto"/>
            <w:tcMar>
              <w:top w:w="113" w:type="dxa"/>
            </w:tcMar>
          </w:tcPr>
          <w:p w:rsidR="00C14248" w:rsidRPr="00A34388" w:rsidRDefault="00C14248" w:rsidP="00DA1567">
            <w:pPr>
              <w:keepNext/>
              <w:keepLines/>
              <w:spacing w:before="60"/>
              <w:rPr>
                <w:rFonts w:cs="Arial"/>
                <w:color w:val="A6A6A6" w:themeColor="background1" w:themeShade="A6"/>
                <w:sz w:val="14"/>
                <w:szCs w:val="14"/>
                <w:lang w:val="es-ES_tradnl"/>
              </w:rPr>
            </w:pPr>
            <w:r w:rsidRPr="00332758">
              <w:rPr>
                <w:rFonts w:cs="Arial"/>
                <w:sz w:val="14"/>
                <w:szCs w:val="14"/>
                <w:lang w:val="es-ES_tradnl"/>
              </w:rPr>
              <w:lastRenderedPageBreak/>
              <w:t>Las inversiones en TIC están estrechamente vinculadas a las prioridades estratégicas y rinden beneficios a la Organización.</w:t>
            </w:r>
          </w:p>
        </w:tc>
        <w:tc>
          <w:tcPr>
            <w:tcW w:w="3799" w:type="dxa"/>
            <w:shd w:val="clear" w:color="auto" w:fill="auto"/>
            <w:tcMar>
              <w:top w:w="113" w:type="dxa"/>
            </w:tcMar>
          </w:tcPr>
          <w:p w:rsidR="00C14248" w:rsidRPr="00A34388" w:rsidRDefault="00C14248" w:rsidP="00DA1567">
            <w:pPr>
              <w:keepNext/>
              <w:keepLines/>
              <w:spacing w:before="60"/>
              <w:rPr>
                <w:rFonts w:cs="Arial"/>
                <w:color w:val="A6A6A6" w:themeColor="background1" w:themeShade="A6"/>
                <w:sz w:val="14"/>
                <w:szCs w:val="14"/>
                <w:lang w:val="es-ES_tradnl"/>
              </w:rPr>
            </w:pPr>
            <w:r w:rsidRPr="00332758">
              <w:rPr>
                <w:rFonts w:cs="Arial"/>
                <w:sz w:val="14"/>
                <w:szCs w:val="14"/>
                <w:lang w:val="es-ES_tradnl"/>
              </w:rPr>
              <w:t>Porcentaje de proyectos que han sido objeto de una evaluación posterior a la ejecución del proyecto.</w:t>
            </w:r>
          </w:p>
        </w:tc>
        <w:tc>
          <w:tcPr>
            <w:tcW w:w="1417" w:type="dxa"/>
            <w:shd w:val="clear" w:color="auto" w:fill="auto"/>
            <w:tcMar>
              <w:top w:w="113" w:type="dxa"/>
            </w:tcMar>
          </w:tcPr>
          <w:p w:rsidR="00C14248" w:rsidRPr="00332758" w:rsidRDefault="00C14248" w:rsidP="00DA1567">
            <w:pPr>
              <w:keepNext/>
              <w:keepLines/>
              <w:spacing w:before="60"/>
              <w:jc w:val="center"/>
              <w:rPr>
                <w:rFonts w:cs="Arial"/>
                <w:sz w:val="14"/>
                <w:szCs w:val="14"/>
                <w:lang w:val="es-ES_tradnl"/>
              </w:rPr>
            </w:pPr>
            <w:r w:rsidRPr="00332758">
              <w:rPr>
                <w:rFonts w:cs="Arial"/>
                <w:sz w:val="14"/>
                <w:szCs w:val="14"/>
                <w:lang w:val="es-ES_tradnl"/>
              </w:rPr>
              <w:t>Programa 25</w:t>
            </w:r>
          </w:p>
        </w:tc>
        <w:tc>
          <w:tcPr>
            <w:tcW w:w="1163" w:type="dxa"/>
            <w:tcBorders>
              <w:top w:val="single" w:sz="4" w:space="0" w:color="auto"/>
            </w:tcBorders>
          </w:tcPr>
          <w:p w:rsidR="00C14248" w:rsidRPr="000B4241" w:rsidRDefault="00C14248" w:rsidP="00DA1567">
            <w:pPr>
              <w:keepNext/>
              <w:keepLines/>
              <w:spacing w:before="20"/>
              <w:jc w:val="center"/>
              <w:rPr>
                <w:sz w:val="22"/>
                <w:szCs w:val="22"/>
              </w:rPr>
            </w:pPr>
            <w:r w:rsidRPr="000B4241">
              <w:rPr>
                <w:rFonts w:cs="Arial"/>
                <w:color w:val="E36C0A" w:themeColor="accent6" w:themeShade="BF"/>
                <w:sz w:val="22"/>
                <w:szCs w:val="22"/>
              </w:rPr>
              <w:sym w:font="Wingdings" w:char="F06C"/>
            </w:r>
          </w:p>
        </w:tc>
      </w:tr>
      <w:tr w:rsidR="00C14248" w:rsidRPr="00A34388" w:rsidTr="00DA1567">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Nivel de avance en la implantación de la Biblioteca de Infraestructura de Tecnologías de la Información (ITIL) con arreglo al método oficial de autoevaluación de cinco niveles.</w:t>
            </w:r>
          </w:p>
        </w:tc>
        <w:tc>
          <w:tcPr>
            <w:tcW w:w="1417" w:type="dxa"/>
            <w:shd w:val="clear" w:color="auto" w:fill="auto"/>
            <w:tcMar>
              <w:top w:w="113" w:type="dxa"/>
            </w:tcMar>
          </w:tcPr>
          <w:p w:rsidR="00C14248" w:rsidRPr="00332758" w:rsidRDefault="00C14248" w:rsidP="00DA1567">
            <w:pPr>
              <w:spacing w:before="60"/>
              <w:jc w:val="center"/>
              <w:rPr>
                <w:rFonts w:cs="Arial"/>
                <w:sz w:val="14"/>
                <w:szCs w:val="14"/>
                <w:lang w:val="es-ES_tradnl"/>
              </w:rPr>
            </w:pPr>
            <w:r w:rsidRPr="00332758">
              <w:rPr>
                <w:rFonts w:cs="Arial"/>
                <w:sz w:val="14"/>
                <w:szCs w:val="14"/>
                <w:lang w:val="es-ES_tradnl"/>
              </w:rPr>
              <w:t>Programa 25</w:t>
            </w:r>
          </w:p>
        </w:tc>
        <w:tc>
          <w:tcPr>
            <w:tcW w:w="1163" w:type="dxa"/>
          </w:tcPr>
          <w:p w:rsidR="00C14248" w:rsidRPr="000B4241" w:rsidRDefault="00C14248" w:rsidP="00DA1567">
            <w:pPr>
              <w:spacing w:before="20"/>
              <w:jc w:val="center"/>
              <w:rPr>
                <w:color w:val="006600"/>
                <w:sz w:val="22"/>
                <w:szCs w:val="22"/>
              </w:rPr>
            </w:pPr>
            <w:r w:rsidRPr="000B4241">
              <w:rPr>
                <w:rFonts w:cs="Arial"/>
                <w:color w:val="E36C0A" w:themeColor="accent6" w:themeShade="BF"/>
                <w:sz w:val="22"/>
                <w:szCs w:val="22"/>
              </w:rPr>
              <w:sym w:font="Wingdings" w:char="F06C"/>
            </w:r>
          </w:p>
        </w:tc>
      </w:tr>
      <w:tr w:rsidR="00C14248" w:rsidRPr="00A34388" w:rsidTr="00DA1567">
        <w:trPr>
          <w:cantSplit/>
        </w:trPr>
        <w:tc>
          <w:tcPr>
            <w:tcW w:w="2987" w:type="dxa"/>
            <w:vMerge w:val="restart"/>
            <w:shd w:val="clear" w:color="auto" w:fill="auto"/>
            <w:tcMar>
              <w:top w:w="113" w:type="dxa"/>
            </w:tcMar>
          </w:tcPr>
          <w:p w:rsidR="00C14248" w:rsidRPr="00A34388" w:rsidRDefault="00C14248" w:rsidP="00DA1567">
            <w:pPr>
              <w:spacing w:before="60"/>
              <w:rPr>
                <w:rFonts w:cs="Arial"/>
                <w:color w:val="A6A6A6" w:themeColor="background1" w:themeShade="A6"/>
                <w:sz w:val="14"/>
                <w:szCs w:val="14"/>
                <w:lang w:val="es-ES_tradnl"/>
              </w:rPr>
            </w:pPr>
            <w:r w:rsidRPr="00332758">
              <w:rPr>
                <w:rFonts w:cs="Arial"/>
                <w:sz w:val="14"/>
                <w:szCs w:val="14"/>
                <w:lang w:val="es-ES_tradnl"/>
              </w:rPr>
              <w:t xml:space="preserve">Mayor eficacia y eficiencia en la planificación, el procesamiento, la ejecución, la evaluación y la presentación de informes basados en los resultados en los ámbitos financiero y programático. </w:t>
            </w:r>
          </w:p>
        </w:tc>
        <w:tc>
          <w:tcPr>
            <w:tcW w:w="3799" w:type="dxa"/>
            <w:shd w:val="clear" w:color="auto" w:fill="auto"/>
            <w:tcMar>
              <w:top w:w="113" w:type="dxa"/>
            </w:tcMar>
          </w:tcPr>
          <w:p w:rsidR="00C14248" w:rsidRPr="00A34388" w:rsidRDefault="00C14248" w:rsidP="00DA1567">
            <w:pPr>
              <w:spacing w:before="60"/>
              <w:rPr>
                <w:color w:val="A6A6A6" w:themeColor="background1" w:themeShade="A6"/>
                <w:sz w:val="14"/>
                <w:szCs w:val="14"/>
                <w:lang w:val="es-ES_tradnl" w:bidi="th-TH"/>
              </w:rPr>
            </w:pPr>
            <w:r w:rsidRPr="00332758">
              <w:rPr>
                <w:sz w:val="14"/>
                <w:szCs w:val="14"/>
                <w:lang w:val="es-ES_tradnl" w:bidi="th-TH"/>
              </w:rPr>
              <w:t>Porcentaje de programas de la OMPI que utilizan los datos sobre el rendimiento para gestionar el rendimiento del programa.</w:t>
            </w:r>
          </w:p>
        </w:tc>
        <w:tc>
          <w:tcPr>
            <w:tcW w:w="1417" w:type="dxa"/>
            <w:shd w:val="clear" w:color="auto" w:fill="auto"/>
            <w:noWrap/>
            <w:tcMar>
              <w:top w:w="113" w:type="dxa"/>
            </w:tcMar>
          </w:tcPr>
          <w:p w:rsidR="00C14248" w:rsidRPr="00332758" w:rsidRDefault="00C14248" w:rsidP="00DA1567">
            <w:pPr>
              <w:spacing w:before="60"/>
              <w:jc w:val="center"/>
              <w:rPr>
                <w:rFonts w:cs="Arial"/>
                <w:sz w:val="14"/>
                <w:szCs w:val="14"/>
                <w:lang w:val="es-ES_tradnl"/>
              </w:rPr>
            </w:pPr>
            <w:r w:rsidRPr="00332758">
              <w:rPr>
                <w:rFonts w:cs="Arial"/>
                <w:sz w:val="14"/>
                <w:szCs w:val="14"/>
                <w:lang w:val="es-ES_tradnl"/>
              </w:rPr>
              <w:t xml:space="preserve">Programa 22 </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color w:val="A6A6A6" w:themeColor="background1" w:themeShade="A6"/>
                <w:sz w:val="14"/>
                <w:szCs w:val="14"/>
                <w:lang w:val="es-ES_tradnl" w:bidi="th-TH"/>
              </w:rPr>
            </w:pPr>
            <w:r w:rsidRPr="00332758">
              <w:rPr>
                <w:sz w:val="14"/>
                <w:szCs w:val="14"/>
                <w:lang w:val="es-ES_tradnl" w:bidi="th-TH"/>
              </w:rPr>
              <w:t>Porcentaje de encuestados (OMPI) que estiman que la OMPI debe rendir cuentas sobre sus resultados.</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22 </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 xml:space="preserve">Programa 22 </w:t>
            </w:r>
          </w:p>
        </w:tc>
        <w:tc>
          <w:tcPr>
            <w:tcW w:w="1163" w:type="dxa"/>
            <w:tcBorders>
              <w:bottom w:val="nil"/>
            </w:tcBorders>
          </w:tcPr>
          <w:p w:rsidR="00C14248" w:rsidRPr="000B4241" w:rsidRDefault="00C14248" w:rsidP="00DA1567">
            <w:pPr>
              <w:jc w:val="center"/>
              <w:rPr>
                <w:color w:val="E36C0A" w:themeColor="accent6" w:themeShade="BF"/>
                <w:sz w:val="22"/>
                <w:szCs w:val="22"/>
              </w:rPr>
            </w:pPr>
            <w:r w:rsidRPr="000B4241">
              <w:rPr>
                <w:rFonts w:cs="Arial"/>
                <w:color w:val="E36C0A" w:themeColor="accent6" w:themeShade="BF"/>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 presentación de un informe financiero satisfactorio por parte de los Auditores Externos confirma la conformidad de las operaciones de contabilidad con los reglamentos, las reglas y las normas aplicables</w:t>
            </w:r>
          </w:p>
        </w:tc>
        <w:tc>
          <w:tcPr>
            <w:tcW w:w="1417" w:type="dxa"/>
            <w:shd w:val="clear" w:color="auto" w:fill="auto"/>
            <w:noWrap/>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 xml:space="preserve">Programa 22 </w:t>
            </w:r>
          </w:p>
        </w:tc>
        <w:tc>
          <w:tcPr>
            <w:tcW w:w="1163"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Personal profesional bien dirigido, diversificado, motivado y con las competencias adecuadas.</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miembros del personal cuyo desempeño se evalúa en función de objetivos y competencias específicos.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00B05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Duración del proceso de contratación.</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00B050"/>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la masa salarial total que participa en actividades de perfeccionamiento del personal.</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sz w:val="22"/>
                <w:szCs w:val="22"/>
              </w:rPr>
            </w:pPr>
            <w:r w:rsidRPr="000B4241">
              <w:rPr>
                <w:rFonts w:cs="Arial"/>
                <w:color w:val="E36C0A" w:themeColor="accent6" w:themeShade="BF"/>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Diversidad geográfica - Porcentaje de Estados miembros representados.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mujeres que ocupan puestos profesionales y de categorías superiores.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FF0000"/>
                <w:sz w:val="22"/>
                <w:szCs w:val="22"/>
              </w:rPr>
            </w:pPr>
            <w:r w:rsidRPr="000B4241">
              <w:rPr>
                <w:rFonts w:cs="Arial"/>
                <w:color w:val="FF0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Disminución del ausentismo.</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FF0000"/>
                <w:sz w:val="22"/>
                <w:szCs w:val="22"/>
              </w:rPr>
            </w:pPr>
            <w:r w:rsidRPr="000B4241">
              <w:rPr>
                <w:rFonts w:cs="Arial"/>
                <w:color w:val="FF0000"/>
                <w:sz w:val="22"/>
                <w:szCs w:val="22"/>
              </w:rPr>
              <w:sym w:font="Wingdings" w:char="F06C"/>
            </w:r>
          </w:p>
        </w:tc>
      </w:tr>
      <w:tr w:rsidR="00C14248" w:rsidRPr="00A34388" w:rsidTr="004C2A49">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Disminución de las reclamaciones.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23</w:t>
            </w:r>
          </w:p>
        </w:tc>
        <w:tc>
          <w:tcPr>
            <w:tcW w:w="1163" w:type="dxa"/>
            <w:tcBorders>
              <w:top w:val="nil"/>
              <w:bottom w:val="nil"/>
            </w:tcBorders>
            <w:shd w:val="clear" w:color="auto" w:fill="auto"/>
          </w:tcPr>
          <w:p w:rsidR="00C14248" w:rsidRPr="000B4241" w:rsidRDefault="00C14248" w:rsidP="00DA1567">
            <w:pPr>
              <w:jc w:val="center"/>
              <w:rPr>
                <w:color w:val="FF0000"/>
                <w:sz w:val="22"/>
                <w:szCs w:val="22"/>
              </w:rPr>
            </w:pPr>
            <w:r w:rsidRPr="000B4241">
              <w:rPr>
                <w:rFonts w:cs="Arial"/>
                <w:color w:val="FF0000"/>
                <w:sz w:val="22"/>
                <w:szCs w:val="22"/>
              </w:rPr>
              <w:sym w:font="Wingdings" w:char="F06C"/>
            </w:r>
          </w:p>
        </w:tc>
      </w:tr>
      <w:tr w:rsidR="00C14248" w:rsidRPr="00A34388" w:rsidTr="004C2A49">
        <w:trPr>
          <w:cantSplit/>
        </w:trPr>
        <w:tc>
          <w:tcPr>
            <w:tcW w:w="2987"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 garantiza la seguridad del personal de la OMPI, los delegados, los visitantes, la información y los activos físicos.</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miembros </w:t>
            </w:r>
            <w:proofErr w:type="gramStart"/>
            <w:r w:rsidRPr="00332758">
              <w:rPr>
                <w:rFonts w:cs="Arial"/>
                <w:sz w:val="14"/>
                <w:szCs w:val="14"/>
                <w:lang w:val="es-ES_tradnl"/>
              </w:rPr>
              <w:t>del personal de la OMPI, delegados y visitantes</w:t>
            </w:r>
            <w:proofErr w:type="gramEnd"/>
            <w:r w:rsidRPr="00332758">
              <w:rPr>
                <w:rFonts w:cs="Arial"/>
                <w:sz w:val="14"/>
                <w:szCs w:val="14"/>
                <w:lang w:val="es-ES_tradnl"/>
              </w:rPr>
              <w:t xml:space="preserve"> que comunican daños o incidentes relacionados con el trabajo.</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28</w:t>
            </w:r>
          </w:p>
        </w:tc>
        <w:tc>
          <w:tcPr>
            <w:tcW w:w="1163" w:type="dxa"/>
            <w:tcBorders>
              <w:top w:val="nil"/>
              <w:bottom w:val="nil"/>
            </w:tcBorders>
            <w:shd w:val="clear" w:color="auto" w:fill="auto"/>
          </w:tcPr>
          <w:p w:rsidR="00C14248" w:rsidRPr="000B4241" w:rsidRDefault="00C14248" w:rsidP="00DA1567">
            <w:pPr>
              <w:jc w:val="center"/>
              <w:rPr>
                <w:sz w:val="22"/>
                <w:szCs w:val="22"/>
              </w:rPr>
            </w:pPr>
            <w:r w:rsidRPr="000B4241">
              <w:rPr>
                <w:rFonts w:cs="Arial"/>
                <w:color w:val="008000"/>
                <w:sz w:val="22"/>
                <w:szCs w:val="22"/>
              </w:rPr>
              <w:sym w:font="Wingdings" w:char="F06C"/>
            </w:r>
          </w:p>
        </w:tc>
      </w:tr>
      <w:tr w:rsidR="00C14248" w:rsidRPr="00A34388" w:rsidTr="004C2A49">
        <w:trPr>
          <w:cantSplit/>
        </w:trPr>
        <w:tc>
          <w:tcPr>
            <w:tcW w:w="2987" w:type="dxa"/>
            <w:vMerge/>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peticiones de asistencia relativa a la seguridad atendidas puntualmente en las conferencias o actividades organizadas en Ginebra o en otros lugares.</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28</w:t>
            </w:r>
          </w:p>
        </w:tc>
        <w:tc>
          <w:tcPr>
            <w:tcW w:w="1163" w:type="dxa"/>
            <w:tcBorders>
              <w:top w:val="nil"/>
              <w:bottom w:val="nil"/>
            </w:tcBorders>
            <w:shd w:val="clear" w:color="auto" w:fill="auto"/>
          </w:tcPr>
          <w:p w:rsidR="00C14248" w:rsidRPr="000B4241" w:rsidRDefault="00C14248" w:rsidP="00DA1567">
            <w:pPr>
              <w:jc w:val="center"/>
              <w:rPr>
                <w:sz w:val="22"/>
                <w:szCs w:val="22"/>
              </w:rPr>
            </w:pPr>
            <w:r w:rsidRPr="000B4241">
              <w:rPr>
                <w:rFonts w:cs="Arial"/>
                <w:color w:val="008000"/>
                <w:sz w:val="22"/>
                <w:szCs w:val="22"/>
              </w:rPr>
              <w:sym w:font="Wingdings" w:char="F06C"/>
            </w:r>
            <w:r w:rsidRPr="000B4241">
              <w:rPr>
                <w:rFonts w:cs="Arial"/>
                <w:color w:val="E36C0A" w:themeColor="accent6" w:themeShade="BF"/>
                <w:sz w:val="22"/>
                <w:szCs w:val="22"/>
              </w:rPr>
              <w:sym w:font="Wingdings" w:char="F06C"/>
            </w:r>
          </w:p>
        </w:tc>
      </w:tr>
      <w:tr w:rsidR="00C14248" w:rsidRPr="00A34388" w:rsidTr="004C2A49">
        <w:trPr>
          <w:cantSplit/>
        </w:trPr>
        <w:tc>
          <w:tcPr>
            <w:tcW w:w="2987" w:type="dxa"/>
            <w:vMerge/>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Exhaustividad y pertinencia de la serie de políticas, procedimientos y normas de seguridad de la información.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Borders>
              <w:top w:val="nil"/>
              <w:bottom w:val="nil"/>
            </w:tcBorders>
            <w:shd w:val="clear" w:color="auto" w:fill="auto"/>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shd w:val="clear" w:color="auto" w:fill="auto"/>
            <w:noWrap/>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 mantiene actualizado el registro de riesgos relativo a la seguridad de la información.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25</w:t>
            </w:r>
          </w:p>
        </w:tc>
        <w:tc>
          <w:tcPr>
            <w:tcW w:w="1163" w:type="dxa"/>
            <w:tcBorders>
              <w:top w:val="nil"/>
              <w:bottom w:val="nil"/>
            </w:tcBorders>
            <w:shd w:val="clear" w:color="auto" w:fill="auto"/>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Los costos relacionados con el nuevo edificio administrativo se mantienen al mínimo.</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Utilización durante el período de garantía de la construcción de los fondos disponibles con arreglo a las provisiones y el presupuesto consolidado aprobado.</w:t>
            </w:r>
          </w:p>
        </w:tc>
        <w:tc>
          <w:tcPr>
            <w:tcW w:w="1417" w:type="dxa"/>
            <w:shd w:val="clear" w:color="auto" w:fill="auto"/>
            <w:noWrap/>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29</w:t>
            </w:r>
          </w:p>
        </w:tc>
        <w:tc>
          <w:tcPr>
            <w:tcW w:w="1163"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4C2A49">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La nueva sala de conferencias y las instalaciones conexas están disponibles para las reuniones de los Estados miembros. </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Construcción de la nueva sala de conferencias e instalaciones conexas de conformidad con los criterios de calidad, el presupuesto y los plazos aprobados.</w:t>
            </w:r>
          </w:p>
        </w:tc>
        <w:tc>
          <w:tcPr>
            <w:tcW w:w="1417" w:type="dxa"/>
            <w:shd w:val="clear" w:color="auto" w:fill="auto"/>
            <w:noWrap/>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29</w:t>
            </w:r>
          </w:p>
        </w:tc>
        <w:tc>
          <w:tcPr>
            <w:tcW w:w="1163" w:type="dxa"/>
            <w:tcBorders>
              <w:top w:val="nil"/>
              <w:bottom w:val="nil"/>
            </w:tcBorders>
            <w:shd w:val="clear" w:color="auto" w:fill="auto"/>
          </w:tcPr>
          <w:p w:rsidR="00C14248" w:rsidRPr="004C2A49" w:rsidRDefault="00C14248" w:rsidP="00DA1567">
            <w:pPr>
              <w:jc w:val="center"/>
              <w:rPr>
                <w:color w:val="A6A6A6" w:themeColor="background1" w:themeShade="A6"/>
                <w:sz w:val="22"/>
                <w:szCs w:val="22"/>
              </w:rPr>
            </w:pPr>
            <w:r w:rsidRPr="004C2A49">
              <w:rPr>
                <w:rFonts w:cs="Arial"/>
                <w:color w:val="A6A6A6" w:themeColor="background1" w:themeShade="A6"/>
                <w:sz w:val="22"/>
                <w:szCs w:val="22"/>
              </w:rPr>
              <w:sym w:font="Wingdings" w:char="F06C"/>
            </w:r>
          </w:p>
        </w:tc>
      </w:tr>
      <w:tr w:rsidR="00C14248" w:rsidRPr="00A34388" w:rsidTr="00800175">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Mayor coordinación y coherencia en el seno de la Secretaría.</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Finalización del </w:t>
            </w:r>
            <w:r w:rsidR="009B1238">
              <w:rPr>
                <w:rFonts w:cs="Arial"/>
                <w:sz w:val="14"/>
                <w:szCs w:val="14"/>
                <w:lang w:val="es-ES_tradnl"/>
              </w:rPr>
              <w:t>Programa de Alineación Estratégica</w:t>
            </w:r>
            <w:r w:rsidRPr="00332758">
              <w:rPr>
                <w:rFonts w:cs="Arial"/>
                <w:sz w:val="14"/>
                <w:szCs w:val="14"/>
                <w:lang w:val="es-ES_tradnl"/>
              </w:rPr>
              <w:t xml:space="preserve">.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Borders>
              <w:top w:val="nil"/>
            </w:tcBorders>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noWrap/>
            <w:tcMar>
              <w:top w:w="113" w:type="dxa"/>
            </w:tcMar>
          </w:tcPr>
          <w:p w:rsidR="00C14248" w:rsidRPr="00A34388" w:rsidRDefault="00C14248" w:rsidP="00DA1567">
            <w:pPr>
              <w:keepNext/>
              <w:keepLines/>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keepNext/>
              <w:keepLines/>
              <w:spacing w:before="80"/>
              <w:rPr>
                <w:rFonts w:cs="Arial"/>
                <w:color w:val="A6A6A6" w:themeColor="background1" w:themeShade="A6"/>
                <w:sz w:val="14"/>
                <w:szCs w:val="14"/>
                <w:lang w:val="es-ES_tradnl"/>
              </w:rPr>
            </w:pPr>
            <w:r w:rsidRPr="00332758">
              <w:rPr>
                <w:rFonts w:cs="Arial"/>
                <w:sz w:val="14"/>
                <w:szCs w:val="14"/>
                <w:lang w:val="es-ES_tradnl"/>
              </w:rPr>
              <w:t xml:space="preserve">Obtención de los resultados relativos a las prioridades centrales previstas en el </w:t>
            </w:r>
            <w:r w:rsidR="009B1238">
              <w:rPr>
                <w:rFonts w:cs="Arial"/>
                <w:sz w:val="14"/>
                <w:szCs w:val="14"/>
                <w:lang w:val="es-ES_tradnl"/>
              </w:rPr>
              <w:t>Programa de Alineación Estratégica</w:t>
            </w:r>
            <w:r w:rsidRPr="00332758">
              <w:rPr>
                <w:rFonts w:cs="Arial"/>
                <w:sz w:val="14"/>
                <w:szCs w:val="14"/>
                <w:lang w:val="es-ES_tradnl"/>
              </w:rPr>
              <w:t>.</w:t>
            </w:r>
          </w:p>
        </w:tc>
        <w:tc>
          <w:tcPr>
            <w:tcW w:w="1417" w:type="dxa"/>
            <w:shd w:val="clear" w:color="auto" w:fill="auto"/>
            <w:tcMar>
              <w:top w:w="113" w:type="dxa"/>
            </w:tcMar>
          </w:tcPr>
          <w:p w:rsidR="00C14248" w:rsidRPr="00332758" w:rsidRDefault="00C14248" w:rsidP="00DA1567">
            <w:pPr>
              <w:keepNext/>
              <w:keepLines/>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keepNext/>
              <w:keepLines/>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Porcentaje de peticiones de asesoramiento jurídico que reciben una respuesta de la Oficina del Consejero Jurídico.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notificaciones de adhesión tramitadas en los plazos previstos.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val="restart"/>
            <w:shd w:val="clear" w:color="auto" w:fill="auto"/>
            <w:tcMar>
              <w:top w:w="113" w:type="dxa"/>
            </w:tcMar>
          </w:tcPr>
          <w:p w:rsidR="00C14248" w:rsidRPr="00332758" w:rsidRDefault="00C14248" w:rsidP="00DA1567">
            <w:pPr>
              <w:spacing w:before="80"/>
              <w:rPr>
                <w:rFonts w:cs="Arial"/>
                <w:sz w:val="14"/>
                <w:szCs w:val="14"/>
                <w:lang w:val="es-ES_tradnl"/>
              </w:rPr>
            </w:pPr>
          </w:p>
          <w:p w:rsidR="00C14248" w:rsidRPr="00332758" w:rsidRDefault="00C14248" w:rsidP="00DA1567">
            <w:pPr>
              <w:spacing w:before="80"/>
              <w:rPr>
                <w:rFonts w:cs="Arial"/>
                <w:sz w:val="14"/>
                <w:szCs w:val="14"/>
                <w:lang w:val="es-ES_tradnl"/>
              </w:rPr>
            </w:pPr>
          </w:p>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Mejor entorno de trabajo basado en un marco regulador coadyuvante y medios eficaces para atender las preocupaciones del personal.</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usuarios satisfechos con el nivel de servicios que han recibido de la Oficina del Mediador.</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spacing w:before="20"/>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shd w:val="clear" w:color="auto" w:fill="auto"/>
            <w:noWrap/>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miembros del personal conscientes de los principios y políticas éticas de la OMPI.</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21</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4459E3">
        <w:trPr>
          <w:cantSplit/>
        </w:trPr>
        <w:tc>
          <w:tcPr>
            <w:tcW w:w="2987"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Reducción de las repercusiones de las actividades de la OMPI sobre el medio ambiente. </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programas dotados de indicadores, referencias de base y objetivos relativos a la mejora ambiental.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24</w:t>
            </w:r>
          </w:p>
        </w:tc>
        <w:tc>
          <w:tcPr>
            <w:tcW w:w="1163" w:type="dxa"/>
            <w:tcBorders>
              <w:bottom w:val="nil"/>
            </w:tcBorders>
          </w:tcPr>
          <w:p w:rsidR="00C14248" w:rsidRPr="000B4241" w:rsidRDefault="00C14248" w:rsidP="00DA1567">
            <w:pPr>
              <w:jc w:val="center"/>
              <w:rPr>
                <w:sz w:val="22"/>
                <w:szCs w:val="22"/>
              </w:rPr>
            </w:pPr>
            <w:r w:rsidRPr="000B4241">
              <w:rPr>
                <w:rFonts w:cs="Arial"/>
                <w:color w:val="FF0000"/>
                <w:sz w:val="22"/>
                <w:szCs w:val="22"/>
              </w:rPr>
              <w:sym w:font="Wingdings" w:char="F06C"/>
            </w:r>
          </w:p>
        </w:tc>
      </w:tr>
      <w:tr w:rsidR="00C14248" w:rsidRPr="00A34388" w:rsidTr="004459E3">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Porcentaje de las emisiones de carbono respecto del consumo de energía (en relación con los edificios de la OMPI)</w:t>
            </w:r>
          </w:p>
        </w:tc>
        <w:tc>
          <w:tcPr>
            <w:tcW w:w="1417" w:type="dxa"/>
            <w:shd w:val="clear" w:color="auto" w:fill="auto"/>
            <w:tcMar>
              <w:top w:w="113" w:type="dxa"/>
            </w:tcMar>
          </w:tcPr>
          <w:p w:rsidR="00C14248" w:rsidRPr="00A34388" w:rsidRDefault="00C14248" w:rsidP="00DA1567">
            <w:pPr>
              <w:spacing w:before="80"/>
              <w:jc w:val="center"/>
              <w:rPr>
                <w:rFonts w:cs="Arial"/>
                <w:color w:val="A6A6A6" w:themeColor="background1" w:themeShade="A6"/>
                <w:sz w:val="14"/>
                <w:szCs w:val="14"/>
                <w:lang w:val="es-ES_tradnl"/>
              </w:rPr>
            </w:pPr>
            <w:r w:rsidRPr="00332758">
              <w:rPr>
                <w:rFonts w:cs="Arial"/>
                <w:sz w:val="14"/>
                <w:szCs w:val="14"/>
                <w:lang w:val="es-ES_tradnl"/>
              </w:rPr>
              <w:t>Programa 24</w:t>
            </w:r>
          </w:p>
        </w:tc>
        <w:tc>
          <w:tcPr>
            <w:tcW w:w="1163" w:type="dxa"/>
            <w:tcBorders>
              <w:top w:val="nil"/>
              <w:bottom w:val="nil"/>
            </w:tcBorders>
            <w:shd w:val="clear" w:color="auto" w:fill="auto"/>
          </w:tcPr>
          <w:p w:rsidR="00C14248" w:rsidRPr="004459E3" w:rsidRDefault="00C14248" w:rsidP="00DA1567">
            <w:pPr>
              <w:jc w:val="center"/>
              <w:rPr>
                <w:color w:val="A6A6A6" w:themeColor="background1" w:themeShade="A6"/>
                <w:sz w:val="22"/>
                <w:szCs w:val="22"/>
              </w:rPr>
            </w:pPr>
            <w:r w:rsidRPr="004459E3">
              <w:rPr>
                <w:rFonts w:cs="Arial"/>
                <w:color w:val="A6A6A6" w:themeColor="background1" w:themeShade="A6"/>
                <w:sz w:val="22"/>
                <w:szCs w:val="22"/>
              </w:rPr>
              <w:sym w:font="Wingdings" w:char="F06C"/>
            </w:r>
          </w:p>
        </w:tc>
      </w:tr>
      <w:tr w:rsidR="00C14248" w:rsidRPr="00A34388" w:rsidTr="00800175">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Mejora de la accesibilidad al recinto de la OMPI. </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programas pertinentes dotados de indicadores, referencias de base y objetivos relativos a la accesibilidad física.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24</w:t>
            </w:r>
          </w:p>
        </w:tc>
        <w:tc>
          <w:tcPr>
            <w:tcW w:w="1163" w:type="dxa"/>
            <w:tcBorders>
              <w:top w:val="nil"/>
            </w:tcBorders>
          </w:tcPr>
          <w:p w:rsidR="00C14248" w:rsidRPr="000B4241" w:rsidRDefault="00C14248" w:rsidP="00DA1567">
            <w:pPr>
              <w:jc w:val="center"/>
              <w:rPr>
                <w:sz w:val="22"/>
                <w:szCs w:val="22"/>
              </w:rPr>
            </w:pPr>
            <w:r w:rsidRPr="000B4241">
              <w:rPr>
                <w:rFonts w:cs="Arial"/>
                <w:color w:val="E36C0A" w:themeColor="accent6" w:themeShade="BF"/>
                <w:sz w:val="22"/>
                <w:szCs w:val="22"/>
              </w:rPr>
              <w:sym w:font="Wingdings" w:char="F06C"/>
            </w:r>
          </w:p>
        </w:tc>
      </w:tr>
      <w:tr w:rsidR="00C14248" w:rsidRPr="00A34388" w:rsidTr="00DA1567">
        <w:trPr>
          <w:cantSplit/>
        </w:trPr>
        <w:tc>
          <w:tcPr>
            <w:tcW w:w="2987" w:type="dxa"/>
            <w:vMerge w:val="restart"/>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Instauración de un sistema eficaz y profesional de auditoría interna que abarca todas las esferas de alto riesgo.</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 xml:space="preserve">Número de auditorías realizadas en esferas de alto riesgo. </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 aplicarán las normas profesionales, el código de ética y los consejos para la práctica del Instituto de Auditores Internos.</w:t>
            </w:r>
          </w:p>
        </w:tc>
        <w:tc>
          <w:tcPr>
            <w:tcW w:w="1417" w:type="dxa"/>
            <w:shd w:val="clear" w:color="auto" w:fill="auto"/>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rFonts w:cs="Arial"/>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vMerge/>
            <w:shd w:val="clear" w:color="auto" w:fill="auto"/>
            <w:tcMar>
              <w:top w:w="113" w:type="dxa"/>
            </w:tcMar>
          </w:tcPr>
          <w:p w:rsidR="00C14248" w:rsidRPr="00A34388" w:rsidRDefault="00C14248" w:rsidP="00DA1567">
            <w:pPr>
              <w:spacing w:before="80"/>
              <w:ind w:firstLine="140"/>
              <w:rPr>
                <w:rFonts w:cs="Arial"/>
                <w:color w:val="A6A6A6" w:themeColor="background1" w:themeShade="A6"/>
                <w:sz w:val="14"/>
                <w:szCs w:val="14"/>
                <w:lang w:val="es-ES_tradnl"/>
              </w:rPr>
            </w:pP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Seguimiento exhaustivo y preciso de la aplicación de las recomendaciones de supervisión formuladas, señalando las anteriores recomendaciones, las nuevas que se han añadido y su situación.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Los informes de investigación constituyen una base sólida para la toma de decisiones por parte del Director General.</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r w:rsidR="00C14248" w:rsidRPr="00A34388" w:rsidTr="00DA1567">
        <w:trPr>
          <w:cantSplit/>
        </w:trPr>
        <w:tc>
          <w:tcPr>
            <w:tcW w:w="2987"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El personal directivo superior, los directores de programa y los Estados miembros tienen a su disposición informaciones basadas en datos fidedignos para tomar decisiones.</w:t>
            </w:r>
          </w:p>
        </w:tc>
        <w:tc>
          <w:tcPr>
            <w:tcW w:w="3799" w:type="dxa"/>
            <w:shd w:val="clear" w:color="auto" w:fill="auto"/>
            <w:tcMar>
              <w:top w:w="113" w:type="dxa"/>
            </w:tcMar>
          </w:tcPr>
          <w:p w:rsidR="00C14248" w:rsidRPr="00A34388" w:rsidRDefault="00C14248" w:rsidP="00DA1567">
            <w:pPr>
              <w:spacing w:before="80"/>
              <w:rPr>
                <w:rFonts w:cs="Arial"/>
                <w:color w:val="A6A6A6" w:themeColor="background1" w:themeShade="A6"/>
                <w:sz w:val="14"/>
                <w:szCs w:val="14"/>
                <w:lang w:val="es-ES_tradnl"/>
              </w:rPr>
            </w:pPr>
            <w:r w:rsidRPr="00332758">
              <w:rPr>
                <w:rFonts w:cs="Arial"/>
                <w:sz w:val="14"/>
                <w:szCs w:val="14"/>
                <w:lang w:val="es-ES_tradnl"/>
              </w:rPr>
              <w:t>Las evaluaciones se realizan de conformidad con lo establecido en la Política de evaluación y el Manual sobre los procedimientos de evaluación.</w:t>
            </w:r>
          </w:p>
        </w:tc>
        <w:tc>
          <w:tcPr>
            <w:tcW w:w="1417" w:type="dxa"/>
            <w:shd w:val="clear" w:color="auto" w:fill="auto"/>
            <w:noWrap/>
            <w:tcMar>
              <w:top w:w="113" w:type="dxa"/>
            </w:tcMar>
          </w:tcPr>
          <w:p w:rsidR="00C14248" w:rsidRPr="00332758" w:rsidRDefault="00C14248" w:rsidP="00DA1567">
            <w:pPr>
              <w:spacing w:before="80"/>
              <w:jc w:val="center"/>
              <w:rPr>
                <w:rFonts w:cs="Arial"/>
                <w:sz w:val="14"/>
                <w:szCs w:val="14"/>
                <w:lang w:val="es-ES_tradnl"/>
              </w:rPr>
            </w:pPr>
            <w:r w:rsidRPr="00332758">
              <w:rPr>
                <w:rFonts w:cs="Arial"/>
                <w:sz w:val="14"/>
                <w:szCs w:val="14"/>
                <w:lang w:val="es-ES_tradnl"/>
              </w:rPr>
              <w:t>Programa 26</w:t>
            </w:r>
          </w:p>
        </w:tc>
        <w:tc>
          <w:tcPr>
            <w:tcW w:w="1163" w:type="dxa"/>
          </w:tcPr>
          <w:p w:rsidR="00C14248" w:rsidRPr="000B4241" w:rsidRDefault="00C14248" w:rsidP="00DA1567">
            <w:pPr>
              <w:jc w:val="center"/>
              <w:rPr>
                <w:color w:val="008000"/>
                <w:sz w:val="22"/>
                <w:szCs w:val="22"/>
              </w:rPr>
            </w:pPr>
            <w:r w:rsidRPr="000B4241">
              <w:rPr>
                <w:rFonts w:cs="Arial"/>
                <w:color w:val="008000"/>
                <w:sz w:val="22"/>
                <w:szCs w:val="22"/>
              </w:rPr>
              <w:sym w:font="Wingdings" w:char="F06C"/>
            </w:r>
          </w:p>
        </w:tc>
      </w:tr>
    </w:tbl>
    <w:p w:rsidR="00C14248" w:rsidRPr="00A34388" w:rsidRDefault="00C14248" w:rsidP="00C14248">
      <w:pPr>
        <w:jc w:val="both"/>
        <w:rPr>
          <w:lang w:val="es-ES_tradnl"/>
        </w:rPr>
      </w:pPr>
    </w:p>
    <w:p w:rsidR="00197073" w:rsidRPr="00A34388" w:rsidRDefault="00197073" w:rsidP="00197073">
      <w:pPr>
        <w:jc w:val="both"/>
        <w:rPr>
          <w:lang w:val="es-ES_tradnl"/>
        </w:rPr>
      </w:pPr>
      <w:r w:rsidRPr="00332758">
        <w:rPr>
          <w:lang w:val="es-ES_tradnl"/>
        </w:rPr>
        <w:t>La Administración y Gestión ayudó a la Organización, a través de sus programas, a obtener los resultados esperados por los Estados miembros y las partes interesadas y, al mismo tiempo, abrirse paso en medio de la prolongada inestabilidad económica y la grave incertidumbre del entorno económico.</w:t>
      </w:r>
    </w:p>
    <w:p w:rsidR="00541444" w:rsidRPr="00A34388" w:rsidRDefault="00541444" w:rsidP="005678D5">
      <w:pPr>
        <w:jc w:val="both"/>
        <w:rPr>
          <w:lang w:val="es-ES_tradnl"/>
        </w:rPr>
      </w:pPr>
    </w:p>
    <w:p w:rsidR="005678D5" w:rsidRPr="00A34388" w:rsidRDefault="005678D5" w:rsidP="005678D5">
      <w:pPr>
        <w:jc w:val="both"/>
        <w:rPr>
          <w:lang w:val="es-ES_tradnl"/>
        </w:rPr>
      </w:pPr>
      <w:r w:rsidRPr="00A34388">
        <w:rPr>
          <w:lang w:val="es-ES_tradnl"/>
        </w:rPr>
        <w:t xml:space="preserve">A pesar de </w:t>
      </w:r>
      <w:r w:rsidR="00324C1F" w:rsidRPr="00A34388">
        <w:rPr>
          <w:lang w:val="es-ES_tradnl"/>
        </w:rPr>
        <w:t>esta incertidumbre</w:t>
      </w:r>
      <w:r w:rsidRPr="00A34388">
        <w:rPr>
          <w:lang w:val="es-ES_tradnl"/>
        </w:rPr>
        <w:t xml:space="preserve">, la OMPI cerró el bienio con un resultado global positivo, </w:t>
      </w:r>
      <w:r w:rsidR="00324C1F" w:rsidRPr="00A34388">
        <w:rPr>
          <w:lang w:val="es-ES_tradnl"/>
        </w:rPr>
        <w:t xml:space="preserve">con arreglo a las </w:t>
      </w:r>
      <w:r w:rsidRPr="00A34388">
        <w:rPr>
          <w:lang w:val="es-ES_tradnl"/>
        </w:rPr>
        <w:t>IPSAS, de 34,6 millones de francos suizos, gracias a que los ingresos fueron superiores a lo previsto</w:t>
      </w:r>
      <w:r w:rsidR="001642EB" w:rsidRPr="00A34388">
        <w:rPr>
          <w:lang w:val="es-ES_tradnl"/>
        </w:rPr>
        <w:t>,</w:t>
      </w:r>
      <w:r w:rsidRPr="00A34388">
        <w:rPr>
          <w:lang w:val="es-ES_tradnl"/>
        </w:rPr>
        <w:t xml:space="preserve"> a la adopción de medidas </w:t>
      </w:r>
      <w:r w:rsidR="00796639" w:rsidRPr="00A34388">
        <w:rPr>
          <w:lang w:val="es-ES_tradnl"/>
        </w:rPr>
        <w:t xml:space="preserve">destinadas a fomentar </w:t>
      </w:r>
      <w:r w:rsidR="009A32D9" w:rsidRPr="00A34388">
        <w:rPr>
          <w:lang w:val="es-ES_tradnl"/>
        </w:rPr>
        <w:t xml:space="preserve">la </w:t>
      </w:r>
      <w:r w:rsidR="0064106B" w:rsidRPr="00A34388">
        <w:rPr>
          <w:lang w:val="es-ES_tradnl"/>
        </w:rPr>
        <w:t xml:space="preserve">eficacia en función </w:t>
      </w:r>
      <w:r w:rsidR="009A32D9" w:rsidRPr="00A34388">
        <w:rPr>
          <w:lang w:val="es-ES_tradnl"/>
        </w:rPr>
        <w:t xml:space="preserve">de </w:t>
      </w:r>
      <w:r w:rsidR="0064106B" w:rsidRPr="00A34388">
        <w:rPr>
          <w:lang w:val="es-ES_tradnl"/>
        </w:rPr>
        <w:t xml:space="preserve">los </w:t>
      </w:r>
      <w:r w:rsidR="009A32D9" w:rsidRPr="00A34388">
        <w:rPr>
          <w:lang w:val="es-ES_tradnl"/>
        </w:rPr>
        <w:t>costos</w:t>
      </w:r>
      <w:r w:rsidR="0064106B" w:rsidRPr="00A34388">
        <w:rPr>
          <w:lang w:val="es-ES_tradnl"/>
        </w:rPr>
        <w:t>,</w:t>
      </w:r>
      <w:r w:rsidR="009A32D9" w:rsidRPr="00A34388">
        <w:rPr>
          <w:lang w:val="es-ES_tradnl"/>
        </w:rPr>
        <w:t xml:space="preserve"> </w:t>
      </w:r>
      <w:r w:rsidRPr="00A34388">
        <w:rPr>
          <w:lang w:val="es-ES_tradnl"/>
        </w:rPr>
        <w:t xml:space="preserve">y a una gestión prudente del gasto. </w:t>
      </w:r>
    </w:p>
    <w:p w:rsidR="005678D5" w:rsidRPr="00A34388" w:rsidRDefault="005678D5" w:rsidP="005678D5">
      <w:pPr>
        <w:jc w:val="both"/>
        <w:rPr>
          <w:lang w:val="es-ES_tradnl"/>
        </w:rPr>
      </w:pPr>
    </w:p>
    <w:p w:rsidR="005678D5" w:rsidRPr="00A34388" w:rsidRDefault="005678D5" w:rsidP="005678D5">
      <w:pPr>
        <w:tabs>
          <w:tab w:val="left" w:pos="709"/>
        </w:tabs>
        <w:autoSpaceDE w:val="0"/>
        <w:autoSpaceDN w:val="0"/>
        <w:adjustRightInd w:val="0"/>
        <w:jc w:val="both"/>
        <w:rPr>
          <w:lang w:val="es-ES_tradnl"/>
        </w:rPr>
      </w:pPr>
      <w:r w:rsidRPr="00332758">
        <w:rPr>
          <w:lang w:val="es-ES_tradnl"/>
        </w:rPr>
        <w:t>La cartera de proyectos del sistema de planificación de los recursos institucionales, aprobada por la Asamblea General de la OMPI en 2010 como parte de la modernización del Sector de Administración y Gestión, continuó registrando avances positivos.</w:t>
      </w:r>
      <w:r w:rsidRPr="00A34388">
        <w:rPr>
          <w:lang w:val="es-ES_tradnl"/>
        </w:rPr>
        <w:t xml:space="preserve">  En el bienio 2012/13, concretamente en 2012, se actualizó el programa </w:t>
      </w:r>
      <w:proofErr w:type="spellStart"/>
      <w:r w:rsidRPr="00A34388">
        <w:rPr>
          <w:lang w:val="es-ES_tradnl"/>
        </w:rPr>
        <w:t>PeopleSoft</w:t>
      </w:r>
      <w:proofErr w:type="spellEnd"/>
      <w:r w:rsidRPr="00A34388">
        <w:rPr>
          <w:lang w:val="es-ES_tradnl"/>
        </w:rPr>
        <w:t xml:space="preserve"> a la versión más reciente (9.1), con vistas a la ejecución de la cartera de proyectos del sistema de planificación de los recursos institucionales.  </w:t>
      </w:r>
      <w:r w:rsidR="00284400" w:rsidRPr="00A34388">
        <w:rPr>
          <w:lang w:val="es-ES_tradnl"/>
        </w:rPr>
        <w:t xml:space="preserve">Al finalizar 2013, quedaron completadas las fases de desarrollo y prueba del módulo de recursos humanos de </w:t>
      </w:r>
      <w:proofErr w:type="spellStart"/>
      <w:r w:rsidR="00284400" w:rsidRPr="00A34388">
        <w:rPr>
          <w:lang w:val="es-ES_tradnl"/>
        </w:rPr>
        <w:t>PeopleSoft</w:t>
      </w:r>
      <w:proofErr w:type="spellEnd"/>
      <w:r w:rsidR="00284400" w:rsidRPr="00A34388">
        <w:rPr>
          <w:lang w:val="es-ES_tradnl"/>
        </w:rPr>
        <w:t xml:space="preserve">, que pasó a ser, tras su puesta en marcha en enero de 2014, el nuevo sistema de </w:t>
      </w:r>
      <w:r w:rsidR="00392742">
        <w:rPr>
          <w:lang w:val="es-ES_tradnl"/>
        </w:rPr>
        <w:t>almacenamiento de datos</w:t>
      </w:r>
      <w:r w:rsidR="00284400" w:rsidRPr="00A34388">
        <w:rPr>
          <w:lang w:val="es-ES_tradnl"/>
        </w:rPr>
        <w:t xml:space="preserve"> en materia de recursos humanos.  </w:t>
      </w:r>
      <w:r w:rsidRPr="00A34388">
        <w:rPr>
          <w:lang w:val="es-ES_tradnl"/>
        </w:rPr>
        <w:t xml:space="preserve">En el marco del proyecto de gestión del rendimiento institucional, se introdujeron nuevas mejoras en los procesos de </w:t>
      </w:r>
      <w:r w:rsidR="001642EB" w:rsidRPr="00A34388">
        <w:rPr>
          <w:lang w:val="es-ES_tradnl"/>
        </w:rPr>
        <w:t xml:space="preserve">formulación </w:t>
      </w:r>
      <w:r w:rsidRPr="00A34388">
        <w:rPr>
          <w:lang w:val="es-ES_tradnl"/>
        </w:rPr>
        <w:t>de planes</w:t>
      </w:r>
      <w:r w:rsidR="003F11A0">
        <w:rPr>
          <w:lang w:val="es-ES_tradnl"/>
        </w:rPr>
        <w:t xml:space="preserve"> anuales de trabajo para 2012 y </w:t>
      </w:r>
      <w:r w:rsidRPr="00A34388">
        <w:rPr>
          <w:lang w:val="es-ES_tradnl"/>
        </w:rPr>
        <w:t xml:space="preserve">2013, con el apoyo de una herramienta de planificación del trabajo de primera y segunda generación, que ajusta rigurosamente los recursos a los resultados previstos a través de las actividades del plan de trabajo.  Ello permitió por vez primera a la Secretaría llevar a cabo </w:t>
      </w:r>
      <w:r w:rsidR="00392742">
        <w:rPr>
          <w:lang w:val="es-ES_tradnl"/>
        </w:rPr>
        <w:t xml:space="preserve">en toda la Organización </w:t>
      </w:r>
      <w:r w:rsidRPr="00A34388">
        <w:rPr>
          <w:lang w:val="es-ES_tradnl"/>
        </w:rPr>
        <w:t xml:space="preserve">análisis de las actividades del plan de trabajo en varias dimensiones (por ejemplo resultados y países), contribuyendo a una mejor coordinación entre las entidades ejecutoras.  </w:t>
      </w:r>
      <w:r w:rsidRPr="00332758">
        <w:rPr>
          <w:lang w:val="es-ES_tradnl"/>
        </w:rPr>
        <w:t>E</w:t>
      </w:r>
      <w:r w:rsidR="00054EC8" w:rsidRPr="00332758">
        <w:rPr>
          <w:lang w:val="es-ES_tradnl"/>
        </w:rPr>
        <w:t xml:space="preserve">ste sistema permitió asimismo a </w:t>
      </w:r>
      <w:r w:rsidRPr="00332758">
        <w:rPr>
          <w:lang w:val="es-ES_tradnl"/>
        </w:rPr>
        <w:t>l</w:t>
      </w:r>
      <w:r w:rsidR="00054EC8" w:rsidRPr="00332758">
        <w:rPr>
          <w:lang w:val="es-ES_tradnl"/>
        </w:rPr>
        <w:t xml:space="preserve">os directivos </w:t>
      </w:r>
      <w:r w:rsidRPr="00332758">
        <w:rPr>
          <w:lang w:val="es-ES_tradnl"/>
        </w:rPr>
        <w:t xml:space="preserve">contrastar por vez primera los gastos reales con su plan de trabajo durante la ejecución.  </w:t>
      </w:r>
      <w:r w:rsidR="00675CED" w:rsidRPr="00A34388">
        <w:rPr>
          <w:lang w:val="es-ES_tradnl"/>
        </w:rPr>
        <w:t xml:space="preserve">Asimismo, se </w:t>
      </w:r>
      <w:r w:rsidR="00675CED" w:rsidRPr="00A34388">
        <w:rPr>
          <w:lang w:val="es-ES_tradnl"/>
        </w:rPr>
        <w:lastRenderedPageBreak/>
        <w:t>completó la herramienta de gestión del rendimiento institucional para apoyar el proceso de planificación del bienio 2014/15, que fue puesta a disposición de</w:t>
      </w:r>
      <w:r w:rsidR="00054EC8">
        <w:rPr>
          <w:lang w:val="es-ES_tradnl"/>
        </w:rPr>
        <w:t xml:space="preserve"> </w:t>
      </w:r>
      <w:r w:rsidR="00675CED" w:rsidRPr="00A34388">
        <w:rPr>
          <w:lang w:val="es-ES_tradnl"/>
        </w:rPr>
        <w:t>l</w:t>
      </w:r>
      <w:r w:rsidR="00054EC8">
        <w:rPr>
          <w:lang w:val="es-ES_tradnl"/>
        </w:rPr>
        <w:t>os directivos</w:t>
      </w:r>
      <w:r w:rsidR="00675CED" w:rsidRPr="00A34388">
        <w:rPr>
          <w:lang w:val="es-ES_tradnl"/>
        </w:rPr>
        <w:t xml:space="preserve"> a comienzos de 2013.</w:t>
      </w:r>
      <w:r w:rsidRPr="00A34388">
        <w:rPr>
          <w:lang w:val="es-ES_tradnl"/>
        </w:rPr>
        <w:t xml:space="preserve">  Esta herramienta incrementó la </w:t>
      </w:r>
      <w:r w:rsidR="00796639" w:rsidRPr="00A34388">
        <w:rPr>
          <w:lang w:val="es-ES_tradnl"/>
        </w:rPr>
        <w:t xml:space="preserve">eficacia </w:t>
      </w:r>
      <w:r w:rsidRPr="00A34388">
        <w:rPr>
          <w:lang w:val="es-ES_tradnl"/>
        </w:rPr>
        <w:t xml:space="preserve">del proceso de planificación y mejoró considerablemente la capacidad para analizar los documentos producidos por los directores de programa.  A lo largo del bienio, más de 900 miembros del personal asistieron a sesiones formativas </w:t>
      </w:r>
      <w:r w:rsidR="00184A5B" w:rsidRPr="00A34388">
        <w:rPr>
          <w:lang w:val="es-ES_tradnl"/>
        </w:rPr>
        <w:t xml:space="preserve">y de información </w:t>
      </w:r>
      <w:proofErr w:type="gramStart"/>
      <w:r w:rsidR="001642EB" w:rsidRPr="00A34388">
        <w:rPr>
          <w:lang w:val="es-ES_tradnl"/>
        </w:rPr>
        <w:t>exhaustivas</w:t>
      </w:r>
      <w:proofErr w:type="gramEnd"/>
      <w:r w:rsidR="001642EB" w:rsidRPr="00A34388">
        <w:rPr>
          <w:lang w:val="es-ES_tradnl"/>
        </w:rPr>
        <w:t xml:space="preserve"> </w:t>
      </w:r>
      <w:r w:rsidR="0078038C" w:rsidRPr="00A34388">
        <w:rPr>
          <w:lang w:val="es-ES_tradnl"/>
        </w:rPr>
        <w:t xml:space="preserve">en materia de </w:t>
      </w:r>
      <w:r w:rsidRPr="00A34388">
        <w:rPr>
          <w:lang w:val="es-ES_tradnl"/>
        </w:rPr>
        <w:t xml:space="preserve">contexto de planificación, procesos completos y </w:t>
      </w:r>
      <w:r w:rsidR="00796639" w:rsidRPr="00A34388">
        <w:rPr>
          <w:lang w:val="es-ES_tradnl"/>
        </w:rPr>
        <w:t xml:space="preserve">utilización </w:t>
      </w:r>
      <w:r w:rsidRPr="00A34388">
        <w:rPr>
          <w:lang w:val="es-ES_tradnl"/>
        </w:rPr>
        <w:t xml:space="preserve">de los sistemas nuevos y </w:t>
      </w:r>
      <w:r w:rsidR="0078038C" w:rsidRPr="00A34388">
        <w:rPr>
          <w:lang w:val="es-ES_tradnl"/>
        </w:rPr>
        <w:t>mejorados</w:t>
      </w:r>
      <w:r w:rsidRPr="00A34388">
        <w:rPr>
          <w:lang w:val="es-ES_tradnl"/>
        </w:rPr>
        <w:t>.</w:t>
      </w:r>
    </w:p>
    <w:p w:rsidR="005678D5" w:rsidRPr="00A34388" w:rsidRDefault="005678D5" w:rsidP="005678D5">
      <w:pPr>
        <w:jc w:val="both"/>
        <w:rPr>
          <w:lang w:val="es-ES_tradnl"/>
        </w:rPr>
      </w:pPr>
    </w:p>
    <w:p w:rsidR="005678D5" w:rsidRPr="00A34388" w:rsidRDefault="005678D5" w:rsidP="005678D5">
      <w:pPr>
        <w:jc w:val="both"/>
        <w:rPr>
          <w:lang w:val="es-ES_tradnl"/>
        </w:rPr>
      </w:pPr>
      <w:r w:rsidRPr="00A34388">
        <w:rPr>
          <w:lang w:val="es-ES_tradnl"/>
        </w:rPr>
        <w:t xml:space="preserve">Una de las iniciativas </w:t>
      </w:r>
      <w:r w:rsidR="00206D95" w:rsidRPr="00A34388">
        <w:rPr>
          <w:lang w:val="es-ES_tradnl"/>
        </w:rPr>
        <w:t xml:space="preserve">emprendidas </w:t>
      </w:r>
      <w:r w:rsidRPr="00A34388">
        <w:rPr>
          <w:lang w:val="es-ES_tradnl"/>
        </w:rPr>
        <w:t xml:space="preserve">en el </w:t>
      </w:r>
      <w:r w:rsidR="00675CED" w:rsidRPr="00A34388">
        <w:rPr>
          <w:lang w:val="es-ES_tradnl"/>
        </w:rPr>
        <w:t xml:space="preserve">marco </w:t>
      </w:r>
      <w:r w:rsidRPr="00A34388">
        <w:rPr>
          <w:lang w:val="es-ES_tradnl"/>
        </w:rPr>
        <w:t xml:space="preserve">del </w:t>
      </w:r>
      <w:r w:rsidR="009B1238">
        <w:rPr>
          <w:lang w:val="es-ES_tradnl"/>
        </w:rPr>
        <w:t>Programa de Alineación Estratégica</w:t>
      </w:r>
      <w:r w:rsidR="00206D95" w:rsidRPr="00A34388">
        <w:rPr>
          <w:lang w:val="es-ES_tradnl"/>
        </w:rPr>
        <w:t xml:space="preserve"> (</w:t>
      </w:r>
      <w:r w:rsidRPr="00A34388">
        <w:rPr>
          <w:lang w:val="es-ES_tradnl"/>
        </w:rPr>
        <w:t>PAE</w:t>
      </w:r>
      <w:r w:rsidR="00206D95" w:rsidRPr="00A34388">
        <w:rPr>
          <w:lang w:val="es-ES_tradnl"/>
        </w:rPr>
        <w:t>)</w:t>
      </w:r>
      <w:r w:rsidRPr="00A34388">
        <w:rPr>
          <w:lang w:val="es-ES_tradnl"/>
        </w:rPr>
        <w:t xml:space="preserve"> fue la relativa al reforzamiento de los sistemas de </w:t>
      </w:r>
      <w:r w:rsidR="00675CED" w:rsidRPr="00A34388">
        <w:rPr>
          <w:lang w:val="es-ES_tradnl"/>
        </w:rPr>
        <w:t xml:space="preserve">gestión de riesgos y </w:t>
      </w:r>
      <w:r w:rsidRPr="00A34388">
        <w:rPr>
          <w:lang w:val="es-ES_tradnl"/>
        </w:rPr>
        <w:t xml:space="preserve">control interno de la OMPI.  A lo largo del bienio se </w:t>
      </w:r>
      <w:r w:rsidR="00675CED" w:rsidRPr="00A34388">
        <w:rPr>
          <w:lang w:val="es-ES_tradnl"/>
        </w:rPr>
        <w:t xml:space="preserve">lograron varios </w:t>
      </w:r>
      <w:r w:rsidRPr="00A34388">
        <w:rPr>
          <w:lang w:val="es-ES_tradnl"/>
        </w:rPr>
        <w:t xml:space="preserve">hitos importantes, </w:t>
      </w:r>
      <w:r w:rsidR="001642EB" w:rsidRPr="00A34388">
        <w:rPr>
          <w:lang w:val="es-ES_tradnl"/>
        </w:rPr>
        <w:t xml:space="preserve">que han hecho </w:t>
      </w:r>
      <w:r w:rsidR="00C82DCA" w:rsidRPr="00A34388">
        <w:rPr>
          <w:lang w:val="es-ES_tradnl"/>
        </w:rPr>
        <w:t xml:space="preserve">avanzar </w:t>
      </w:r>
      <w:r w:rsidR="001642EB" w:rsidRPr="00A34388">
        <w:rPr>
          <w:lang w:val="es-ES_tradnl"/>
        </w:rPr>
        <w:t xml:space="preserve">a </w:t>
      </w:r>
      <w:r w:rsidRPr="00A34388">
        <w:rPr>
          <w:lang w:val="es-ES_tradnl"/>
        </w:rPr>
        <w:t xml:space="preserve">la Organización por la senda </w:t>
      </w:r>
      <w:r w:rsidR="00BB2CC2" w:rsidRPr="00A34388">
        <w:rPr>
          <w:lang w:val="es-ES_tradnl"/>
        </w:rPr>
        <w:t xml:space="preserve">fijada </w:t>
      </w:r>
      <w:r w:rsidR="001642EB" w:rsidRPr="00A34388">
        <w:rPr>
          <w:lang w:val="es-ES_tradnl"/>
        </w:rPr>
        <w:t xml:space="preserve">en </w:t>
      </w:r>
      <w:r w:rsidR="00C82DCA" w:rsidRPr="00A34388">
        <w:rPr>
          <w:lang w:val="es-ES_tradnl"/>
        </w:rPr>
        <w:t xml:space="preserve">su </w:t>
      </w:r>
      <w:r w:rsidRPr="00A34388">
        <w:rPr>
          <w:lang w:val="es-ES_tradnl"/>
        </w:rPr>
        <w:t xml:space="preserve">hoja de ruta </w:t>
      </w:r>
      <w:r w:rsidR="00C82DCA" w:rsidRPr="00A34388">
        <w:rPr>
          <w:lang w:val="es-ES_tradnl"/>
        </w:rPr>
        <w:t>para la gestión de riesgos</w:t>
      </w:r>
      <w:r w:rsidR="00E959DB" w:rsidRPr="00A34388">
        <w:rPr>
          <w:lang w:val="es-ES_tradnl"/>
        </w:rPr>
        <w:t xml:space="preserve">, situándola </w:t>
      </w:r>
      <w:r w:rsidRPr="00A34388">
        <w:rPr>
          <w:lang w:val="es-ES_tradnl"/>
        </w:rPr>
        <w:t xml:space="preserve">en </w:t>
      </w:r>
      <w:r w:rsidR="00E959DB" w:rsidRPr="00A34388">
        <w:rPr>
          <w:lang w:val="es-ES_tradnl"/>
        </w:rPr>
        <w:t xml:space="preserve">vías </w:t>
      </w:r>
      <w:r w:rsidRPr="00A34388">
        <w:rPr>
          <w:lang w:val="es-ES_tradnl"/>
        </w:rPr>
        <w:t xml:space="preserve">de </w:t>
      </w:r>
      <w:r w:rsidR="00A25676" w:rsidRPr="00A34388">
        <w:rPr>
          <w:lang w:val="es-ES_tradnl"/>
        </w:rPr>
        <w:t xml:space="preserve">poder </w:t>
      </w:r>
      <w:r w:rsidR="00E959DB" w:rsidRPr="00A34388">
        <w:rPr>
          <w:lang w:val="es-ES_tradnl"/>
        </w:rPr>
        <w:t xml:space="preserve">tener implantada </w:t>
      </w:r>
      <w:r w:rsidRPr="00A34388">
        <w:rPr>
          <w:lang w:val="es-ES_tradnl"/>
        </w:rPr>
        <w:t xml:space="preserve">la gestión institucional de riesgos </w:t>
      </w:r>
      <w:r w:rsidR="00E959DB" w:rsidRPr="00A34388">
        <w:rPr>
          <w:lang w:val="es-ES_tradnl"/>
        </w:rPr>
        <w:t xml:space="preserve">a </w:t>
      </w:r>
      <w:r w:rsidR="001642EB" w:rsidRPr="00A34388">
        <w:rPr>
          <w:lang w:val="es-ES_tradnl"/>
        </w:rPr>
        <w:t xml:space="preserve">finales </w:t>
      </w:r>
      <w:r w:rsidRPr="00A34388">
        <w:rPr>
          <w:lang w:val="es-ES_tradnl"/>
        </w:rPr>
        <w:t xml:space="preserve">del bienio 2016/17.  Entre estos hitos </w:t>
      </w:r>
      <w:r w:rsidR="00A25676" w:rsidRPr="00A34388">
        <w:rPr>
          <w:lang w:val="es-ES_tradnl"/>
        </w:rPr>
        <w:t xml:space="preserve">cabe citar </w:t>
      </w:r>
      <w:r w:rsidRPr="00A34388">
        <w:rPr>
          <w:lang w:val="es-ES_tradnl"/>
        </w:rPr>
        <w:t xml:space="preserve">la integración de la gestión de riesgos en el ciclo de planificación anual del trabajo y la identificación de riesgos y </w:t>
      </w:r>
      <w:r w:rsidR="001642EB" w:rsidRPr="00A34388">
        <w:rPr>
          <w:lang w:val="es-ES_tradnl"/>
        </w:rPr>
        <w:t xml:space="preserve">sus </w:t>
      </w:r>
      <w:r w:rsidRPr="00A34388">
        <w:rPr>
          <w:lang w:val="es-ES_tradnl"/>
        </w:rPr>
        <w:t>medidas de mitigación en el presupuesto por programas de 2014/15.  En la actualidad</w:t>
      </w:r>
      <w:r w:rsidR="001642EB" w:rsidRPr="00A34388">
        <w:rPr>
          <w:lang w:val="es-ES_tradnl"/>
        </w:rPr>
        <w:t>,</w:t>
      </w:r>
      <w:r w:rsidRPr="00A34388">
        <w:rPr>
          <w:lang w:val="es-ES_tradnl"/>
        </w:rPr>
        <w:t xml:space="preserve"> se está llevando a cabo una evaluación de riesgos </w:t>
      </w:r>
      <w:r w:rsidR="001642EB" w:rsidRPr="00A34388">
        <w:rPr>
          <w:lang w:val="es-ES_tradnl"/>
        </w:rPr>
        <w:t xml:space="preserve">en toda </w:t>
      </w:r>
      <w:r w:rsidRPr="00A34388">
        <w:rPr>
          <w:lang w:val="es-ES_tradnl"/>
        </w:rPr>
        <w:t>la Organización a fin de identificar acontecimientos de riesgo y estimar la probabilidad de que ocurran</w:t>
      </w:r>
      <w:r w:rsidR="001642EB" w:rsidRPr="00A34388">
        <w:rPr>
          <w:lang w:val="es-ES_tradnl"/>
        </w:rPr>
        <w:t xml:space="preserve">, así como su </w:t>
      </w:r>
      <w:r w:rsidRPr="00A34388">
        <w:rPr>
          <w:lang w:val="es-ES_tradnl"/>
        </w:rPr>
        <w:t xml:space="preserve">posible </w:t>
      </w:r>
      <w:r w:rsidR="00A25676" w:rsidRPr="00A34388">
        <w:rPr>
          <w:lang w:val="es-ES_tradnl"/>
        </w:rPr>
        <w:t>repercusión</w:t>
      </w:r>
      <w:r w:rsidR="001642EB" w:rsidRPr="00A34388">
        <w:rPr>
          <w:lang w:val="es-ES_tradnl"/>
        </w:rPr>
        <w:t xml:space="preserve">, </w:t>
      </w:r>
      <w:r w:rsidR="00A25676" w:rsidRPr="00A34388">
        <w:rPr>
          <w:lang w:val="es-ES_tradnl"/>
        </w:rPr>
        <w:t xml:space="preserve">en caso de </w:t>
      </w:r>
      <w:r w:rsidR="001642EB" w:rsidRPr="00A34388">
        <w:rPr>
          <w:lang w:val="es-ES_tradnl"/>
        </w:rPr>
        <w:t>materializarse</w:t>
      </w:r>
      <w:r w:rsidR="00A25676" w:rsidRPr="00A34388">
        <w:rPr>
          <w:lang w:val="es-ES_tradnl"/>
        </w:rPr>
        <w:t xml:space="preserve">, </w:t>
      </w:r>
      <w:r w:rsidR="00820DE5" w:rsidRPr="00A34388">
        <w:rPr>
          <w:lang w:val="es-ES_tradnl"/>
        </w:rPr>
        <w:t xml:space="preserve">sobre </w:t>
      </w:r>
      <w:r w:rsidR="00A25676" w:rsidRPr="00A34388">
        <w:rPr>
          <w:lang w:val="es-ES_tradnl"/>
        </w:rPr>
        <w:t xml:space="preserve">los </w:t>
      </w:r>
      <w:r w:rsidRPr="00A34388">
        <w:rPr>
          <w:lang w:val="es-ES_tradnl"/>
        </w:rPr>
        <w:t>resultados previstos.  Est</w:t>
      </w:r>
      <w:r w:rsidR="001642EB" w:rsidRPr="00A34388">
        <w:rPr>
          <w:lang w:val="es-ES_tradnl"/>
        </w:rPr>
        <w:t>e</w:t>
      </w:r>
      <w:r w:rsidRPr="00A34388">
        <w:rPr>
          <w:lang w:val="es-ES_tradnl"/>
        </w:rPr>
        <w:t xml:space="preserve"> </w:t>
      </w:r>
      <w:r w:rsidR="001642EB" w:rsidRPr="00A34388">
        <w:rPr>
          <w:lang w:val="es-ES_tradnl"/>
        </w:rPr>
        <w:t xml:space="preserve">sistema </w:t>
      </w:r>
      <w:r w:rsidRPr="00A34388">
        <w:rPr>
          <w:lang w:val="es-ES_tradnl"/>
        </w:rPr>
        <w:t xml:space="preserve">sienta las bases para elaborar respuestas al riesgo adecuadas, ya sea mediante medidas de mitigación de carácter extraordinario o mediante controles internos.  </w:t>
      </w:r>
    </w:p>
    <w:p w:rsidR="00A25676" w:rsidRPr="00A34388" w:rsidRDefault="00A25676" w:rsidP="005678D5">
      <w:pPr>
        <w:jc w:val="both"/>
        <w:rPr>
          <w:lang w:val="es-ES_tradnl"/>
        </w:rPr>
      </w:pPr>
    </w:p>
    <w:p w:rsidR="005678D5" w:rsidRPr="00A34388" w:rsidRDefault="004C3413" w:rsidP="005678D5">
      <w:pPr>
        <w:jc w:val="both"/>
        <w:rPr>
          <w:lang w:val="es-ES_tradnl"/>
        </w:rPr>
      </w:pPr>
      <w:r w:rsidRPr="00A34388">
        <w:rPr>
          <w:lang w:val="es-ES_tradnl"/>
        </w:rPr>
        <w:t xml:space="preserve">Durante </w:t>
      </w:r>
      <w:r w:rsidR="005678D5" w:rsidRPr="00A34388">
        <w:rPr>
          <w:lang w:val="es-ES_tradnl"/>
        </w:rPr>
        <w:t xml:space="preserve">el bienio 2012/13 </w:t>
      </w:r>
      <w:r w:rsidRPr="00A34388">
        <w:rPr>
          <w:lang w:val="es-ES_tradnl"/>
        </w:rPr>
        <w:t>la planificación estratégica del personal, como una actividad central de la OMPI, se integró de forma sistemática en los ciclos de planificación anual y bienal del trabajo.</w:t>
      </w:r>
      <w:r w:rsidR="005678D5" w:rsidRPr="00A34388">
        <w:rPr>
          <w:lang w:val="es-ES_tradnl"/>
        </w:rPr>
        <w:t xml:space="preserve">  La OMPI continuó esforzándose por garantizar </w:t>
      </w:r>
      <w:r w:rsidR="005D360F" w:rsidRPr="00A34388">
        <w:rPr>
          <w:lang w:val="es-ES_tradnl"/>
        </w:rPr>
        <w:t xml:space="preserve">que el personal de la Organización sea evaluado en todo momento en función de las necesidades de personal futuras, </w:t>
      </w:r>
      <w:r w:rsidR="00284400" w:rsidRPr="00A34388">
        <w:rPr>
          <w:lang w:val="es-ES_tradnl"/>
        </w:rPr>
        <w:t>asegurando</w:t>
      </w:r>
      <w:r w:rsidR="00E959DB" w:rsidRPr="00A34388">
        <w:rPr>
          <w:lang w:val="es-ES_tradnl"/>
        </w:rPr>
        <w:t xml:space="preserve"> </w:t>
      </w:r>
      <w:r w:rsidR="0078038C" w:rsidRPr="00A34388">
        <w:rPr>
          <w:lang w:val="es-ES_tradnl"/>
        </w:rPr>
        <w:t xml:space="preserve">así </w:t>
      </w:r>
      <w:r w:rsidR="005678D5" w:rsidRPr="00A34388">
        <w:rPr>
          <w:lang w:val="es-ES_tradnl"/>
        </w:rPr>
        <w:t xml:space="preserve">que la Organización </w:t>
      </w:r>
      <w:r w:rsidR="005D360F" w:rsidRPr="00A34388">
        <w:rPr>
          <w:lang w:val="es-ES_tradnl"/>
        </w:rPr>
        <w:t xml:space="preserve">adecúa sus </w:t>
      </w:r>
      <w:r w:rsidR="005678D5" w:rsidRPr="00A34388">
        <w:rPr>
          <w:lang w:val="es-ES_tradnl"/>
        </w:rPr>
        <w:t xml:space="preserve">recursos humanos </w:t>
      </w:r>
      <w:r w:rsidR="005D360F" w:rsidRPr="00A34388">
        <w:rPr>
          <w:lang w:val="es-ES_tradnl"/>
        </w:rPr>
        <w:t xml:space="preserve">con vistas a poder hacer eficazmente frente </w:t>
      </w:r>
      <w:r w:rsidR="005678D5" w:rsidRPr="00A34388">
        <w:rPr>
          <w:lang w:val="es-ES_tradnl"/>
        </w:rPr>
        <w:t xml:space="preserve">a </w:t>
      </w:r>
      <w:r w:rsidR="00206D95" w:rsidRPr="00A34388">
        <w:rPr>
          <w:lang w:val="es-ES_tradnl"/>
        </w:rPr>
        <w:t>l</w:t>
      </w:r>
      <w:r w:rsidR="0078038C" w:rsidRPr="00A34388">
        <w:rPr>
          <w:lang w:val="es-ES_tradnl"/>
        </w:rPr>
        <w:t>a</w:t>
      </w:r>
      <w:r w:rsidR="00206D95" w:rsidRPr="00A34388">
        <w:rPr>
          <w:lang w:val="es-ES_tradnl"/>
        </w:rPr>
        <w:t xml:space="preserve">s </w:t>
      </w:r>
      <w:r w:rsidR="005D360F" w:rsidRPr="00A34388">
        <w:rPr>
          <w:lang w:val="es-ES_tradnl"/>
        </w:rPr>
        <w:t xml:space="preserve">necesidades </w:t>
      </w:r>
      <w:r w:rsidR="00206D95" w:rsidRPr="00A34388">
        <w:rPr>
          <w:lang w:val="es-ES_tradnl"/>
        </w:rPr>
        <w:t xml:space="preserve">de </w:t>
      </w:r>
      <w:r w:rsidR="005678D5" w:rsidRPr="00A34388">
        <w:rPr>
          <w:lang w:val="es-ES_tradnl"/>
        </w:rPr>
        <w:t xml:space="preserve">sus programas.  Los resultados del análisis del diseño orgánico de 2012 se utilizaron para </w:t>
      </w:r>
      <w:r w:rsidR="00A25676" w:rsidRPr="00A34388">
        <w:rPr>
          <w:lang w:val="es-ES_tradnl"/>
        </w:rPr>
        <w:t xml:space="preserve">planificar </w:t>
      </w:r>
      <w:r w:rsidR="005678D5" w:rsidRPr="00A34388">
        <w:rPr>
          <w:lang w:val="es-ES_tradnl"/>
        </w:rPr>
        <w:t xml:space="preserve">el </w:t>
      </w:r>
      <w:r w:rsidR="005B4C97" w:rsidRPr="00A34388">
        <w:rPr>
          <w:lang w:val="es-ES_tradnl"/>
        </w:rPr>
        <w:t xml:space="preserve">presupuesto por programas </w:t>
      </w:r>
      <w:r w:rsidR="005678D5" w:rsidRPr="00A34388">
        <w:rPr>
          <w:lang w:val="es-ES_tradnl"/>
        </w:rPr>
        <w:t xml:space="preserve">del bienio 2014/15, </w:t>
      </w:r>
      <w:r w:rsidR="0078038C" w:rsidRPr="00A34388">
        <w:rPr>
          <w:lang w:val="es-ES_tradnl"/>
        </w:rPr>
        <w:t xml:space="preserve">garantizando </w:t>
      </w:r>
      <w:r w:rsidR="005D360F" w:rsidRPr="00A34388">
        <w:rPr>
          <w:lang w:val="es-ES_tradnl"/>
        </w:rPr>
        <w:t xml:space="preserve">así </w:t>
      </w:r>
      <w:r w:rsidR="005678D5" w:rsidRPr="00A34388">
        <w:rPr>
          <w:lang w:val="es-ES_tradnl"/>
        </w:rPr>
        <w:t xml:space="preserve">una asignación adecuada de los recursos humanos </w:t>
      </w:r>
      <w:r w:rsidR="00D023E4" w:rsidRPr="00A34388">
        <w:rPr>
          <w:lang w:val="es-ES_tradnl"/>
        </w:rPr>
        <w:t xml:space="preserve">necesarios </w:t>
      </w:r>
      <w:r w:rsidR="005678D5" w:rsidRPr="00A34388">
        <w:rPr>
          <w:lang w:val="es-ES_tradnl"/>
        </w:rPr>
        <w:t xml:space="preserve">para que cada programa </w:t>
      </w:r>
      <w:r w:rsidR="00D023E4" w:rsidRPr="00A34388">
        <w:rPr>
          <w:lang w:val="es-ES_tradnl"/>
        </w:rPr>
        <w:t xml:space="preserve">pueda </w:t>
      </w:r>
      <w:r w:rsidR="004D227D" w:rsidRPr="00A34388">
        <w:rPr>
          <w:lang w:val="es-ES_tradnl"/>
        </w:rPr>
        <w:t xml:space="preserve">alcanzar </w:t>
      </w:r>
      <w:r w:rsidR="005678D5" w:rsidRPr="00A34388">
        <w:rPr>
          <w:lang w:val="es-ES_tradnl"/>
        </w:rPr>
        <w:t>sus resultados</w:t>
      </w:r>
      <w:r w:rsidR="005B4C97" w:rsidRPr="00A34388">
        <w:rPr>
          <w:lang w:val="es-ES_tradnl"/>
        </w:rPr>
        <w:t xml:space="preserve"> de un modo eficaz</w:t>
      </w:r>
      <w:r w:rsidR="005678D5" w:rsidRPr="00A34388">
        <w:rPr>
          <w:lang w:val="es-ES_tradnl"/>
        </w:rPr>
        <w:t xml:space="preserve">.  </w:t>
      </w:r>
      <w:r w:rsidR="005D360F" w:rsidRPr="00A34388">
        <w:rPr>
          <w:lang w:val="es-ES_tradnl"/>
        </w:rPr>
        <w:t xml:space="preserve">También se llevaron a cabo mejoras </w:t>
      </w:r>
      <w:r w:rsidR="005678D5" w:rsidRPr="00A34388">
        <w:rPr>
          <w:lang w:val="es-ES_tradnl"/>
        </w:rPr>
        <w:t xml:space="preserve">en el sistema de gestión del rendimiento institucional </w:t>
      </w:r>
      <w:r w:rsidR="005D360F" w:rsidRPr="00A34388">
        <w:rPr>
          <w:lang w:val="es-ES_tradnl"/>
        </w:rPr>
        <w:t xml:space="preserve">con el fin de asignar de forma más precisa el personal a las actividades </w:t>
      </w:r>
      <w:r w:rsidR="005678D5" w:rsidRPr="00A34388">
        <w:rPr>
          <w:lang w:val="es-ES_tradnl"/>
        </w:rPr>
        <w:t>programáticas</w:t>
      </w:r>
      <w:r w:rsidR="00D023E4" w:rsidRPr="00A34388">
        <w:rPr>
          <w:lang w:val="es-ES_tradnl"/>
        </w:rPr>
        <w:t xml:space="preserve"> </w:t>
      </w:r>
      <w:r w:rsidR="005D360F" w:rsidRPr="00A34388">
        <w:rPr>
          <w:lang w:val="es-ES_tradnl"/>
        </w:rPr>
        <w:t xml:space="preserve">y mejorar la </w:t>
      </w:r>
      <w:r w:rsidR="005B4C97" w:rsidRPr="00A34388">
        <w:rPr>
          <w:lang w:val="es-ES_tradnl"/>
        </w:rPr>
        <w:t xml:space="preserve">presentación de informes </w:t>
      </w:r>
      <w:r w:rsidR="005678D5" w:rsidRPr="00A34388">
        <w:rPr>
          <w:lang w:val="es-ES_tradnl"/>
        </w:rPr>
        <w:t xml:space="preserve">sobre el </w:t>
      </w:r>
      <w:r w:rsidR="00206D95" w:rsidRPr="00A34388">
        <w:rPr>
          <w:lang w:val="es-ES_tradnl"/>
        </w:rPr>
        <w:t xml:space="preserve">aprovechamiento </w:t>
      </w:r>
      <w:r w:rsidR="005678D5" w:rsidRPr="00A34388">
        <w:rPr>
          <w:lang w:val="es-ES_tradnl"/>
        </w:rPr>
        <w:t xml:space="preserve">de los recursos humanos </w:t>
      </w:r>
      <w:r w:rsidR="00D023E4" w:rsidRPr="00A34388">
        <w:rPr>
          <w:lang w:val="es-ES_tradnl"/>
        </w:rPr>
        <w:t xml:space="preserve">de la </w:t>
      </w:r>
      <w:r w:rsidR="005678D5" w:rsidRPr="00A34388">
        <w:rPr>
          <w:lang w:val="es-ES_tradnl"/>
        </w:rPr>
        <w:t xml:space="preserve">Organización.  </w:t>
      </w:r>
    </w:p>
    <w:p w:rsidR="005678D5" w:rsidRPr="00A34388" w:rsidRDefault="005678D5" w:rsidP="005678D5">
      <w:pPr>
        <w:jc w:val="both"/>
        <w:rPr>
          <w:lang w:val="es-ES_tradnl"/>
        </w:rPr>
      </w:pPr>
    </w:p>
    <w:p w:rsidR="005D360F" w:rsidRPr="00A34388" w:rsidRDefault="005678D5" w:rsidP="005678D5">
      <w:pPr>
        <w:jc w:val="both"/>
        <w:rPr>
          <w:lang w:val="es-ES_tradnl"/>
        </w:rPr>
      </w:pPr>
      <w:r w:rsidRPr="00A34388">
        <w:rPr>
          <w:lang w:val="es-ES_tradnl"/>
        </w:rPr>
        <w:t xml:space="preserve">El proceso de regularización de los empleados temporeros con muchos años de servicio en la Organización, aprobado por los Estados miembros en 2010, quedó prácticamente completado </w:t>
      </w:r>
      <w:r w:rsidR="00206D95" w:rsidRPr="00A34388">
        <w:rPr>
          <w:lang w:val="es-ES_tradnl"/>
        </w:rPr>
        <w:t xml:space="preserve">en </w:t>
      </w:r>
      <w:r w:rsidRPr="00A34388">
        <w:rPr>
          <w:lang w:val="es-ES_tradnl"/>
        </w:rPr>
        <w:t xml:space="preserve">el bienio.  Alrededor de 67 empleados que desempeñaban funciones </w:t>
      </w:r>
      <w:r w:rsidR="00763204">
        <w:rPr>
          <w:lang w:val="es-ES_tradnl"/>
        </w:rPr>
        <w:t>de naturaleza permanente</w:t>
      </w:r>
      <w:r w:rsidRPr="00A34388">
        <w:rPr>
          <w:lang w:val="es-ES_tradnl"/>
        </w:rPr>
        <w:t xml:space="preserve"> y tenían cinco o más años de servicio continuo y satisfactorio a 1 de enero de 2012 quedaron regularizados a lo largo del bienio a través de un procedimiento competitivo.  E</w:t>
      </w:r>
      <w:r w:rsidR="004C3413" w:rsidRPr="00A34388">
        <w:rPr>
          <w:lang w:val="es-ES_tradnl"/>
        </w:rPr>
        <w:t>ste</w:t>
      </w:r>
      <w:r w:rsidRPr="00A34388">
        <w:rPr>
          <w:lang w:val="es-ES_tradnl"/>
        </w:rPr>
        <w:t xml:space="preserve"> proceso de regularización quedará </w:t>
      </w:r>
      <w:r w:rsidR="004C3413" w:rsidRPr="00A34388">
        <w:rPr>
          <w:lang w:val="es-ES_tradnl"/>
        </w:rPr>
        <w:t xml:space="preserve">completado </w:t>
      </w:r>
      <w:r w:rsidRPr="00A34388">
        <w:rPr>
          <w:lang w:val="es-ES_tradnl"/>
        </w:rPr>
        <w:t>a finales de 2014.  Además, la implementación del Estatuto y Reglamento del Personal revisado sobre la contratación de personal, los cambios introducidos en la composición de las juntas</w:t>
      </w:r>
      <w:r w:rsidR="003F11A0">
        <w:rPr>
          <w:lang w:val="es-ES_tradnl"/>
        </w:rPr>
        <w:t xml:space="preserve"> de nombramiento en </w:t>
      </w:r>
      <w:r w:rsidRPr="00A34388">
        <w:rPr>
          <w:lang w:val="es-ES_tradnl"/>
        </w:rPr>
        <w:t xml:space="preserve">2012 y la racionalización de los </w:t>
      </w:r>
      <w:r w:rsidR="004D227D" w:rsidRPr="00A34388">
        <w:rPr>
          <w:lang w:val="es-ES_tradnl"/>
        </w:rPr>
        <w:t xml:space="preserve">procesos de contratación </w:t>
      </w:r>
      <w:r w:rsidR="005D360F" w:rsidRPr="00A34388">
        <w:rPr>
          <w:lang w:val="es-ES_tradnl"/>
        </w:rPr>
        <w:t xml:space="preserve">redujeron </w:t>
      </w:r>
      <w:r w:rsidR="00CD5978" w:rsidRPr="00A34388">
        <w:rPr>
          <w:lang w:val="es-ES_tradnl"/>
        </w:rPr>
        <w:t>en un significativo 57% el tiempo necesario para llevar a cabo una contratación,</w:t>
      </w:r>
      <w:r w:rsidR="00711F36">
        <w:rPr>
          <w:lang w:val="es-ES_tradnl"/>
        </w:rPr>
        <w:t xml:space="preserve"> hasta una media de 16</w:t>
      </w:r>
      <w:r w:rsidR="005D360F" w:rsidRPr="00A34388">
        <w:rPr>
          <w:lang w:val="es-ES_tradnl"/>
        </w:rPr>
        <w:t xml:space="preserve"> semanas, frente a las 37,7 semanas de finales de 2011.</w:t>
      </w:r>
    </w:p>
    <w:p w:rsidR="00CD5978" w:rsidRPr="00332758" w:rsidRDefault="00CD5978" w:rsidP="005678D5">
      <w:pPr>
        <w:jc w:val="both"/>
        <w:rPr>
          <w:rFonts w:eastAsia="MS Mincho"/>
          <w:lang w:val="es-ES_tradnl" w:eastAsia="ja-JP" w:bidi="th-TH"/>
        </w:rPr>
      </w:pPr>
    </w:p>
    <w:p w:rsidR="005678D5" w:rsidRPr="00A34388" w:rsidRDefault="005678D5" w:rsidP="005678D5">
      <w:pPr>
        <w:jc w:val="both"/>
        <w:rPr>
          <w:rFonts w:eastAsia="MS Mincho"/>
          <w:lang w:val="es-ES_tradnl" w:eastAsia="ja-JP" w:bidi="th-TH"/>
        </w:rPr>
      </w:pPr>
      <w:r w:rsidRPr="00332758">
        <w:rPr>
          <w:rFonts w:eastAsia="MS Mincho"/>
          <w:lang w:val="es-ES_tradnl" w:eastAsia="ja-JP" w:bidi="th-TH"/>
        </w:rPr>
        <w:t xml:space="preserve">Tras un intenso proceso de consultas, la OMPI modernizó el Estatuto y el Reglamento del Personal a fin de adecuarlo a las normas establecidas por la Comisión de la Administración Pública Internacional (CAPI) y a la práctica imperante en el sistema común de las Naciones Unidas.  El Estatuto y el Reglamento del Personal revisados entraron en vigor el 1 de enero de 2013 respaldados por un marco totalmente actualizado para las órdenes de servicio.  La OMPI puso en práctica asimismo en 2012 un marco contractual simplificado, de acuerdo con las recomendaciones formuladas por la CAPI.  En este nuevo marco se concede al personal temporero la misma consideración que a los miembros del personal, con lo que aumentan los beneficios para los primeros.  </w:t>
      </w:r>
      <w:r w:rsidRPr="00A34388">
        <w:rPr>
          <w:rFonts w:eastAsia="MS Mincho"/>
          <w:lang w:val="es-ES_tradnl" w:eastAsia="ja-JP" w:bidi="th-TH"/>
        </w:rPr>
        <w:t>Asimismo, un</w:t>
      </w:r>
      <w:r w:rsidR="00CD5978" w:rsidRPr="00A34388">
        <w:rPr>
          <w:rFonts w:eastAsia="MS Mincho"/>
          <w:lang w:val="es-ES_tradnl" w:eastAsia="ja-JP" w:bidi="th-TH"/>
        </w:rPr>
        <w:t>a</w:t>
      </w:r>
      <w:r w:rsidRPr="00A34388">
        <w:rPr>
          <w:rFonts w:eastAsia="MS Mincho"/>
          <w:lang w:val="es-ES_tradnl" w:eastAsia="ja-JP" w:bidi="th-TH"/>
        </w:rPr>
        <w:t xml:space="preserve"> </w:t>
      </w:r>
      <w:r w:rsidR="00CD5978" w:rsidRPr="00A34388">
        <w:rPr>
          <w:rFonts w:eastAsia="MS Mincho"/>
          <w:lang w:val="es-ES_tradnl" w:eastAsia="ja-JP" w:bidi="th-TH"/>
        </w:rPr>
        <w:t xml:space="preserve">revisión </w:t>
      </w:r>
      <w:r w:rsidRPr="00A34388">
        <w:rPr>
          <w:rFonts w:eastAsia="MS Mincho"/>
          <w:lang w:val="es-ES_tradnl" w:eastAsia="ja-JP" w:bidi="th-TH"/>
        </w:rPr>
        <w:t xml:space="preserve">del sistema de justicia interna, que incluyó un estudio exhaustivo </w:t>
      </w:r>
      <w:r w:rsidR="00CD5978" w:rsidRPr="00A34388">
        <w:rPr>
          <w:rFonts w:eastAsia="MS Mincho"/>
          <w:lang w:val="es-ES_tradnl" w:eastAsia="ja-JP" w:bidi="th-TH"/>
        </w:rPr>
        <w:t xml:space="preserve">a cargo de </w:t>
      </w:r>
      <w:r w:rsidRPr="00A34388">
        <w:rPr>
          <w:rFonts w:eastAsia="MS Mincho"/>
          <w:lang w:val="es-ES_tradnl" w:eastAsia="ja-JP" w:bidi="th-TH"/>
        </w:rPr>
        <w:t xml:space="preserve">un experto externo </w:t>
      </w:r>
      <w:r w:rsidR="00CD5978" w:rsidRPr="00A34388">
        <w:rPr>
          <w:rFonts w:eastAsia="MS Mincho"/>
          <w:lang w:val="es-ES_tradnl" w:eastAsia="ja-JP" w:bidi="th-TH"/>
        </w:rPr>
        <w:t xml:space="preserve">y numerosas </w:t>
      </w:r>
      <w:r w:rsidRPr="00A34388">
        <w:rPr>
          <w:rFonts w:eastAsia="MS Mincho"/>
          <w:lang w:val="es-ES_tradnl" w:eastAsia="ja-JP" w:bidi="th-TH"/>
        </w:rPr>
        <w:t xml:space="preserve">consultas con </w:t>
      </w:r>
      <w:r w:rsidR="00CD5978" w:rsidRPr="00A34388">
        <w:rPr>
          <w:rFonts w:eastAsia="MS Mincho"/>
          <w:lang w:val="es-ES_tradnl" w:eastAsia="ja-JP" w:bidi="th-TH"/>
        </w:rPr>
        <w:t xml:space="preserve">distintos </w:t>
      </w:r>
      <w:r w:rsidRPr="00A34388">
        <w:rPr>
          <w:rFonts w:eastAsia="MS Mincho"/>
          <w:lang w:val="es-ES_tradnl" w:eastAsia="ja-JP" w:bidi="th-TH"/>
        </w:rPr>
        <w:t xml:space="preserve">sectores interesados, </w:t>
      </w:r>
      <w:r w:rsidR="00CD5978" w:rsidRPr="00A34388">
        <w:rPr>
          <w:rFonts w:eastAsia="MS Mincho"/>
          <w:lang w:val="es-ES_tradnl" w:eastAsia="ja-JP" w:bidi="th-TH"/>
        </w:rPr>
        <w:t xml:space="preserve">dio lugar a </w:t>
      </w:r>
      <w:r w:rsidRPr="00A34388">
        <w:rPr>
          <w:rFonts w:eastAsia="MS Mincho"/>
          <w:lang w:val="es-ES_tradnl" w:eastAsia="ja-JP" w:bidi="th-TH"/>
        </w:rPr>
        <w:t xml:space="preserve">la introducción de </w:t>
      </w:r>
      <w:r w:rsidR="00184A5B" w:rsidRPr="00A34388">
        <w:rPr>
          <w:rFonts w:eastAsia="MS Mincho"/>
          <w:lang w:val="es-ES_tradnl" w:eastAsia="ja-JP" w:bidi="th-TH"/>
        </w:rPr>
        <w:t xml:space="preserve">una serie de enmiendas </w:t>
      </w:r>
      <w:r w:rsidRPr="00A34388">
        <w:rPr>
          <w:rFonts w:eastAsia="MS Mincho"/>
          <w:lang w:val="es-ES_tradnl" w:eastAsia="ja-JP" w:bidi="th-TH"/>
        </w:rPr>
        <w:t xml:space="preserve">en el </w:t>
      </w:r>
      <w:r w:rsidRPr="00A34388">
        <w:rPr>
          <w:lang w:val="es-ES_tradnl"/>
        </w:rPr>
        <w:t>Estatuto y Reglamento del Personal</w:t>
      </w:r>
      <w:r w:rsidRPr="00A34388">
        <w:rPr>
          <w:rFonts w:eastAsia="MS Mincho"/>
          <w:lang w:val="es-ES_tradnl" w:eastAsia="ja-JP" w:bidi="th-TH"/>
        </w:rPr>
        <w:t xml:space="preserve">, que entraron en vigor el 1 de enero de 2014.  </w:t>
      </w:r>
    </w:p>
    <w:p w:rsidR="005678D5" w:rsidRPr="00A34388" w:rsidRDefault="005678D5" w:rsidP="005678D5">
      <w:pPr>
        <w:jc w:val="both"/>
        <w:rPr>
          <w:rFonts w:eastAsia="Batang"/>
          <w:bCs/>
          <w:lang w:val="es-ES_tradnl" w:eastAsia="ja-JP"/>
        </w:rPr>
      </w:pPr>
    </w:p>
    <w:p w:rsidR="005678D5" w:rsidRPr="00A34388" w:rsidRDefault="005678D5" w:rsidP="005678D5">
      <w:pPr>
        <w:pStyle w:val="Test"/>
        <w:numPr>
          <w:ilvl w:val="0"/>
          <w:numId w:val="0"/>
        </w:numPr>
        <w:jc w:val="both"/>
        <w:rPr>
          <w:sz w:val="20"/>
          <w:szCs w:val="20"/>
          <w:lang w:val="es-ES_tradnl"/>
        </w:rPr>
      </w:pPr>
      <w:r w:rsidRPr="00A34388">
        <w:rPr>
          <w:sz w:val="20"/>
          <w:szCs w:val="20"/>
          <w:lang w:val="es-ES_tradnl"/>
        </w:rPr>
        <w:t xml:space="preserve">En </w:t>
      </w:r>
      <w:r w:rsidR="00184A5B" w:rsidRPr="00A34388">
        <w:rPr>
          <w:sz w:val="20"/>
          <w:szCs w:val="20"/>
          <w:lang w:val="es-ES_tradnl"/>
        </w:rPr>
        <w:t xml:space="preserve">cuanto a las </w:t>
      </w:r>
      <w:r w:rsidRPr="00A34388">
        <w:rPr>
          <w:sz w:val="20"/>
          <w:szCs w:val="20"/>
          <w:lang w:val="es-ES_tradnl"/>
        </w:rPr>
        <w:t xml:space="preserve">actividades relativas a las compras y los viajes, siguieron lográndose economías gracias a las licitaciones realizadas en cooperación con otras organizaciones internacionales.  Un </w:t>
      </w:r>
      <w:r w:rsidR="00D023E4" w:rsidRPr="00A34388">
        <w:rPr>
          <w:sz w:val="20"/>
          <w:szCs w:val="20"/>
          <w:lang w:val="es-ES_tradnl"/>
        </w:rPr>
        <w:t xml:space="preserve">avance destacado </w:t>
      </w:r>
      <w:r w:rsidRPr="00A34388">
        <w:rPr>
          <w:sz w:val="20"/>
          <w:szCs w:val="20"/>
          <w:lang w:val="es-ES_tradnl"/>
        </w:rPr>
        <w:t xml:space="preserve">del bienio fue la </w:t>
      </w:r>
      <w:r w:rsidR="00D023E4" w:rsidRPr="00A34388">
        <w:rPr>
          <w:sz w:val="20"/>
          <w:szCs w:val="20"/>
          <w:lang w:val="es-ES_tradnl"/>
        </w:rPr>
        <w:t xml:space="preserve">actualización </w:t>
      </w:r>
      <w:r w:rsidRPr="00A34388">
        <w:rPr>
          <w:sz w:val="20"/>
          <w:szCs w:val="20"/>
          <w:lang w:val="es-ES_tradnl"/>
        </w:rPr>
        <w:t>de los módulos de compras de la planificación de los recursos institucionales (PRI), y la integración de las solicitudes de viaje ajenas al personal en el sistema de e-</w:t>
      </w:r>
      <w:proofErr w:type="spellStart"/>
      <w:r w:rsidRPr="00A34388">
        <w:rPr>
          <w:sz w:val="20"/>
          <w:szCs w:val="20"/>
          <w:lang w:val="es-ES_tradnl"/>
        </w:rPr>
        <w:t>work</w:t>
      </w:r>
      <w:proofErr w:type="spellEnd"/>
      <w:r w:rsidRPr="00A34388">
        <w:rPr>
          <w:sz w:val="20"/>
          <w:szCs w:val="20"/>
          <w:lang w:val="es-ES_tradnl"/>
        </w:rPr>
        <w:t xml:space="preserve">.  </w:t>
      </w:r>
      <w:r w:rsidRPr="00332758">
        <w:rPr>
          <w:sz w:val="20"/>
          <w:szCs w:val="20"/>
          <w:lang w:val="es-ES_tradnl"/>
        </w:rPr>
        <w:t xml:space="preserve">El marco normativo fue asimismo actualizado y mejorado con un nuevo procedimiento de compras para el proyecto de finalización de la nueva sala de conferencias, un código de conducta para la gestión </w:t>
      </w:r>
      <w:r w:rsidRPr="00332758">
        <w:rPr>
          <w:sz w:val="20"/>
          <w:szCs w:val="20"/>
          <w:lang w:val="es-ES_tradnl"/>
        </w:rPr>
        <w:lastRenderedPageBreak/>
        <w:t>de las relaciones con los proveedores y una nueva política de viajes que incluye la modificación del umbral de acceso a la clase ejecutiva.</w:t>
      </w:r>
    </w:p>
    <w:p w:rsidR="005678D5" w:rsidRPr="00A34388" w:rsidRDefault="005678D5" w:rsidP="005678D5">
      <w:pPr>
        <w:pStyle w:val="Test"/>
        <w:numPr>
          <w:ilvl w:val="0"/>
          <w:numId w:val="0"/>
        </w:numPr>
        <w:jc w:val="both"/>
        <w:rPr>
          <w:sz w:val="20"/>
          <w:szCs w:val="20"/>
          <w:lang w:val="es-ES_tradnl"/>
        </w:rPr>
      </w:pPr>
    </w:p>
    <w:p w:rsidR="005678D5" w:rsidRPr="00A34388" w:rsidRDefault="005678D5" w:rsidP="005678D5">
      <w:pPr>
        <w:pStyle w:val="Test"/>
        <w:numPr>
          <w:ilvl w:val="0"/>
          <w:numId w:val="0"/>
        </w:numPr>
        <w:jc w:val="both"/>
        <w:rPr>
          <w:sz w:val="20"/>
          <w:szCs w:val="20"/>
          <w:lang w:val="es-ES_tradnl"/>
        </w:rPr>
      </w:pPr>
      <w:r w:rsidRPr="00A34388">
        <w:rPr>
          <w:sz w:val="20"/>
          <w:szCs w:val="20"/>
          <w:lang w:val="es-ES_tradnl"/>
        </w:rPr>
        <w:t xml:space="preserve">En </w:t>
      </w:r>
      <w:r w:rsidR="00E959DB" w:rsidRPr="00A34388">
        <w:rPr>
          <w:sz w:val="20"/>
          <w:szCs w:val="20"/>
          <w:lang w:val="es-ES_tradnl"/>
        </w:rPr>
        <w:t xml:space="preserve">cuanto a las mejoras </w:t>
      </w:r>
      <w:r w:rsidRPr="00A34388">
        <w:rPr>
          <w:sz w:val="20"/>
          <w:szCs w:val="20"/>
          <w:lang w:val="es-ES_tradnl"/>
        </w:rPr>
        <w:t xml:space="preserve">en </w:t>
      </w:r>
      <w:r w:rsidR="00A243AD" w:rsidRPr="00A34388">
        <w:rPr>
          <w:sz w:val="20"/>
          <w:szCs w:val="20"/>
          <w:lang w:val="es-ES_tradnl"/>
        </w:rPr>
        <w:t xml:space="preserve">el ámbito de </w:t>
      </w:r>
      <w:r w:rsidRPr="00A34388">
        <w:rPr>
          <w:sz w:val="20"/>
          <w:szCs w:val="20"/>
          <w:lang w:val="es-ES_tradnl"/>
        </w:rPr>
        <w:t xml:space="preserve">las TIC, </w:t>
      </w:r>
      <w:r w:rsidR="00E959DB" w:rsidRPr="00A34388">
        <w:rPr>
          <w:sz w:val="20"/>
          <w:szCs w:val="20"/>
          <w:lang w:val="es-ES_tradnl"/>
        </w:rPr>
        <w:t>los siguientes logros fueron los más reseñables d</w:t>
      </w:r>
      <w:r w:rsidR="00A243AD" w:rsidRPr="00A34388">
        <w:rPr>
          <w:sz w:val="20"/>
          <w:szCs w:val="20"/>
          <w:lang w:val="es-ES_tradnl"/>
        </w:rPr>
        <w:t>el bienio</w:t>
      </w:r>
      <w:r w:rsidRPr="00A34388">
        <w:rPr>
          <w:sz w:val="20"/>
          <w:szCs w:val="20"/>
          <w:lang w:val="es-ES_tradnl"/>
        </w:rPr>
        <w:t xml:space="preserve">:  </w:t>
      </w:r>
      <w:r w:rsidR="00A243AD" w:rsidRPr="00A34388">
        <w:rPr>
          <w:sz w:val="20"/>
          <w:szCs w:val="20"/>
          <w:lang w:val="es-ES_tradnl"/>
        </w:rPr>
        <w:t xml:space="preserve">el despliegue completo </w:t>
      </w:r>
      <w:r w:rsidRPr="00A34388">
        <w:rPr>
          <w:sz w:val="20"/>
          <w:szCs w:val="20"/>
          <w:lang w:val="es-ES_tradnl"/>
        </w:rPr>
        <w:t xml:space="preserve">de una nueva arquitectura interna de redes de datos que refuerza los controles de seguridad de la red y gestiona eficazmente el tráfico multimedia (voz, video y datos);  un nuevo sistema de telefonía basado en </w:t>
      </w:r>
      <w:r w:rsidR="00392742">
        <w:rPr>
          <w:sz w:val="20"/>
          <w:szCs w:val="20"/>
          <w:lang w:val="es-ES_tradnl"/>
        </w:rPr>
        <w:t>el protocolo de Internet</w:t>
      </w:r>
      <w:r w:rsidRPr="00A34388">
        <w:rPr>
          <w:sz w:val="20"/>
          <w:szCs w:val="20"/>
          <w:lang w:val="es-ES_tradnl"/>
        </w:rPr>
        <w:t xml:space="preserve">;  la difusión en directo por internet de 40 reuniones de la OMPI y de las conferencias diplomáticas de Beijing y Marrakech;  la actualización de los sistemas de productividad </w:t>
      </w:r>
      <w:r w:rsidR="00A243AD" w:rsidRPr="00A34388">
        <w:rPr>
          <w:sz w:val="20"/>
          <w:szCs w:val="20"/>
          <w:lang w:val="es-ES_tradnl"/>
        </w:rPr>
        <w:t xml:space="preserve">ofimática </w:t>
      </w:r>
      <w:r w:rsidR="007A5D70" w:rsidRPr="00A34388">
        <w:rPr>
          <w:sz w:val="20"/>
          <w:szCs w:val="20"/>
          <w:lang w:val="es-ES_tradnl"/>
        </w:rPr>
        <w:t xml:space="preserve">para </w:t>
      </w:r>
      <w:r w:rsidRPr="00A34388">
        <w:rPr>
          <w:sz w:val="20"/>
          <w:szCs w:val="20"/>
          <w:lang w:val="es-ES_tradnl"/>
        </w:rPr>
        <w:t xml:space="preserve">armonizarlos con las plataformas estándar de la industria;  la implantación de una plataforma de autenticación única en Internet (SSO) que permite un uso más seguro y eficiente de los nuevos módulos de </w:t>
      </w:r>
      <w:proofErr w:type="spellStart"/>
      <w:r w:rsidRPr="00A34388">
        <w:rPr>
          <w:sz w:val="20"/>
          <w:szCs w:val="20"/>
          <w:lang w:val="es-ES_tradnl"/>
        </w:rPr>
        <w:t>PeopleSoft</w:t>
      </w:r>
      <w:proofErr w:type="spellEnd"/>
      <w:r w:rsidRPr="00A34388">
        <w:rPr>
          <w:sz w:val="20"/>
          <w:szCs w:val="20"/>
          <w:lang w:val="es-ES_tradnl"/>
        </w:rPr>
        <w:t xml:space="preserve"> y Oracle </w:t>
      </w:r>
      <w:proofErr w:type="spellStart"/>
      <w:r w:rsidRPr="00A34388">
        <w:rPr>
          <w:sz w:val="20"/>
          <w:szCs w:val="20"/>
          <w:lang w:val="es-ES_tradnl"/>
        </w:rPr>
        <w:t>Hyperion</w:t>
      </w:r>
      <w:proofErr w:type="spellEnd"/>
      <w:r w:rsidRPr="00A34388">
        <w:rPr>
          <w:sz w:val="20"/>
          <w:szCs w:val="20"/>
          <w:lang w:val="es-ES_tradnl"/>
        </w:rPr>
        <w:t xml:space="preserve"> EPM utilizados en el marco del proyecto de planificación de los recursos institucionales;  y las mejoras </w:t>
      </w:r>
      <w:r w:rsidR="00A243AD" w:rsidRPr="00A34388">
        <w:rPr>
          <w:sz w:val="20"/>
          <w:szCs w:val="20"/>
          <w:lang w:val="es-ES_tradnl"/>
        </w:rPr>
        <w:t xml:space="preserve">introducidas </w:t>
      </w:r>
      <w:r w:rsidRPr="00A34388">
        <w:rPr>
          <w:sz w:val="20"/>
          <w:szCs w:val="20"/>
          <w:lang w:val="es-ES_tradnl"/>
        </w:rPr>
        <w:t xml:space="preserve">en una serie de aplicaciones administrativas </w:t>
      </w:r>
      <w:r w:rsidR="00A243AD" w:rsidRPr="00A34388">
        <w:rPr>
          <w:sz w:val="20"/>
          <w:szCs w:val="20"/>
          <w:lang w:val="es-ES_tradnl"/>
        </w:rPr>
        <w:t xml:space="preserve">al objeto de incrementar </w:t>
      </w:r>
      <w:r w:rsidRPr="00A34388">
        <w:rPr>
          <w:sz w:val="20"/>
          <w:szCs w:val="20"/>
          <w:lang w:val="es-ES_tradnl"/>
        </w:rPr>
        <w:t xml:space="preserve">la eficiencia de </w:t>
      </w:r>
      <w:r w:rsidR="004D227D" w:rsidRPr="00A34388">
        <w:rPr>
          <w:sz w:val="20"/>
          <w:szCs w:val="20"/>
          <w:lang w:val="es-ES_tradnl"/>
        </w:rPr>
        <w:t>este tipo de procesos</w:t>
      </w:r>
      <w:r w:rsidRPr="00A34388">
        <w:rPr>
          <w:sz w:val="20"/>
          <w:szCs w:val="20"/>
          <w:lang w:val="es-ES_tradnl"/>
        </w:rPr>
        <w:t>.  Asimismo, en el ámbito de la seguridad de la información, la OMPI obtuvo en noviembre de 2013 la certificación ISO 27001 (Norma Internacional para la Gestión de la Seguridad de la Información).  La OMPI es una de las</w:t>
      </w:r>
      <w:r w:rsidR="00CC21B3" w:rsidRPr="00A34388">
        <w:rPr>
          <w:sz w:val="20"/>
          <w:szCs w:val="20"/>
          <w:lang w:val="es-ES_tradnl"/>
        </w:rPr>
        <w:t xml:space="preserve"> única</w:t>
      </w:r>
      <w:r w:rsidR="00392742">
        <w:rPr>
          <w:sz w:val="20"/>
          <w:szCs w:val="20"/>
          <w:lang w:val="es-ES_tradnl"/>
        </w:rPr>
        <w:t>s</w:t>
      </w:r>
      <w:r w:rsidR="00CC21B3" w:rsidRPr="00A34388">
        <w:rPr>
          <w:sz w:val="20"/>
          <w:szCs w:val="20"/>
          <w:lang w:val="es-ES_tradnl"/>
        </w:rPr>
        <w:t xml:space="preserve"> </w:t>
      </w:r>
      <w:r w:rsidRPr="00A34388">
        <w:rPr>
          <w:sz w:val="20"/>
          <w:szCs w:val="20"/>
          <w:lang w:val="es-ES_tradnl"/>
        </w:rPr>
        <w:t xml:space="preserve">tres entidades de las NN.UU. </w:t>
      </w:r>
      <w:r w:rsidR="00A243AD" w:rsidRPr="00A34388">
        <w:rPr>
          <w:sz w:val="20"/>
          <w:szCs w:val="20"/>
          <w:lang w:val="es-ES_tradnl"/>
        </w:rPr>
        <w:t>que cuenta</w:t>
      </w:r>
      <w:r w:rsidR="004D227D" w:rsidRPr="00A34388">
        <w:rPr>
          <w:sz w:val="20"/>
          <w:szCs w:val="20"/>
          <w:lang w:val="es-ES_tradnl"/>
        </w:rPr>
        <w:t>n</w:t>
      </w:r>
      <w:r w:rsidR="00A243AD" w:rsidRPr="00A34388">
        <w:rPr>
          <w:sz w:val="20"/>
          <w:szCs w:val="20"/>
          <w:lang w:val="es-ES_tradnl"/>
        </w:rPr>
        <w:t xml:space="preserve"> con esta </w:t>
      </w:r>
      <w:r w:rsidRPr="00A34388">
        <w:rPr>
          <w:sz w:val="20"/>
          <w:szCs w:val="20"/>
          <w:lang w:val="es-ES_tradnl"/>
        </w:rPr>
        <w:t>certificación.  Se potenció la resistencia de la Organización a las amenazas exteriores, incluido el ataque distribuido de denegación de servicio, mediante la adopción de una red de distribución de contenido y el despliegue de controles tecnológicos mejorados.</w:t>
      </w:r>
    </w:p>
    <w:p w:rsidR="005678D5" w:rsidRPr="00A34388" w:rsidRDefault="005678D5" w:rsidP="005678D5">
      <w:pPr>
        <w:pStyle w:val="Test"/>
        <w:numPr>
          <w:ilvl w:val="0"/>
          <w:numId w:val="0"/>
        </w:numPr>
        <w:jc w:val="both"/>
        <w:rPr>
          <w:sz w:val="20"/>
          <w:szCs w:val="20"/>
          <w:lang w:val="es-ES_tradnl"/>
        </w:rPr>
      </w:pPr>
    </w:p>
    <w:p w:rsidR="005678D5" w:rsidRPr="00A34388" w:rsidRDefault="005678D5" w:rsidP="005678D5">
      <w:pPr>
        <w:jc w:val="both"/>
        <w:rPr>
          <w:rFonts w:eastAsia="Batang"/>
          <w:bCs/>
          <w:lang w:val="es-ES_tradnl" w:eastAsia="ja-JP"/>
        </w:rPr>
      </w:pPr>
      <w:r w:rsidRPr="00A34388">
        <w:rPr>
          <w:rFonts w:eastAsia="Batang"/>
          <w:bCs/>
          <w:lang w:val="es-ES_tradnl" w:eastAsia="ja-JP"/>
        </w:rPr>
        <w:t>La aplicación de la Política Lingüística de la OMPI, adoptada por los Estados miembros en las Asambleas de 2011 y puesta en marcha en 2012, quedó completada al final del bienio con una cobertura de seis idiomas destinada a las reuniones de todos los comités y órganos principales de la OMPI.</w:t>
      </w:r>
    </w:p>
    <w:p w:rsidR="005678D5" w:rsidRPr="00A34388" w:rsidRDefault="005678D5" w:rsidP="005678D5">
      <w:pPr>
        <w:jc w:val="both"/>
        <w:rPr>
          <w:rFonts w:eastAsia="Batang"/>
          <w:bCs/>
          <w:lang w:val="es-ES_tradnl" w:eastAsia="ja-JP"/>
        </w:rPr>
      </w:pPr>
    </w:p>
    <w:p w:rsidR="007C6719" w:rsidRPr="00A34388" w:rsidRDefault="005678D5" w:rsidP="005678D5">
      <w:pPr>
        <w:jc w:val="both"/>
        <w:rPr>
          <w:lang w:val="es-ES_tradnl"/>
        </w:rPr>
      </w:pPr>
      <w:r w:rsidRPr="00332758">
        <w:rPr>
          <w:lang w:val="es-ES_tradnl"/>
        </w:rPr>
        <w:t>Las obras del proyecto de la nueva sala de conferencias se iniciaron a mediados de agosto de 2011 y hasta finales de ese año se estuvieron realizando las excavaciones y la construcción de la estructura principal.</w:t>
      </w:r>
      <w:r w:rsidRPr="00A34388">
        <w:rPr>
          <w:lang w:val="es-ES_tradnl"/>
        </w:rPr>
        <w:t xml:space="preserve">  </w:t>
      </w:r>
      <w:r w:rsidRPr="00332758">
        <w:rPr>
          <w:lang w:val="es-ES_tradnl"/>
        </w:rPr>
        <w:t>Durante la primera mitad de 2012 la OMPI mantuvo varios debates de alto nivel con el antiguo contratista general que condujeron a la rescisión conjunta y amistosa de la relación contractual.</w:t>
      </w:r>
      <w:r w:rsidRPr="00A34388">
        <w:rPr>
          <w:lang w:val="es-ES_tradnl"/>
        </w:rPr>
        <w:t xml:space="preserve">  A partir del mes de agosto de 2012 el proyecto se encuentra bajo la responsabilidad directa de la OMPI.  Por consiguiente, se introdujeron una serie de modificaciones en la estructura de gestión y gobernanza del proyecto, así como en su marco contractual, y se impartieron mandatos suplementarios a las empresas de arquitectura, de pilotaje y de ingeniería distribuyendo así los elementos integrantes del mandato del contratista general.  </w:t>
      </w:r>
      <w:r w:rsidR="00020026" w:rsidRPr="00A34388">
        <w:rPr>
          <w:lang w:val="es-ES_tradnl"/>
        </w:rPr>
        <w:t xml:space="preserve">La </w:t>
      </w:r>
      <w:r w:rsidRPr="00A34388">
        <w:rPr>
          <w:lang w:val="es-ES_tradnl"/>
        </w:rPr>
        <w:t xml:space="preserve">estructura </w:t>
      </w:r>
      <w:r w:rsidR="007B16BD" w:rsidRPr="00A34388">
        <w:rPr>
          <w:lang w:val="es-ES_tradnl"/>
        </w:rPr>
        <w:t xml:space="preserve">así </w:t>
      </w:r>
      <w:r w:rsidRPr="00A34388">
        <w:rPr>
          <w:lang w:val="es-ES_tradnl"/>
        </w:rPr>
        <w:t xml:space="preserve">adaptada de </w:t>
      </w:r>
      <w:r w:rsidR="007B16BD" w:rsidRPr="00A34388">
        <w:rPr>
          <w:lang w:val="es-ES_tradnl"/>
        </w:rPr>
        <w:t xml:space="preserve">gestión </w:t>
      </w:r>
      <w:r w:rsidRPr="00A34388">
        <w:rPr>
          <w:lang w:val="es-ES_tradnl"/>
        </w:rPr>
        <w:t xml:space="preserve">y gobernanza del proyecto aportó mayor flexibilidad y agilidad, </w:t>
      </w:r>
      <w:r w:rsidR="007B16BD" w:rsidRPr="00A34388">
        <w:rPr>
          <w:lang w:val="es-ES_tradnl"/>
        </w:rPr>
        <w:t xml:space="preserve">y </w:t>
      </w:r>
      <w:r w:rsidRPr="00A34388">
        <w:rPr>
          <w:lang w:val="es-ES_tradnl"/>
        </w:rPr>
        <w:t xml:space="preserve">gracias a </w:t>
      </w:r>
      <w:r w:rsidR="007B16BD" w:rsidRPr="00A34388">
        <w:rPr>
          <w:lang w:val="es-ES_tradnl"/>
        </w:rPr>
        <w:t xml:space="preserve">ella pudieron mejorarse los </w:t>
      </w:r>
      <w:r w:rsidRPr="00A34388">
        <w:rPr>
          <w:lang w:val="es-ES_tradnl"/>
        </w:rPr>
        <w:t xml:space="preserve">tiempos de respuesta.  Los acuerdos mencionados permitieron igualmente abordar, </w:t>
      </w:r>
      <w:r w:rsidR="007B16BD" w:rsidRPr="00A34388">
        <w:rPr>
          <w:lang w:val="es-ES_tradnl"/>
        </w:rPr>
        <w:t>con prontitud e iniciativa</w:t>
      </w:r>
      <w:r w:rsidRPr="00A34388">
        <w:rPr>
          <w:lang w:val="es-ES_tradnl"/>
        </w:rPr>
        <w:t>, una serie de modificaciones en el proyecto, así como vari</w:t>
      </w:r>
      <w:r w:rsidR="00CC21B3" w:rsidRPr="00A34388">
        <w:rPr>
          <w:lang w:val="es-ES_tradnl"/>
        </w:rPr>
        <w:t>o</w:t>
      </w:r>
      <w:r w:rsidRPr="00A34388">
        <w:rPr>
          <w:lang w:val="es-ES_tradnl"/>
        </w:rPr>
        <w:t>s imprevist</w:t>
      </w:r>
      <w:r w:rsidR="00CC21B3" w:rsidRPr="00A34388">
        <w:rPr>
          <w:lang w:val="es-ES_tradnl"/>
        </w:rPr>
        <w:t>o</w:t>
      </w:r>
      <w:r w:rsidRPr="00A34388">
        <w:rPr>
          <w:lang w:val="es-ES_tradnl"/>
        </w:rPr>
        <w:t xml:space="preserve">s </w:t>
      </w:r>
      <w:r w:rsidR="007B16BD" w:rsidRPr="00A34388">
        <w:rPr>
          <w:lang w:val="es-ES_tradnl"/>
        </w:rPr>
        <w:t xml:space="preserve">surgidos </w:t>
      </w:r>
      <w:r w:rsidRPr="00A34388">
        <w:rPr>
          <w:lang w:val="es-ES_tradnl"/>
        </w:rPr>
        <w:t xml:space="preserve">durante su ejecución.  </w:t>
      </w:r>
      <w:r w:rsidR="007B16BD" w:rsidRPr="00A34388">
        <w:rPr>
          <w:rFonts w:cs="Arial"/>
          <w:szCs w:val="20"/>
          <w:lang w:val="es-ES_tradnl"/>
        </w:rPr>
        <w:t xml:space="preserve">Una parte del sótano reformado del edificio </w:t>
      </w:r>
      <w:r w:rsidR="007B16BD" w:rsidRPr="00A34388">
        <w:rPr>
          <w:rFonts w:cs="Arial"/>
          <w:bCs/>
          <w:szCs w:val="20"/>
          <w:lang w:val="es-ES_tradnl"/>
        </w:rPr>
        <w:t xml:space="preserve">AB fue entregada y está en uso desde septiembre de </w:t>
      </w:r>
      <w:r w:rsidR="007B16BD" w:rsidRPr="00A34388">
        <w:rPr>
          <w:rFonts w:cs="Arial"/>
          <w:szCs w:val="20"/>
          <w:lang w:val="es-ES_tradnl"/>
        </w:rPr>
        <w:t xml:space="preserve">2013, mientras que </w:t>
      </w:r>
      <w:r w:rsidRPr="00A34388">
        <w:rPr>
          <w:lang w:val="es-ES_tradnl"/>
        </w:rPr>
        <w:t xml:space="preserve">una nueva sala de </w:t>
      </w:r>
      <w:r w:rsidRPr="00332758">
        <w:rPr>
          <w:lang w:val="es-ES_tradnl"/>
        </w:rPr>
        <w:t>reuniones</w:t>
      </w:r>
      <w:r w:rsidRPr="00A34388">
        <w:rPr>
          <w:lang w:val="es-ES_tradnl"/>
        </w:rPr>
        <w:t xml:space="preserve"> en el entrepiso del mismo edificio </w:t>
      </w:r>
      <w:r w:rsidR="007B16BD" w:rsidRPr="00A34388">
        <w:rPr>
          <w:lang w:val="es-ES_tradnl"/>
        </w:rPr>
        <w:t xml:space="preserve">está en uso desde </w:t>
      </w:r>
      <w:r w:rsidRPr="00A34388">
        <w:rPr>
          <w:lang w:val="es-ES_tradnl"/>
        </w:rPr>
        <w:t xml:space="preserve">octubre de </w:t>
      </w:r>
      <w:r w:rsidR="007B16BD" w:rsidRPr="00A34388">
        <w:rPr>
          <w:lang w:val="es-ES_tradnl"/>
        </w:rPr>
        <w:t>2013</w:t>
      </w:r>
      <w:r w:rsidRPr="00A34388">
        <w:rPr>
          <w:lang w:val="es-ES_tradnl"/>
        </w:rPr>
        <w:t xml:space="preserve">. </w:t>
      </w:r>
    </w:p>
    <w:p w:rsidR="005678D5" w:rsidRDefault="005678D5" w:rsidP="005678D5">
      <w:pPr>
        <w:rPr>
          <w:lang w:val="es-ES_tradnl"/>
        </w:rPr>
      </w:pPr>
    </w:p>
    <w:p w:rsidR="003F11A0" w:rsidRPr="00A34388" w:rsidRDefault="003F11A0" w:rsidP="005678D5">
      <w:pPr>
        <w:rPr>
          <w:lang w:val="es-ES_tradnl"/>
        </w:rPr>
      </w:pPr>
    </w:p>
    <w:p w:rsidR="005678D5" w:rsidRPr="00332758" w:rsidRDefault="005678D5" w:rsidP="005678D5">
      <w:pPr>
        <w:jc w:val="both"/>
        <w:rPr>
          <w:b/>
          <w:iCs/>
          <w:lang w:val="es-ES_tradnl"/>
        </w:rPr>
      </w:pPr>
      <w:r w:rsidRPr="00332758">
        <w:rPr>
          <w:b/>
          <w:iCs/>
          <w:lang w:val="es-ES_tradnl"/>
        </w:rPr>
        <w:t>Programa d</w:t>
      </w:r>
      <w:r w:rsidR="003F11A0" w:rsidRPr="00332758">
        <w:rPr>
          <w:b/>
          <w:iCs/>
          <w:lang w:val="es-ES_tradnl"/>
        </w:rPr>
        <w:t>e Alineación Estratégica (PAE)</w:t>
      </w:r>
    </w:p>
    <w:p w:rsidR="005678D5" w:rsidRPr="00332758" w:rsidRDefault="005678D5" w:rsidP="005678D5">
      <w:pPr>
        <w:jc w:val="both"/>
        <w:rPr>
          <w:szCs w:val="20"/>
          <w:lang w:val="es-ES_tradnl"/>
        </w:rPr>
      </w:pPr>
    </w:p>
    <w:p w:rsidR="005678D5" w:rsidRPr="00A34388" w:rsidRDefault="005678D5" w:rsidP="005678D5">
      <w:pPr>
        <w:jc w:val="both"/>
        <w:rPr>
          <w:lang w:val="es-ES_tradnl"/>
        </w:rPr>
      </w:pPr>
      <w:r w:rsidRPr="00332758">
        <w:rPr>
          <w:lang w:val="es-ES_tradnl"/>
        </w:rPr>
        <w:t>El PAE, como paquete de iniciativas de reforma, llegó a su fin en 2012.  En los últimos tres años ha dado un nuevo sentido a la cultura y los valores de la Organización y ha mejorado la eficacia de los procesos operativos así como la adecuación de los programas, la estructura y los recursos a las nueve metas estratégicas.</w:t>
      </w:r>
      <w:r w:rsidRPr="00A34388">
        <w:rPr>
          <w:lang w:val="es-ES_tradnl"/>
        </w:rPr>
        <w:t xml:space="preserve">  Todas las iniciativas contribuyeron al fortalecimiento de las cuatro prioridades principales de la Organización, como </w:t>
      </w:r>
      <w:r w:rsidR="00A1311A" w:rsidRPr="00A34388">
        <w:rPr>
          <w:lang w:val="es-ES_tradnl"/>
        </w:rPr>
        <w:t xml:space="preserve">ponen de manifiesto </w:t>
      </w:r>
      <w:r w:rsidRPr="00A34388">
        <w:rPr>
          <w:lang w:val="es-ES_tradnl"/>
        </w:rPr>
        <w:t xml:space="preserve">los resultados de la encuesta sobre las prioridades centrales </w:t>
      </w:r>
      <w:r w:rsidR="00CC21B3" w:rsidRPr="00A34388">
        <w:rPr>
          <w:lang w:val="es-ES_tradnl"/>
        </w:rPr>
        <w:t xml:space="preserve">realizada </w:t>
      </w:r>
      <w:r w:rsidRPr="00A34388">
        <w:rPr>
          <w:lang w:val="es-ES_tradnl"/>
        </w:rPr>
        <w:t xml:space="preserve">a finales de 2012. </w:t>
      </w:r>
    </w:p>
    <w:p w:rsidR="005678D5" w:rsidRPr="00A34388" w:rsidRDefault="005678D5" w:rsidP="005678D5">
      <w:pPr>
        <w:jc w:val="both"/>
        <w:rPr>
          <w:lang w:val="es-ES_tradnl"/>
        </w:rPr>
      </w:pPr>
    </w:p>
    <w:p w:rsidR="005678D5" w:rsidRPr="00A34388" w:rsidRDefault="005678D5" w:rsidP="005678D5">
      <w:pPr>
        <w:jc w:val="both"/>
        <w:rPr>
          <w:lang w:val="es-ES_tradnl"/>
        </w:rPr>
      </w:pPr>
      <w:r w:rsidRPr="00332758">
        <w:rPr>
          <w:lang w:val="es-ES_tradnl"/>
        </w:rPr>
        <w:t>La prestación óptima de servicios se ha fortalecido mediante la formación del personal y la puesta en práctica de sistemas perfeccionados, así como movilizando las oficinas en el exterior a fin de ofrecer un mejor servicio las 24 horas del día.</w:t>
      </w:r>
      <w:r w:rsidRPr="00A34388">
        <w:rPr>
          <w:lang w:val="es-ES_tradnl"/>
        </w:rPr>
        <w:t xml:space="preserve">  </w:t>
      </w:r>
      <w:r w:rsidRPr="00332758">
        <w:rPr>
          <w:lang w:val="es-ES_tradnl"/>
        </w:rPr>
        <w:t xml:space="preserve">También se han mejorado las comunicaciones externas haciendo que las publicaciones de la OMPI estén disponibles en más idiomas y aumentando de forma sustancial la presencia de la Organización en las redes sociales a través de </w:t>
      </w:r>
      <w:r w:rsidRPr="00A34388">
        <w:rPr>
          <w:i/>
          <w:color w:val="000000"/>
          <w:lang w:val="es-ES_tradnl"/>
        </w:rPr>
        <w:t xml:space="preserve">Twitter, Facebook, </w:t>
      </w:r>
      <w:proofErr w:type="spellStart"/>
      <w:r w:rsidRPr="00A34388">
        <w:rPr>
          <w:i/>
          <w:color w:val="000000"/>
          <w:lang w:val="es-ES_tradnl"/>
        </w:rPr>
        <w:t>Flickr</w:t>
      </w:r>
      <w:proofErr w:type="spellEnd"/>
      <w:r w:rsidRPr="00A34388">
        <w:rPr>
          <w:i/>
          <w:color w:val="000000"/>
          <w:lang w:val="es-ES_tradnl"/>
        </w:rPr>
        <w:t xml:space="preserve"> </w:t>
      </w:r>
      <w:r w:rsidRPr="00332758">
        <w:rPr>
          <w:lang w:val="es-ES_tradnl"/>
        </w:rPr>
        <w:t xml:space="preserve">y </w:t>
      </w:r>
      <w:proofErr w:type="spellStart"/>
      <w:r w:rsidRPr="00A34388">
        <w:rPr>
          <w:i/>
          <w:color w:val="000000"/>
          <w:lang w:val="es-ES_tradnl"/>
        </w:rPr>
        <w:t>Scribd</w:t>
      </w:r>
      <w:proofErr w:type="spellEnd"/>
      <w:r w:rsidRPr="00332758">
        <w:rPr>
          <w:lang w:val="es-ES_tradnl"/>
        </w:rPr>
        <w:t>.</w:t>
      </w:r>
      <w:r w:rsidRPr="00A34388">
        <w:rPr>
          <w:lang w:val="es-ES_tradnl"/>
        </w:rPr>
        <w:t xml:space="preserve">  </w:t>
      </w:r>
    </w:p>
    <w:p w:rsidR="005678D5" w:rsidRPr="00A34388" w:rsidRDefault="005678D5" w:rsidP="005678D5">
      <w:pPr>
        <w:jc w:val="both"/>
        <w:rPr>
          <w:lang w:val="es-ES_tradnl"/>
        </w:rPr>
      </w:pPr>
    </w:p>
    <w:p w:rsidR="005678D5" w:rsidRPr="00A34388" w:rsidRDefault="005678D5" w:rsidP="005678D5">
      <w:pPr>
        <w:jc w:val="both"/>
        <w:rPr>
          <w:lang w:val="es-ES_tradnl"/>
        </w:rPr>
      </w:pPr>
      <w:r w:rsidRPr="00332758">
        <w:rPr>
          <w:lang w:val="es-ES_tradnl"/>
        </w:rPr>
        <w:t>Han sido muchas las iniciativas que han contribuido a mancomunar esfuerzos, como por ejemplo el uso más estratégico de las tecnologías de la información (T.I.), la modernización del marco normativo en materia de derechos humanos y las iniciativas encaminadas a aumentar el intercambio de conocimientos en la Organización.</w:t>
      </w:r>
      <w:r w:rsidRPr="00A34388">
        <w:rPr>
          <w:lang w:val="es-ES_tradnl"/>
        </w:rPr>
        <w:t xml:space="preserve"> </w:t>
      </w:r>
    </w:p>
    <w:p w:rsidR="005678D5" w:rsidRPr="00A34388" w:rsidRDefault="005678D5" w:rsidP="005678D5">
      <w:pPr>
        <w:jc w:val="both"/>
        <w:rPr>
          <w:lang w:val="es-ES_tradnl"/>
        </w:rPr>
      </w:pPr>
    </w:p>
    <w:p w:rsidR="005678D5" w:rsidRPr="00A34388" w:rsidRDefault="005678D5" w:rsidP="003F11A0">
      <w:pPr>
        <w:keepNext/>
        <w:keepLines/>
        <w:jc w:val="both"/>
        <w:rPr>
          <w:lang w:val="es-ES_tradnl"/>
        </w:rPr>
      </w:pPr>
      <w:r w:rsidRPr="00332758">
        <w:rPr>
          <w:lang w:val="es-ES_tradnl"/>
        </w:rPr>
        <w:lastRenderedPageBreak/>
        <w:t>En lo que respecta a fortalecer la responsabilidad por los resultados, el marco de resultados de la OMPI abarca desde las metas estratégicas hasta los resultados previstos de la Organización o los objetivos individuales de trabajo.</w:t>
      </w:r>
      <w:r w:rsidRPr="00A34388">
        <w:rPr>
          <w:lang w:val="es-ES_tradnl"/>
        </w:rPr>
        <w:t xml:space="preserve">  </w:t>
      </w:r>
      <w:r w:rsidRPr="00332758">
        <w:rPr>
          <w:lang w:val="es-ES_tradnl"/>
        </w:rPr>
        <w:t>A finales de 2012 se integró la gestión de riesgos en los procesos de planificación bienal y anual.</w:t>
      </w:r>
      <w:r w:rsidRPr="00A34388">
        <w:rPr>
          <w:lang w:val="es-ES_tradnl"/>
        </w:rPr>
        <w:t xml:space="preserve">  </w:t>
      </w:r>
    </w:p>
    <w:p w:rsidR="005678D5" w:rsidRPr="00A34388" w:rsidRDefault="005678D5" w:rsidP="005678D5">
      <w:pPr>
        <w:jc w:val="both"/>
        <w:rPr>
          <w:lang w:val="es-ES_tradnl"/>
        </w:rPr>
      </w:pPr>
    </w:p>
    <w:p w:rsidR="005678D5" w:rsidRPr="00A34388" w:rsidRDefault="005678D5" w:rsidP="005678D5">
      <w:pPr>
        <w:jc w:val="both"/>
        <w:rPr>
          <w:lang w:val="es-ES_tradnl"/>
        </w:rPr>
      </w:pPr>
      <w:r w:rsidRPr="00332758">
        <w:rPr>
          <w:lang w:val="es-ES_tradnl"/>
        </w:rPr>
        <w:t>Con el objetivo de mejorar la responsabilidad medioambiental, social y de buen gobierno se ha adoptado un código de deontología y una Política de protección de los denunciantes de irregularidades, y todos los miembros del personal han recibido formación en materia de ética.</w:t>
      </w:r>
      <w:r w:rsidRPr="00A34388">
        <w:rPr>
          <w:lang w:val="es-ES_tradnl"/>
        </w:rPr>
        <w:t xml:space="preserve">  </w:t>
      </w:r>
      <w:r w:rsidRPr="00332758">
        <w:rPr>
          <w:lang w:val="es-ES_tradnl"/>
        </w:rPr>
        <w:t>Se han tomado medidas a fin de reducir la huella de carbono de la Organización y se han realizado mejoras en lo que respecta a facilitar el acceso de todas las personas a los edificios y servicios de la OMPI.</w:t>
      </w:r>
      <w:r w:rsidRPr="00A34388">
        <w:rPr>
          <w:lang w:val="es-ES_tradnl"/>
        </w:rPr>
        <w:t xml:space="preserve"> </w:t>
      </w:r>
    </w:p>
    <w:p w:rsidR="005678D5" w:rsidRPr="00A34388" w:rsidRDefault="005678D5" w:rsidP="005678D5">
      <w:pPr>
        <w:jc w:val="both"/>
        <w:rPr>
          <w:lang w:val="es-ES_tradnl"/>
        </w:rPr>
      </w:pPr>
    </w:p>
    <w:p w:rsidR="005678D5" w:rsidRPr="00A34388" w:rsidRDefault="005678D5" w:rsidP="005678D5">
      <w:pPr>
        <w:jc w:val="both"/>
        <w:rPr>
          <w:lang w:val="es-ES_tradnl"/>
        </w:rPr>
      </w:pPr>
      <w:r w:rsidRPr="00332758">
        <w:rPr>
          <w:lang w:val="es-ES_tradnl"/>
        </w:rPr>
        <w:t xml:space="preserve">Desde 2013, la Organización se encuentra en una fase de “mejora continua” para consolidar los logros alcanzados en el marco del PAE.  </w:t>
      </w:r>
      <w:r w:rsidRPr="00A34388">
        <w:rPr>
          <w:lang w:val="es-ES_tradnl"/>
        </w:rPr>
        <w:t xml:space="preserve">En el momento </w:t>
      </w:r>
      <w:r w:rsidR="00A1311A" w:rsidRPr="00A34388">
        <w:rPr>
          <w:lang w:val="es-ES_tradnl"/>
        </w:rPr>
        <w:t xml:space="preserve">de redactarse </w:t>
      </w:r>
      <w:r w:rsidRPr="00A34388">
        <w:rPr>
          <w:lang w:val="es-ES_tradnl"/>
        </w:rPr>
        <w:t xml:space="preserve">este informe, la Secretaría </w:t>
      </w:r>
      <w:r w:rsidR="00A1311A" w:rsidRPr="00A34388">
        <w:rPr>
          <w:lang w:val="es-ES_tradnl"/>
        </w:rPr>
        <w:t xml:space="preserve">tenía en su poder </w:t>
      </w:r>
      <w:r w:rsidRPr="00A34388">
        <w:rPr>
          <w:lang w:val="es-ES_tradnl"/>
        </w:rPr>
        <w:t xml:space="preserve">el informe “Examen de la gestión y administración en la OMPI”.  La aplicación de las </w:t>
      </w:r>
      <w:r w:rsidR="00A1311A" w:rsidRPr="00A34388">
        <w:rPr>
          <w:lang w:val="es-ES_tradnl"/>
        </w:rPr>
        <w:t xml:space="preserve">principales </w:t>
      </w:r>
      <w:r w:rsidRPr="00A34388">
        <w:rPr>
          <w:lang w:val="es-ES_tradnl"/>
        </w:rPr>
        <w:t xml:space="preserve">recomendaciones </w:t>
      </w:r>
      <w:r w:rsidR="00F67A7C" w:rsidRPr="00A34388">
        <w:rPr>
          <w:lang w:val="es-ES_tradnl"/>
        </w:rPr>
        <w:t xml:space="preserve">contempladas en </w:t>
      </w:r>
      <w:r w:rsidR="00A1311A" w:rsidRPr="00A34388">
        <w:rPr>
          <w:lang w:val="es-ES_tradnl"/>
        </w:rPr>
        <w:t xml:space="preserve">este </w:t>
      </w:r>
      <w:r w:rsidRPr="00A34388">
        <w:rPr>
          <w:lang w:val="es-ES_tradnl"/>
        </w:rPr>
        <w:t xml:space="preserve">informe </w:t>
      </w:r>
      <w:r w:rsidR="00A1311A" w:rsidRPr="00A34388">
        <w:rPr>
          <w:lang w:val="es-ES_tradnl"/>
        </w:rPr>
        <w:t xml:space="preserve">permitirá </w:t>
      </w:r>
      <w:r w:rsidRPr="00A34388">
        <w:rPr>
          <w:lang w:val="es-ES_tradnl"/>
        </w:rPr>
        <w:t xml:space="preserve">aprovechar los logros obtenidos en el marco del PAE </w:t>
      </w:r>
      <w:r w:rsidR="00A1311A" w:rsidRPr="00A34388">
        <w:rPr>
          <w:lang w:val="es-ES_tradnl"/>
        </w:rPr>
        <w:t xml:space="preserve">e integrarlo </w:t>
      </w:r>
      <w:r w:rsidRPr="00A34388">
        <w:rPr>
          <w:lang w:val="es-ES_tradnl"/>
        </w:rPr>
        <w:t>plenamente en la labor del bienio</w:t>
      </w:r>
      <w:r w:rsidR="00A1311A" w:rsidRPr="00A34388">
        <w:rPr>
          <w:lang w:val="es-ES_tradnl"/>
        </w:rPr>
        <w:t xml:space="preserve"> en curso</w:t>
      </w:r>
      <w:r w:rsidRPr="00A34388">
        <w:rPr>
          <w:lang w:val="es-ES_tradnl"/>
        </w:rPr>
        <w:t>.</w:t>
      </w:r>
    </w:p>
    <w:p w:rsidR="005678D5" w:rsidRDefault="005678D5" w:rsidP="005678D5">
      <w:pPr>
        <w:rPr>
          <w:lang w:val="es-ES_tradnl"/>
        </w:rPr>
      </w:pPr>
    </w:p>
    <w:p w:rsidR="003F11A0" w:rsidRPr="00A34388" w:rsidRDefault="003F11A0" w:rsidP="005678D5">
      <w:pPr>
        <w:rPr>
          <w:lang w:val="es-ES_tradnl"/>
        </w:rPr>
      </w:pPr>
    </w:p>
    <w:p w:rsidR="003F11A0" w:rsidRDefault="003F11A0">
      <w:pPr>
        <w:rPr>
          <w:rFonts w:ascii="Arial Bold" w:hAnsi="Arial Bold"/>
          <w:b/>
          <w:bCs/>
          <w:caps/>
          <w:szCs w:val="28"/>
          <w:lang w:val="es-ES_tradnl"/>
        </w:rPr>
      </w:pPr>
      <w:r>
        <w:rPr>
          <w:rFonts w:ascii="Arial Bold" w:hAnsi="Arial Bold"/>
          <w:b/>
          <w:bCs/>
          <w:caps/>
          <w:szCs w:val="28"/>
          <w:lang w:val="es-ES_tradnl"/>
        </w:rPr>
        <w:br w:type="page"/>
      </w:r>
    </w:p>
    <w:p w:rsidR="005678D5" w:rsidRPr="00A34388" w:rsidRDefault="005678D5" w:rsidP="00391D6B">
      <w:pPr>
        <w:rPr>
          <w:lang w:val="es-ES_tradnl"/>
        </w:rPr>
      </w:pPr>
    </w:p>
    <w:p w:rsidR="005678D5" w:rsidRPr="00A34388" w:rsidRDefault="00391D6B" w:rsidP="005678D5">
      <w:pPr>
        <w:pStyle w:val="Heading1"/>
        <w:rPr>
          <w:lang w:val="es-ES_tradnl"/>
        </w:rPr>
      </w:pPr>
      <w:bookmarkStart w:id="12" w:name="_Toc393984119"/>
      <w:bookmarkStart w:id="13" w:name="_Toc395277589"/>
      <w:bookmarkStart w:id="14" w:name="_Toc395279647"/>
      <w:r w:rsidRPr="00A34388">
        <w:rPr>
          <w:lang w:val="es-ES_tradnl"/>
        </w:rPr>
        <w:t>PRESUPUESTO CONSOLIDADO Y GASTO ACTUAL DEL BIENIO 2012/13</w:t>
      </w:r>
      <w:bookmarkEnd w:id="12"/>
      <w:bookmarkEnd w:id="13"/>
      <w:bookmarkEnd w:id="14"/>
    </w:p>
    <w:p w:rsidR="005678D5" w:rsidRPr="00A34388" w:rsidRDefault="005678D5" w:rsidP="005678D5">
      <w:pPr>
        <w:jc w:val="center"/>
        <w:rPr>
          <w:b/>
          <w:lang w:val="es-ES_tradnl"/>
        </w:rPr>
      </w:pPr>
    </w:p>
    <w:p w:rsidR="005678D5" w:rsidRPr="00A34388" w:rsidRDefault="005678D5" w:rsidP="005678D5">
      <w:pPr>
        <w:jc w:val="center"/>
        <w:rPr>
          <w:b/>
          <w:sz w:val="18"/>
          <w:szCs w:val="18"/>
          <w:lang w:val="es-ES_tradnl"/>
        </w:rPr>
      </w:pPr>
      <w:r w:rsidRPr="00A34388">
        <w:rPr>
          <w:b/>
          <w:sz w:val="18"/>
          <w:szCs w:val="18"/>
          <w:lang w:val="es-ES_tradnl"/>
        </w:rPr>
        <w:t>Cuadro 1</w:t>
      </w:r>
      <w:proofErr w:type="gramStart"/>
      <w:r w:rsidRPr="00A34388">
        <w:rPr>
          <w:b/>
          <w:sz w:val="18"/>
          <w:szCs w:val="18"/>
          <w:lang w:val="es-ES_tradnl"/>
        </w:rPr>
        <w:t xml:space="preserve">: </w:t>
      </w:r>
      <w:r w:rsidR="007E4D96" w:rsidRPr="00A34388">
        <w:rPr>
          <w:b/>
          <w:sz w:val="18"/>
          <w:szCs w:val="18"/>
          <w:lang w:val="es-ES_tradnl"/>
        </w:rPr>
        <w:t xml:space="preserve"> </w:t>
      </w:r>
      <w:r w:rsidRPr="00A34388">
        <w:rPr>
          <w:b/>
          <w:sz w:val="18"/>
          <w:szCs w:val="18"/>
          <w:lang w:val="es-ES_tradnl"/>
        </w:rPr>
        <w:t>Resumen</w:t>
      </w:r>
      <w:proofErr w:type="gramEnd"/>
      <w:r w:rsidRPr="00A34388">
        <w:rPr>
          <w:b/>
          <w:sz w:val="18"/>
          <w:szCs w:val="18"/>
          <w:lang w:val="es-ES_tradnl"/>
        </w:rPr>
        <w:t xml:space="preserve"> por programa, 2012/13</w:t>
      </w:r>
    </w:p>
    <w:p w:rsidR="005678D5" w:rsidRPr="00332758" w:rsidRDefault="005678D5" w:rsidP="005678D5">
      <w:pPr>
        <w:jc w:val="center"/>
        <w:rPr>
          <w:i/>
          <w:sz w:val="18"/>
          <w:szCs w:val="18"/>
          <w:lang w:val="es-ES_tradnl"/>
        </w:rPr>
      </w:pPr>
      <w:r w:rsidRPr="00332758">
        <w:rPr>
          <w:i/>
          <w:sz w:val="18"/>
          <w:szCs w:val="18"/>
          <w:lang w:val="es-ES_tradnl"/>
        </w:rPr>
        <w:t>(</w:t>
      </w:r>
      <w:proofErr w:type="gramStart"/>
      <w:r w:rsidRPr="00332758">
        <w:rPr>
          <w:i/>
          <w:sz w:val="18"/>
          <w:szCs w:val="18"/>
          <w:lang w:val="es-ES_tradnl"/>
        </w:rPr>
        <w:t>en</w:t>
      </w:r>
      <w:proofErr w:type="gramEnd"/>
      <w:r w:rsidRPr="00332758">
        <w:rPr>
          <w:i/>
          <w:sz w:val="18"/>
          <w:szCs w:val="18"/>
          <w:lang w:val="es-ES_tradnl"/>
        </w:rPr>
        <w:t xml:space="preserve"> miles de francos suizos)</w:t>
      </w:r>
    </w:p>
    <w:p w:rsidR="005678D5" w:rsidRDefault="005678D5" w:rsidP="005678D5">
      <w:pPr>
        <w:pStyle w:val="Caption"/>
        <w:keepNext/>
        <w:jc w:val="center"/>
        <w:rPr>
          <w:lang w:val="es-ES_tradnl"/>
        </w:rPr>
      </w:pPr>
    </w:p>
    <w:p w:rsidR="005E68A3" w:rsidRDefault="00F60CB3" w:rsidP="00F60CB3">
      <w:pPr>
        <w:rPr>
          <w:lang w:val="es-ES_tradnl"/>
        </w:rPr>
      </w:pPr>
      <w:r w:rsidRPr="00F60CB3">
        <w:rPr>
          <w:noProof/>
        </w:rPr>
        <w:drawing>
          <wp:inline distT="0" distB="0" distL="0" distR="0" wp14:anchorId="1634B8FD" wp14:editId="7FA990E2">
            <wp:extent cx="5940425" cy="616627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6166271"/>
                    </a:xfrm>
                    <a:prstGeom prst="rect">
                      <a:avLst/>
                    </a:prstGeom>
                    <a:noFill/>
                    <a:ln>
                      <a:noFill/>
                    </a:ln>
                  </pic:spPr>
                </pic:pic>
              </a:graphicData>
            </a:graphic>
          </wp:inline>
        </w:drawing>
      </w:r>
    </w:p>
    <w:p w:rsidR="005E68A3" w:rsidRPr="005E68A3" w:rsidRDefault="005E68A3" w:rsidP="005E68A3">
      <w:pPr>
        <w:rPr>
          <w:lang w:val="es-ES_tradnl"/>
        </w:rPr>
      </w:pPr>
    </w:p>
    <w:p w:rsidR="005E68A3" w:rsidRDefault="005E68A3" w:rsidP="00F60CB3">
      <w:pPr>
        <w:rPr>
          <w:noProof/>
          <w:lang w:val="es-ES" w:eastAsia="es-ES"/>
        </w:rPr>
      </w:pPr>
    </w:p>
    <w:p w:rsidR="005678D5" w:rsidRPr="00A34388" w:rsidRDefault="005678D5" w:rsidP="005678D5">
      <w:pPr>
        <w:rPr>
          <w:rFonts w:ascii="Arial Bold" w:hAnsi="Arial Bold" w:cs="Arial"/>
          <w:b/>
          <w:bCs/>
          <w:iCs/>
          <w:caps/>
          <w:szCs w:val="28"/>
          <w:lang w:val="es-ES_tradnl"/>
        </w:rPr>
      </w:pPr>
      <w:r w:rsidRPr="00A34388">
        <w:rPr>
          <w:lang w:val="es-ES_tradnl"/>
        </w:rPr>
        <w:br w:type="page"/>
      </w:r>
    </w:p>
    <w:p w:rsidR="005678D5" w:rsidRPr="00A34388" w:rsidRDefault="005678D5" w:rsidP="005678D5">
      <w:pPr>
        <w:jc w:val="center"/>
        <w:rPr>
          <w:b/>
          <w:sz w:val="18"/>
          <w:szCs w:val="18"/>
          <w:lang w:val="es-ES_tradnl"/>
        </w:rPr>
      </w:pPr>
      <w:r w:rsidRPr="00A34388">
        <w:rPr>
          <w:b/>
          <w:sz w:val="18"/>
          <w:szCs w:val="18"/>
          <w:lang w:val="es-ES_tradnl"/>
        </w:rPr>
        <w:lastRenderedPageBreak/>
        <w:t>Cuadro 2</w:t>
      </w:r>
      <w:proofErr w:type="gramStart"/>
      <w:r w:rsidRPr="00A34388">
        <w:rPr>
          <w:b/>
          <w:sz w:val="18"/>
          <w:szCs w:val="18"/>
          <w:lang w:val="es-ES_tradnl"/>
        </w:rPr>
        <w:t xml:space="preserve">: </w:t>
      </w:r>
      <w:r w:rsidR="007E4D96" w:rsidRPr="00A34388">
        <w:rPr>
          <w:b/>
          <w:sz w:val="18"/>
          <w:szCs w:val="18"/>
          <w:lang w:val="es-ES_tradnl"/>
        </w:rPr>
        <w:t xml:space="preserve"> </w:t>
      </w:r>
      <w:r w:rsidRPr="00A34388">
        <w:rPr>
          <w:b/>
          <w:sz w:val="18"/>
          <w:szCs w:val="18"/>
          <w:lang w:val="es-ES_tradnl"/>
        </w:rPr>
        <w:t>Resumen</w:t>
      </w:r>
      <w:proofErr w:type="gramEnd"/>
      <w:r w:rsidRPr="00A34388">
        <w:rPr>
          <w:b/>
          <w:sz w:val="18"/>
          <w:szCs w:val="18"/>
          <w:lang w:val="es-ES_tradnl"/>
        </w:rPr>
        <w:t xml:space="preserve"> por resultado previsto, 2012/13 </w:t>
      </w:r>
    </w:p>
    <w:p w:rsidR="005678D5" w:rsidRPr="00332758" w:rsidRDefault="00F60CB3" w:rsidP="005678D5">
      <w:pPr>
        <w:jc w:val="center"/>
        <w:rPr>
          <w:i/>
          <w:sz w:val="18"/>
          <w:szCs w:val="18"/>
          <w:lang w:val="es-ES_tradnl"/>
        </w:rPr>
      </w:pPr>
      <w:r w:rsidRPr="00332758">
        <w:rPr>
          <w:i/>
          <w:sz w:val="18"/>
          <w:szCs w:val="18"/>
          <w:lang w:val="es-ES_tradnl"/>
        </w:rPr>
        <w:t>(</w:t>
      </w:r>
      <w:proofErr w:type="gramStart"/>
      <w:r w:rsidRPr="00332758">
        <w:rPr>
          <w:i/>
          <w:sz w:val="18"/>
          <w:szCs w:val="18"/>
          <w:lang w:val="es-ES_tradnl"/>
        </w:rPr>
        <w:t>en</w:t>
      </w:r>
      <w:proofErr w:type="gramEnd"/>
      <w:r w:rsidRPr="00332758">
        <w:rPr>
          <w:i/>
          <w:sz w:val="18"/>
          <w:szCs w:val="18"/>
          <w:lang w:val="es-ES_tradnl"/>
        </w:rPr>
        <w:t xml:space="preserve"> miles de francos suizos)</w:t>
      </w:r>
    </w:p>
    <w:p w:rsidR="00F60CB3" w:rsidRPr="00F60CB3" w:rsidRDefault="00F60CB3" w:rsidP="00F60CB3">
      <w:pPr>
        <w:rPr>
          <w:sz w:val="18"/>
          <w:szCs w:val="18"/>
          <w:lang w:val="es-ES_tradnl"/>
        </w:rPr>
      </w:pPr>
    </w:p>
    <w:p w:rsidR="00F60CB3" w:rsidRPr="00F60CB3" w:rsidRDefault="00F60CB3" w:rsidP="00F60CB3">
      <w:pPr>
        <w:rPr>
          <w:sz w:val="18"/>
          <w:szCs w:val="18"/>
          <w:lang w:val="es-ES_tradnl"/>
        </w:rPr>
      </w:pPr>
      <w:r w:rsidRPr="00F60CB3">
        <w:rPr>
          <w:noProof/>
        </w:rPr>
        <w:drawing>
          <wp:inline distT="0" distB="0" distL="0" distR="0" wp14:anchorId="2728192D" wp14:editId="485A9C8D">
            <wp:extent cx="5940425" cy="836478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364785"/>
                    </a:xfrm>
                    <a:prstGeom prst="rect">
                      <a:avLst/>
                    </a:prstGeom>
                    <a:noFill/>
                    <a:ln>
                      <a:noFill/>
                    </a:ln>
                  </pic:spPr>
                </pic:pic>
              </a:graphicData>
            </a:graphic>
          </wp:inline>
        </w:drawing>
      </w:r>
    </w:p>
    <w:p w:rsidR="00F60CB3" w:rsidRDefault="00F60CB3" w:rsidP="00F60CB3">
      <w:pPr>
        <w:rPr>
          <w:noProof/>
          <w:szCs w:val="20"/>
        </w:rPr>
      </w:pPr>
    </w:p>
    <w:p w:rsidR="00F60CB3" w:rsidRDefault="00F60CB3" w:rsidP="00F60CB3">
      <w:pPr>
        <w:rPr>
          <w:noProof/>
          <w:szCs w:val="20"/>
        </w:rPr>
      </w:pPr>
    </w:p>
    <w:p w:rsidR="00F60CB3" w:rsidRPr="00F60CB3" w:rsidRDefault="00F60CB3" w:rsidP="00F60CB3">
      <w:pPr>
        <w:rPr>
          <w:noProof/>
          <w:szCs w:val="20"/>
        </w:rPr>
      </w:pPr>
      <w:r w:rsidRPr="00F60CB3">
        <w:rPr>
          <w:noProof/>
        </w:rPr>
        <w:lastRenderedPageBreak/>
        <w:drawing>
          <wp:inline distT="0" distB="0" distL="0" distR="0" wp14:anchorId="5734B8D2" wp14:editId="1CA323D6">
            <wp:extent cx="5940425" cy="335642"/>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5642"/>
                    </a:xfrm>
                    <a:prstGeom prst="rect">
                      <a:avLst/>
                    </a:prstGeom>
                    <a:noFill/>
                    <a:ln>
                      <a:noFill/>
                    </a:ln>
                  </pic:spPr>
                </pic:pic>
              </a:graphicData>
            </a:graphic>
          </wp:inline>
        </w:drawing>
      </w:r>
    </w:p>
    <w:p w:rsidR="00656C09" w:rsidRPr="00A34388" w:rsidRDefault="00F60CB3" w:rsidP="00F60CB3">
      <w:pPr>
        <w:rPr>
          <w:b/>
          <w:sz w:val="16"/>
          <w:szCs w:val="16"/>
          <w:lang w:val="es-ES_tradnl"/>
        </w:rPr>
      </w:pPr>
      <w:r w:rsidRPr="00F60CB3">
        <w:rPr>
          <w:noProof/>
        </w:rPr>
        <w:drawing>
          <wp:inline distT="0" distB="0" distL="0" distR="0" wp14:anchorId="39A29086" wp14:editId="2C8F3EF8">
            <wp:extent cx="5940425" cy="6590391"/>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6590391"/>
                    </a:xfrm>
                    <a:prstGeom prst="rect">
                      <a:avLst/>
                    </a:prstGeom>
                    <a:noFill/>
                    <a:ln>
                      <a:noFill/>
                    </a:ln>
                  </pic:spPr>
                </pic:pic>
              </a:graphicData>
            </a:graphic>
          </wp:inline>
        </w:drawing>
      </w:r>
    </w:p>
    <w:p w:rsidR="005678D5" w:rsidRPr="00A34388" w:rsidRDefault="005678D5" w:rsidP="0063701B">
      <w:pPr>
        <w:rPr>
          <w:lang w:val="es-ES_tradnl"/>
        </w:rPr>
      </w:pPr>
    </w:p>
    <w:p w:rsidR="005678D5" w:rsidRDefault="005678D5" w:rsidP="0063701B">
      <w:pPr>
        <w:rPr>
          <w:lang w:val="es-ES_tradnl"/>
        </w:rPr>
      </w:pPr>
    </w:p>
    <w:p w:rsidR="0063701B" w:rsidRDefault="0063701B">
      <w:pPr>
        <w:rPr>
          <w:lang w:val="es-ES_tradnl"/>
        </w:rPr>
      </w:pPr>
      <w:r>
        <w:rPr>
          <w:lang w:val="es-ES_tradnl"/>
        </w:rPr>
        <w:br w:type="page"/>
      </w:r>
    </w:p>
    <w:p w:rsidR="005678D5" w:rsidRPr="0063701B" w:rsidRDefault="005678D5" w:rsidP="005678D5">
      <w:pPr>
        <w:rPr>
          <w:rFonts w:ascii="Arial Bold" w:hAnsi="Arial Bold"/>
          <w:bCs/>
          <w:caps/>
          <w:szCs w:val="28"/>
          <w:lang w:val="es-ES_tradnl"/>
        </w:rPr>
      </w:pPr>
    </w:p>
    <w:p w:rsidR="005678D5" w:rsidRPr="00A34388" w:rsidRDefault="005678D5" w:rsidP="0063701B">
      <w:pPr>
        <w:pStyle w:val="Heading1"/>
        <w:keepNext w:val="0"/>
        <w:rPr>
          <w:lang w:val="es-ES_tradnl"/>
        </w:rPr>
      </w:pPr>
      <w:bookmarkStart w:id="15" w:name="_Toc393984120"/>
      <w:bookmarkStart w:id="16" w:name="_Toc395277590"/>
      <w:bookmarkStart w:id="17" w:name="_Toc395279648"/>
      <w:r w:rsidRPr="00A34388">
        <w:rPr>
          <w:lang w:val="es-ES_tradnl"/>
        </w:rPr>
        <w:t xml:space="preserve">INFORME SOBRE LOS GASTOS </w:t>
      </w:r>
      <w:r w:rsidR="00F67A7C" w:rsidRPr="00A34388">
        <w:rPr>
          <w:lang w:val="es-ES_tradnl"/>
        </w:rPr>
        <w:t xml:space="preserve">EN DESARROLLO </w:t>
      </w:r>
      <w:r w:rsidRPr="00A34388">
        <w:rPr>
          <w:lang w:val="es-ES_tradnl"/>
        </w:rPr>
        <w:t>DEL BIENIO 2012/13</w:t>
      </w:r>
      <w:bookmarkEnd w:id="15"/>
      <w:bookmarkEnd w:id="16"/>
      <w:bookmarkEnd w:id="17"/>
    </w:p>
    <w:p w:rsidR="005678D5" w:rsidRPr="00A34388" w:rsidRDefault="005678D5" w:rsidP="0063701B">
      <w:pPr>
        <w:autoSpaceDE w:val="0"/>
        <w:autoSpaceDN w:val="0"/>
        <w:adjustRightInd w:val="0"/>
        <w:jc w:val="both"/>
        <w:rPr>
          <w:rFonts w:cs="Arial"/>
          <w:lang w:val="es-ES_tradnl"/>
        </w:rPr>
      </w:pPr>
    </w:p>
    <w:p w:rsidR="005678D5" w:rsidRPr="00A34388" w:rsidRDefault="005678D5" w:rsidP="005678D5">
      <w:pPr>
        <w:autoSpaceDE w:val="0"/>
        <w:autoSpaceDN w:val="0"/>
        <w:adjustRightInd w:val="0"/>
        <w:jc w:val="both"/>
        <w:rPr>
          <w:rFonts w:eastAsia="MS Mincho" w:cs="Arial"/>
          <w:szCs w:val="20"/>
          <w:lang w:val="es-ES_tradnl" w:eastAsia="ja-JP" w:bidi="th-TH"/>
        </w:rPr>
      </w:pPr>
      <w:r w:rsidRPr="00A34388">
        <w:rPr>
          <w:rFonts w:cs="Arial"/>
          <w:lang w:val="es-ES_tradnl"/>
        </w:rPr>
        <w:t xml:space="preserve">El presupuesto por programas del bienio 2012/13 (Cuadro 9) presentaba una estimación de gastos </w:t>
      </w:r>
      <w:r w:rsidR="00F17CD3" w:rsidRPr="00A34388">
        <w:rPr>
          <w:rFonts w:cs="Arial"/>
          <w:lang w:val="es-ES_tradnl"/>
        </w:rPr>
        <w:t xml:space="preserve">en </w:t>
      </w:r>
      <w:r w:rsidRPr="00A34388">
        <w:rPr>
          <w:rFonts w:cs="Arial"/>
          <w:lang w:val="es-ES_tradnl"/>
        </w:rPr>
        <w:t xml:space="preserve">desarrollo para </w:t>
      </w:r>
      <w:r w:rsidR="00616418" w:rsidRPr="00A34388">
        <w:rPr>
          <w:rFonts w:cs="Arial"/>
          <w:lang w:val="es-ES_tradnl"/>
        </w:rPr>
        <w:t xml:space="preserve">el período </w:t>
      </w:r>
      <w:r w:rsidRPr="00A34388">
        <w:rPr>
          <w:rFonts w:eastAsia="MS Mincho" w:cs="Arial"/>
          <w:szCs w:val="20"/>
          <w:lang w:val="es-ES_tradnl" w:eastAsia="ja-JP" w:bidi="th-TH"/>
        </w:rPr>
        <w:t xml:space="preserve">2012/13 </w:t>
      </w:r>
      <w:r w:rsidR="00460178" w:rsidRPr="00A34388">
        <w:rPr>
          <w:rFonts w:eastAsia="MS Mincho" w:cs="Arial"/>
          <w:szCs w:val="20"/>
          <w:lang w:val="es-ES_tradnl" w:eastAsia="ja-JP" w:bidi="th-TH"/>
        </w:rPr>
        <w:t xml:space="preserve">desglosados </w:t>
      </w:r>
      <w:r w:rsidRPr="00A34388">
        <w:rPr>
          <w:rFonts w:eastAsia="MS Mincho" w:cs="Arial"/>
          <w:szCs w:val="20"/>
          <w:lang w:val="es-ES_tradnl" w:eastAsia="ja-JP" w:bidi="th-TH"/>
        </w:rPr>
        <w:t>por programas (presu</w:t>
      </w:r>
      <w:r w:rsidR="00A029B0">
        <w:rPr>
          <w:rFonts w:eastAsia="MS Mincho" w:cs="Arial"/>
          <w:szCs w:val="20"/>
          <w:lang w:val="es-ES_tradnl" w:eastAsia="ja-JP" w:bidi="th-TH"/>
        </w:rPr>
        <w:t>puesto por programas del bienio </w:t>
      </w:r>
      <w:r w:rsidRPr="00A34388">
        <w:rPr>
          <w:rFonts w:eastAsia="MS Mincho" w:cs="Arial"/>
          <w:szCs w:val="20"/>
          <w:lang w:val="es-ES_tradnl" w:eastAsia="ja-JP" w:bidi="th-TH"/>
        </w:rPr>
        <w:t xml:space="preserve">2012/13, cuadro 9) y por resultados previstos (cuadro de marco de resultados </w:t>
      </w:r>
      <w:r w:rsidR="00F67A7C" w:rsidRPr="00A34388">
        <w:rPr>
          <w:rFonts w:eastAsia="MS Mincho" w:cs="Arial"/>
          <w:szCs w:val="20"/>
          <w:lang w:val="es-ES_tradnl" w:eastAsia="ja-JP" w:bidi="th-TH"/>
        </w:rPr>
        <w:t xml:space="preserve">incluido en </w:t>
      </w:r>
      <w:r w:rsidR="00F17CD3" w:rsidRPr="00A34388">
        <w:rPr>
          <w:rFonts w:eastAsia="MS Mincho" w:cs="Arial"/>
          <w:szCs w:val="20"/>
          <w:lang w:val="es-ES_tradnl" w:eastAsia="ja-JP" w:bidi="th-TH"/>
        </w:rPr>
        <w:t xml:space="preserve">el </w:t>
      </w:r>
      <w:r w:rsidR="00F67A7C" w:rsidRPr="00A34388">
        <w:rPr>
          <w:rFonts w:eastAsia="MS Mincho" w:cs="Arial"/>
          <w:szCs w:val="20"/>
          <w:lang w:val="es-ES_tradnl" w:eastAsia="ja-JP" w:bidi="th-TH"/>
        </w:rPr>
        <w:t>presupuesto por programas del bienio 2012/13</w:t>
      </w:r>
      <w:r w:rsidR="00F17CD3" w:rsidRPr="00A34388">
        <w:rPr>
          <w:rFonts w:eastAsia="MS Mincho" w:cs="Arial"/>
          <w:szCs w:val="20"/>
          <w:lang w:val="es-ES_tradnl" w:eastAsia="ja-JP" w:bidi="th-TH"/>
        </w:rPr>
        <w:t xml:space="preserve">, </w:t>
      </w:r>
      <w:r w:rsidRPr="00A34388">
        <w:rPr>
          <w:rFonts w:eastAsia="MS Mincho" w:cs="Arial"/>
          <w:szCs w:val="20"/>
          <w:lang w:val="es-ES_tradnl" w:eastAsia="ja-JP" w:bidi="th-TH"/>
        </w:rPr>
        <w:t>página 12</w:t>
      </w:r>
      <w:r w:rsidR="00F17CD3" w:rsidRPr="00A34388">
        <w:rPr>
          <w:rFonts w:eastAsia="MS Mincho" w:cs="Arial"/>
          <w:szCs w:val="20"/>
          <w:lang w:val="es-ES_tradnl" w:eastAsia="ja-JP" w:bidi="th-TH"/>
        </w:rPr>
        <w:t>,</w:t>
      </w:r>
      <w:r w:rsidRPr="00A34388">
        <w:rPr>
          <w:rFonts w:eastAsia="MS Mincho" w:cs="Arial"/>
          <w:szCs w:val="20"/>
          <w:lang w:val="es-ES_tradnl" w:eastAsia="ja-JP" w:bidi="th-TH"/>
        </w:rPr>
        <w:t xml:space="preserve"> versión en inglés).  </w:t>
      </w:r>
      <w:r w:rsidRPr="00332758">
        <w:rPr>
          <w:rFonts w:eastAsia="MS Mincho" w:cs="Arial"/>
          <w:szCs w:val="20"/>
          <w:lang w:val="es-ES_tradnl" w:eastAsia="ja-JP" w:bidi="th-TH"/>
        </w:rPr>
        <w:t xml:space="preserve">Se consideran </w:t>
      </w:r>
      <w:r w:rsidRPr="00332758">
        <w:rPr>
          <w:rFonts w:eastAsia="MS Mincho" w:cs="Arial"/>
          <w:i/>
          <w:szCs w:val="20"/>
          <w:lang w:val="es-ES_tradnl" w:eastAsia="ja-JP" w:bidi="th-TH"/>
        </w:rPr>
        <w:t>gastos en desarrollo</w:t>
      </w:r>
      <w:r w:rsidRPr="00332758">
        <w:rPr>
          <w:rFonts w:eastAsia="MS Mincho" w:cs="Arial"/>
          <w:szCs w:val="20"/>
          <w:lang w:val="es-ES_tradnl" w:eastAsia="ja-JP" w:bidi="th-TH"/>
        </w:rPr>
        <w:t xml:space="preserve"> únicamente aquellos en los que el beneficiario es un país en desarrollo y no se ha previsto un gasto equivalente para países desarrollados.  En tales importes quedan excluidos los ingresos perdidos por causa de la reducción de tasas acordada por sistemas internacionales de registro para solicitantes de países en desarrollo</w:t>
      </w:r>
      <w:r w:rsidRPr="00A34388">
        <w:rPr>
          <w:rStyle w:val="FootnoteReference"/>
          <w:rFonts w:eastAsia="MS Mincho" w:cs="Arial"/>
          <w:szCs w:val="20"/>
          <w:lang w:val="es-ES_tradnl" w:eastAsia="ja-JP" w:bidi="th-TH"/>
        </w:rPr>
        <w:footnoteReference w:id="1"/>
      </w:r>
      <w:r w:rsidRPr="00332758">
        <w:rPr>
          <w:rFonts w:eastAsia="MS Mincho" w:cs="Arial"/>
          <w:szCs w:val="20"/>
          <w:lang w:val="es-ES_tradnl" w:eastAsia="ja-JP" w:bidi="th-TH"/>
        </w:rPr>
        <w:t>.</w:t>
      </w:r>
    </w:p>
    <w:p w:rsidR="005678D5" w:rsidRPr="00A34388" w:rsidRDefault="005678D5" w:rsidP="005678D5">
      <w:pPr>
        <w:autoSpaceDE w:val="0"/>
        <w:autoSpaceDN w:val="0"/>
        <w:adjustRightInd w:val="0"/>
        <w:jc w:val="both"/>
        <w:rPr>
          <w:rFonts w:eastAsia="MS Mincho" w:cs="Arial"/>
          <w:szCs w:val="20"/>
          <w:lang w:val="es-ES_tradnl" w:eastAsia="ja-JP" w:bidi="th-TH"/>
        </w:rPr>
      </w:pPr>
    </w:p>
    <w:p w:rsidR="005678D5" w:rsidRPr="00A34388" w:rsidRDefault="005678D5" w:rsidP="005678D5">
      <w:pPr>
        <w:autoSpaceDE w:val="0"/>
        <w:autoSpaceDN w:val="0"/>
        <w:adjustRightInd w:val="0"/>
        <w:jc w:val="both"/>
        <w:rPr>
          <w:rFonts w:cs="Arial"/>
          <w:lang w:val="es-ES_tradnl"/>
        </w:rPr>
      </w:pPr>
      <w:r w:rsidRPr="00A34388">
        <w:rPr>
          <w:rFonts w:cs="Arial"/>
          <w:lang w:val="es-ES_tradnl"/>
        </w:rPr>
        <w:t>L</w:t>
      </w:r>
      <w:r w:rsidR="00F17CD3" w:rsidRPr="00A34388">
        <w:rPr>
          <w:rFonts w:cs="Arial"/>
          <w:lang w:val="es-ES_tradnl"/>
        </w:rPr>
        <w:t>a finalidad de este A</w:t>
      </w:r>
      <w:r w:rsidRPr="00A34388">
        <w:rPr>
          <w:rFonts w:cs="Arial"/>
          <w:lang w:val="es-ES_tradnl"/>
        </w:rPr>
        <w:t xml:space="preserve">nexo es informar sobre el gasto real en desarrollo producido en el bienio 2012/13.  </w:t>
      </w:r>
    </w:p>
    <w:p w:rsidR="005678D5" w:rsidRPr="00A34388" w:rsidRDefault="005678D5" w:rsidP="005678D5">
      <w:pPr>
        <w:autoSpaceDE w:val="0"/>
        <w:autoSpaceDN w:val="0"/>
        <w:adjustRightInd w:val="0"/>
        <w:jc w:val="both"/>
        <w:rPr>
          <w:rFonts w:cs="Arial"/>
          <w:lang w:val="es-ES_tradnl"/>
        </w:rPr>
      </w:pPr>
    </w:p>
    <w:p w:rsidR="005678D5" w:rsidRPr="00A34388" w:rsidRDefault="005678D5" w:rsidP="005678D5">
      <w:pPr>
        <w:autoSpaceDE w:val="0"/>
        <w:autoSpaceDN w:val="0"/>
        <w:adjustRightInd w:val="0"/>
        <w:jc w:val="both"/>
        <w:rPr>
          <w:rFonts w:cs="Arial"/>
          <w:lang w:val="es-ES_tradnl"/>
        </w:rPr>
      </w:pPr>
      <w:r w:rsidRPr="00A34388">
        <w:rPr>
          <w:rFonts w:cs="Arial"/>
          <w:lang w:val="es-ES_tradnl"/>
        </w:rPr>
        <w:t xml:space="preserve">Cabe recordar que una estimación integral del gasto en materia de desarrollo se introdujo por primera vez en el presupuesto por programas revisado del bienio 2008-2009.  Durante el último bienio, la Secretaría siguió perfeccionando la metodología del gasto en materia de desarrollo y trabajando en el establecimiento de mecanismos adecuados para el seguimiento de </w:t>
      </w:r>
      <w:r w:rsidR="00C84C97" w:rsidRPr="00A34388">
        <w:rPr>
          <w:rFonts w:cs="Arial"/>
          <w:lang w:val="es-ES_tradnl"/>
        </w:rPr>
        <w:t xml:space="preserve">este </w:t>
      </w:r>
      <w:r w:rsidR="0063701B">
        <w:rPr>
          <w:rFonts w:cs="Arial"/>
          <w:lang w:val="es-ES_tradnl"/>
        </w:rPr>
        <w:t>gasto.  La metodología de 2010 </w:t>
      </w:r>
      <w:r w:rsidRPr="00A34388">
        <w:rPr>
          <w:rFonts w:cs="Arial"/>
          <w:lang w:val="es-ES_tradnl"/>
        </w:rPr>
        <w:t xml:space="preserve">2011 se basó, al igual que para el bienio 2008-2009, en estimaciones de nivel superior a nivel de cada programa, mientras que el enfoque se ha perfeccionado considerablemente en el presupuesto por programas del bienio 2012-2013 mediante la adopción de un enfoque integral ascendente detallado a nivel de cada actividad.  Se ha previsto que este enfoque revisado para el bienio 2012-2013, junto con el establecimiento de mecanismos de seguimiento del gasto destinado al desarrollo mediante </w:t>
      </w:r>
      <w:r w:rsidR="00392742">
        <w:rPr>
          <w:rFonts w:cs="Arial"/>
          <w:lang w:val="es-ES_tradnl"/>
        </w:rPr>
        <w:t>la</w:t>
      </w:r>
      <w:r w:rsidRPr="00A34388">
        <w:rPr>
          <w:rFonts w:cs="Arial"/>
          <w:lang w:val="es-ES_tradnl"/>
        </w:rPr>
        <w:t xml:space="preserve"> </w:t>
      </w:r>
      <w:r w:rsidR="00392742">
        <w:rPr>
          <w:rFonts w:cs="Arial"/>
          <w:lang w:val="es-ES_tradnl"/>
        </w:rPr>
        <w:t>PRI</w:t>
      </w:r>
      <w:r w:rsidRPr="00A34388">
        <w:rPr>
          <w:rFonts w:cs="Arial"/>
          <w:lang w:val="es-ES_tradnl"/>
        </w:rPr>
        <w:t xml:space="preserve">, dé lugar a una información más precisa sobre el gasto en materia de desarrollo durante el bienio 2012/13 en comparación con las estimaciones de nivel superior realizadas a nivel de los programas durante el bienio 2010-2011.  Este mecanismo ha sido </w:t>
      </w:r>
      <w:r w:rsidR="00616418" w:rsidRPr="00A34388">
        <w:rPr>
          <w:rFonts w:cs="Arial"/>
          <w:lang w:val="es-ES_tradnl"/>
        </w:rPr>
        <w:t xml:space="preserve">nuevamente </w:t>
      </w:r>
      <w:r w:rsidR="00A1311A" w:rsidRPr="00A34388">
        <w:rPr>
          <w:rFonts w:cs="Arial"/>
          <w:lang w:val="es-ES_tradnl"/>
        </w:rPr>
        <w:t xml:space="preserve">perfeccionado de cara al </w:t>
      </w:r>
      <w:r w:rsidRPr="00A34388">
        <w:rPr>
          <w:rFonts w:cs="Arial"/>
          <w:lang w:val="es-ES_tradnl"/>
        </w:rPr>
        <w:t>bienio 2014-2015.</w:t>
      </w:r>
    </w:p>
    <w:p w:rsidR="005678D5" w:rsidRPr="00A34388" w:rsidRDefault="005678D5" w:rsidP="005678D5">
      <w:pPr>
        <w:autoSpaceDE w:val="0"/>
        <w:autoSpaceDN w:val="0"/>
        <w:adjustRightInd w:val="0"/>
        <w:jc w:val="both"/>
        <w:rPr>
          <w:rFonts w:cs="Arial"/>
          <w:lang w:val="es-ES_tradnl"/>
        </w:rPr>
      </w:pPr>
    </w:p>
    <w:p w:rsidR="005678D5" w:rsidRPr="00A34388" w:rsidRDefault="005678D5" w:rsidP="005678D5">
      <w:pPr>
        <w:autoSpaceDE w:val="0"/>
        <w:autoSpaceDN w:val="0"/>
        <w:adjustRightInd w:val="0"/>
        <w:ind w:left="1"/>
        <w:jc w:val="both"/>
        <w:rPr>
          <w:rFonts w:cs="Arial"/>
          <w:lang w:val="es-ES_tradnl"/>
        </w:rPr>
      </w:pPr>
      <w:r w:rsidRPr="00A34388">
        <w:rPr>
          <w:rFonts w:cs="Arial"/>
          <w:lang w:val="es-ES_tradnl"/>
        </w:rPr>
        <w:t xml:space="preserve">Los cuadros 3 y 4, </w:t>
      </w:r>
      <w:r w:rsidRPr="00A34388">
        <w:rPr>
          <w:rFonts w:cs="Arial"/>
          <w:i/>
          <w:lang w:val="es-ES_tradnl"/>
        </w:rPr>
        <w:t>infra</w:t>
      </w:r>
      <w:r w:rsidRPr="00A34388">
        <w:rPr>
          <w:rFonts w:cs="Arial"/>
          <w:lang w:val="es-ES_tradnl"/>
        </w:rPr>
        <w:t xml:space="preserve">, proporcionan una visión general de la estimación de gastos </w:t>
      </w:r>
      <w:r w:rsidR="00C84C97" w:rsidRPr="00A34388">
        <w:rPr>
          <w:rFonts w:cs="Arial"/>
          <w:lang w:val="es-ES_tradnl"/>
        </w:rPr>
        <w:t xml:space="preserve">en </w:t>
      </w:r>
      <w:r w:rsidRPr="00A34388">
        <w:rPr>
          <w:rFonts w:cs="Arial"/>
          <w:lang w:val="es-ES_tradnl"/>
        </w:rPr>
        <w:t xml:space="preserve">desarrollo por programa y por resultados previstos, </w:t>
      </w:r>
      <w:r w:rsidR="00616418" w:rsidRPr="00A34388">
        <w:rPr>
          <w:rFonts w:cs="Arial"/>
          <w:lang w:val="es-ES_tradnl"/>
        </w:rPr>
        <w:t xml:space="preserve">sobre la base del </w:t>
      </w:r>
      <w:r w:rsidRPr="00A34388">
        <w:rPr>
          <w:rFonts w:cs="Arial"/>
          <w:lang w:val="es-ES_tradnl"/>
        </w:rPr>
        <w:t xml:space="preserve">presupuesto después de las transferencias, así como el gasto real del bienio 2012-2013.  Para obtener más información sobre los resultados en materia de desarrollo conseguidos y sobre la utilización </w:t>
      </w:r>
      <w:r w:rsidR="00C84C97" w:rsidRPr="00A34388">
        <w:rPr>
          <w:rFonts w:cs="Arial"/>
          <w:lang w:val="es-ES_tradnl"/>
        </w:rPr>
        <w:t xml:space="preserve">del presupuesto en </w:t>
      </w:r>
      <w:r w:rsidRPr="00A34388">
        <w:rPr>
          <w:rFonts w:cs="Arial"/>
          <w:lang w:val="es-ES_tradnl"/>
        </w:rPr>
        <w:t>el bienio, remitimos a la evaluación de</w:t>
      </w:r>
      <w:r w:rsidR="00616418" w:rsidRPr="00A34388">
        <w:rPr>
          <w:rFonts w:cs="Arial"/>
          <w:lang w:val="es-ES_tradnl"/>
        </w:rPr>
        <w:t>l</w:t>
      </w:r>
      <w:r w:rsidRPr="00A34388">
        <w:rPr>
          <w:rFonts w:cs="Arial"/>
          <w:lang w:val="es-ES_tradnl"/>
        </w:rPr>
        <w:t xml:space="preserve"> rendimiento de </w:t>
      </w:r>
      <w:r w:rsidR="00616418" w:rsidRPr="00A34388">
        <w:rPr>
          <w:rFonts w:cs="Arial"/>
          <w:lang w:val="es-ES_tradnl"/>
        </w:rPr>
        <w:t xml:space="preserve">cada uno de los </w:t>
      </w:r>
      <w:r w:rsidRPr="00A34388">
        <w:rPr>
          <w:rFonts w:cs="Arial"/>
          <w:lang w:val="es-ES_tradnl"/>
        </w:rPr>
        <w:t>programa</w:t>
      </w:r>
      <w:r w:rsidR="00616418" w:rsidRPr="00A34388">
        <w:rPr>
          <w:rFonts w:cs="Arial"/>
          <w:lang w:val="es-ES_tradnl"/>
        </w:rPr>
        <w:t>s</w:t>
      </w:r>
      <w:r w:rsidRPr="00A34388">
        <w:rPr>
          <w:rFonts w:cs="Arial"/>
          <w:lang w:val="es-ES_tradnl"/>
        </w:rPr>
        <w:t xml:space="preserve"> que se incluye en este informe.</w:t>
      </w:r>
    </w:p>
    <w:p w:rsidR="005678D5" w:rsidRPr="00A34388" w:rsidRDefault="005678D5" w:rsidP="005678D5">
      <w:pPr>
        <w:autoSpaceDE w:val="0"/>
        <w:autoSpaceDN w:val="0"/>
        <w:adjustRightInd w:val="0"/>
        <w:ind w:left="1"/>
        <w:jc w:val="both"/>
        <w:rPr>
          <w:rFonts w:cs="Arial"/>
          <w:lang w:val="es-ES_tradnl"/>
        </w:rPr>
      </w:pPr>
    </w:p>
    <w:p w:rsidR="005678D5" w:rsidRPr="00A34388" w:rsidRDefault="005678D5" w:rsidP="005678D5">
      <w:pPr>
        <w:autoSpaceDE w:val="0"/>
        <w:autoSpaceDN w:val="0"/>
        <w:adjustRightInd w:val="0"/>
        <w:ind w:left="1"/>
        <w:jc w:val="both"/>
        <w:rPr>
          <w:rFonts w:cs="Arial"/>
          <w:lang w:val="es-ES_tradnl"/>
        </w:rPr>
      </w:pPr>
      <w:r w:rsidRPr="00A34388">
        <w:rPr>
          <w:rFonts w:cs="Arial"/>
          <w:lang w:val="es-ES_tradnl"/>
        </w:rPr>
        <w:t xml:space="preserve">En los comentarios sobre presupuesto y gastos reales de cada programa </w:t>
      </w:r>
      <w:r w:rsidR="00460178" w:rsidRPr="00A34388">
        <w:rPr>
          <w:rFonts w:cs="Arial"/>
          <w:lang w:val="es-ES_tradnl"/>
        </w:rPr>
        <w:t xml:space="preserve">se incluyen </w:t>
      </w:r>
      <w:r w:rsidRPr="00A34388">
        <w:rPr>
          <w:rFonts w:cs="Arial"/>
          <w:lang w:val="es-ES_tradnl"/>
        </w:rPr>
        <w:t>explicaciones sobre las diferencias entre el presupuesto aprobado, el presupuesto después de las transferencias y los gastos reales del bienio 2012-2013.</w:t>
      </w:r>
    </w:p>
    <w:p w:rsidR="005678D5" w:rsidRPr="00A34388" w:rsidRDefault="005678D5" w:rsidP="005678D5">
      <w:pPr>
        <w:autoSpaceDE w:val="0"/>
        <w:autoSpaceDN w:val="0"/>
        <w:adjustRightInd w:val="0"/>
        <w:ind w:left="1"/>
        <w:jc w:val="both"/>
        <w:rPr>
          <w:rFonts w:cs="Arial"/>
          <w:lang w:val="es-ES_tradnl"/>
        </w:rPr>
      </w:pPr>
      <w:r w:rsidRPr="00A34388">
        <w:rPr>
          <w:lang w:val="es-ES_tradnl"/>
        </w:rPr>
        <w:br w:type="page"/>
      </w:r>
    </w:p>
    <w:p w:rsidR="005678D5" w:rsidRPr="00A34388" w:rsidRDefault="005678D5" w:rsidP="005678D5">
      <w:pPr>
        <w:jc w:val="center"/>
        <w:rPr>
          <w:rFonts w:cs="Arial"/>
          <w:b/>
          <w:sz w:val="18"/>
          <w:szCs w:val="18"/>
          <w:lang w:val="es-ES_tradnl"/>
        </w:rPr>
      </w:pPr>
      <w:r w:rsidRPr="00A34388">
        <w:rPr>
          <w:rFonts w:cs="Arial"/>
          <w:b/>
          <w:sz w:val="18"/>
          <w:szCs w:val="18"/>
          <w:lang w:val="es-ES_tradnl"/>
        </w:rPr>
        <w:lastRenderedPageBreak/>
        <w:t>Cuadro 3</w:t>
      </w:r>
      <w:proofErr w:type="gramStart"/>
      <w:r w:rsidRPr="00A34388">
        <w:rPr>
          <w:rFonts w:cs="Arial"/>
          <w:b/>
          <w:sz w:val="18"/>
          <w:szCs w:val="18"/>
          <w:lang w:val="es-ES_tradnl"/>
        </w:rPr>
        <w:t>:  Gastos</w:t>
      </w:r>
      <w:proofErr w:type="gramEnd"/>
      <w:r w:rsidRPr="00A34388">
        <w:rPr>
          <w:rFonts w:cs="Arial"/>
          <w:b/>
          <w:sz w:val="18"/>
          <w:szCs w:val="18"/>
          <w:lang w:val="es-ES_tradnl"/>
        </w:rPr>
        <w:t xml:space="preserve"> en desarrollo por programa, 2012/13</w:t>
      </w:r>
    </w:p>
    <w:p w:rsidR="005678D5" w:rsidRPr="00332758" w:rsidRDefault="005678D5" w:rsidP="005678D5">
      <w:pPr>
        <w:jc w:val="center"/>
        <w:rPr>
          <w:rFonts w:cs="Arial"/>
          <w:i/>
          <w:sz w:val="18"/>
          <w:szCs w:val="18"/>
          <w:lang w:val="es-ES_tradnl"/>
        </w:rPr>
      </w:pPr>
      <w:r w:rsidRPr="00332758">
        <w:rPr>
          <w:rFonts w:cs="Arial"/>
          <w:i/>
          <w:sz w:val="18"/>
          <w:szCs w:val="18"/>
          <w:lang w:val="es-ES_tradnl"/>
        </w:rPr>
        <w:t>(</w:t>
      </w:r>
      <w:proofErr w:type="gramStart"/>
      <w:r w:rsidRPr="00332758">
        <w:rPr>
          <w:rFonts w:cs="Arial"/>
          <w:i/>
          <w:sz w:val="18"/>
          <w:szCs w:val="18"/>
          <w:lang w:val="es-ES_tradnl"/>
        </w:rPr>
        <w:t>en</w:t>
      </w:r>
      <w:proofErr w:type="gramEnd"/>
      <w:r w:rsidRPr="00332758">
        <w:rPr>
          <w:rFonts w:cs="Arial"/>
          <w:i/>
          <w:sz w:val="18"/>
          <w:szCs w:val="18"/>
          <w:lang w:val="es-ES_tradnl"/>
        </w:rPr>
        <w:t xml:space="preserve"> miles de francos suizos)</w:t>
      </w:r>
    </w:p>
    <w:p w:rsidR="005678D5" w:rsidRPr="00A34388" w:rsidRDefault="005678D5" w:rsidP="005678D5">
      <w:pPr>
        <w:rPr>
          <w:lang w:val="es-ES_tradnl"/>
        </w:rPr>
      </w:pPr>
    </w:p>
    <w:p w:rsidR="00902C5C" w:rsidRDefault="001E2FBA" w:rsidP="00902C5C">
      <w:pPr>
        <w:ind w:left="-426"/>
        <w:rPr>
          <w:rFonts w:cs="Arial"/>
          <w:szCs w:val="20"/>
          <w:lang w:val="es-ES_tradnl"/>
        </w:rPr>
      </w:pPr>
      <w:r w:rsidRPr="001E2FBA">
        <w:rPr>
          <w:noProof/>
        </w:rPr>
        <w:drawing>
          <wp:inline distT="0" distB="0" distL="0" distR="0" wp14:anchorId="0E6F8537" wp14:editId="67564FA4">
            <wp:extent cx="6269127" cy="41769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1924" cy="4172180"/>
                    </a:xfrm>
                    <a:prstGeom prst="rect">
                      <a:avLst/>
                    </a:prstGeom>
                    <a:noFill/>
                    <a:ln>
                      <a:noFill/>
                    </a:ln>
                  </pic:spPr>
                </pic:pic>
              </a:graphicData>
            </a:graphic>
          </wp:inline>
        </w:drawing>
      </w:r>
    </w:p>
    <w:p w:rsidR="00902C5C" w:rsidRPr="00A34388" w:rsidRDefault="00902C5C" w:rsidP="005678D5">
      <w:pPr>
        <w:rPr>
          <w:rFonts w:cs="Arial"/>
          <w:szCs w:val="20"/>
          <w:lang w:val="es-ES_tradnl"/>
        </w:rPr>
      </w:pPr>
    </w:p>
    <w:p w:rsidR="00902C5C" w:rsidRDefault="00902C5C">
      <w:pPr>
        <w:rPr>
          <w:rFonts w:cs="Arial"/>
          <w:b/>
          <w:sz w:val="18"/>
          <w:szCs w:val="18"/>
          <w:lang w:val="es-ES_tradnl"/>
        </w:rPr>
      </w:pPr>
      <w:r>
        <w:rPr>
          <w:rFonts w:cs="Arial"/>
          <w:b/>
          <w:sz w:val="18"/>
          <w:szCs w:val="18"/>
          <w:lang w:val="es-ES_tradnl"/>
        </w:rPr>
        <w:br w:type="page"/>
      </w:r>
    </w:p>
    <w:p w:rsidR="005678D5" w:rsidRPr="00A34388" w:rsidRDefault="005678D5" w:rsidP="005678D5">
      <w:pPr>
        <w:jc w:val="center"/>
        <w:rPr>
          <w:rFonts w:cs="Arial"/>
          <w:b/>
          <w:sz w:val="18"/>
          <w:szCs w:val="18"/>
          <w:lang w:val="es-ES_tradnl"/>
        </w:rPr>
      </w:pPr>
      <w:r w:rsidRPr="00A34388">
        <w:rPr>
          <w:rFonts w:cs="Arial"/>
          <w:b/>
          <w:sz w:val="18"/>
          <w:szCs w:val="18"/>
          <w:lang w:val="es-ES_tradnl"/>
        </w:rPr>
        <w:lastRenderedPageBreak/>
        <w:t>Cuadro 4</w:t>
      </w:r>
      <w:proofErr w:type="gramStart"/>
      <w:r w:rsidRPr="00A34388">
        <w:rPr>
          <w:rFonts w:cs="Arial"/>
          <w:b/>
          <w:sz w:val="18"/>
          <w:szCs w:val="18"/>
          <w:lang w:val="es-ES_tradnl"/>
        </w:rPr>
        <w:t>:  Gastos</w:t>
      </w:r>
      <w:proofErr w:type="gramEnd"/>
      <w:r w:rsidRPr="00A34388">
        <w:rPr>
          <w:rFonts w:cs="Arial"/>
          <w:b/>
          <w:sz w:val="18"/>
          <w:szCs w:val="18"/>
          <w:lang w:val="es-ES_tradnl"/>
        </w:rPr>
        <w:t xml:space="preserve"> en desarrollo por resultado previsto*, 2012/13</w:t>
      </w:r>
    </w:p>
    <w:p w:rsidR="005678D5" w:rsidRPr="00332758" w:rsidRDefault="005678D5" w:rsidP="005678D5">
      <w:pPr>
        <w:jc w:val="center"/>
        <w:rPr>
          <w:rFonts w:cs="Arial"/>
          <w:i/>
          <w:sz w:val="18"/>
          <w:szCs w:val="18"/>
          <w:lang w:val="es-ES_tradnl"/>
        </w:rPr>
      </w:pPr>
      <w:r w:rsidRPr="00332758">
        <w:rPr>
          <w:rFonts w:cs="Arial"/>
          <w:i/>
          <w:sz w:val="18"/>
          <w:szCs w:val="18"/>
          <w:lang w:val="es-ES_tradnl"/>
        </w:rPr>
        <w:t>(</w:t>
      </w:r>
      <w:proofErr w:type="gramStart"/>
      <w:r w:rsidRPr="00332758">
        <w:rPr>
          <w:rFonts w:cs="Arial"/>
          <w:i/>
          <w:sz w:val="18"/>
          <w:szCs w:val="18"/>
          <w:lang w:val="es-ES_tradnl"/>
        </w:rPr>
        <w:t>en</w:t>
      </w:r>
      <w:proofErr w:type="gramEnd"/>
      <w:r w:rsidRPr="00332758">
        <w:rPr>
          <w:rFonts w:cs="Arial"/>
          <w:i/>
          <w:sz w:val="18"/>
          <w:szCs w:val="18"/>
          <w:lang w:val="es-ES_tradnl"/>
        </w:rPr>
        <w:t xml:space="preserve"> miles de francos suizos)</w:t>
      </w:r>
    </w:p>
    <w:p w:rsidR="008018CA" w:rsidRPr="00332758" w:rsidRDefault="008018CA" w:rsidP="008018CA">
      <w:pPr>
        <w:rPr>
          <w:rFonts w:cs="Arial"/>
          <w:sz w:val="16"/>
          <w:szCs w:val="16"/>
          <w:lang w:val="es-ES_tradnl"/>
        </w:rPr>
      </w:pPr>
    </w:p>
    <w:p w:rsidR="005678D5" w:rsidRPr="00A34388" w:rsidRDefault="008018CA" w:rsidP="008018CA">
      <w:pPr>
        <w:rPr>
          <w:lang w:val="es-ES_tradnl"/>
        </w:rPr>
      </w:pPr>
      <w:r w:rsidRPr="008018CA">
        <w:rPr>
          <w:noProof/>
        </w:rPr>
        <w:drawing>
          <wp:inline distT="0" distB="0" distL="0" distR="0" wp14:anchorId="753A3D69" wp14:editId="5652E87E">
            <wp:extent cx="5471059" cy="870508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0842" cy="8704742"/>
                    </a:xfrm>
                    <a:prstGeom prst="rect">
                      <a:avLst/>
                    </a:prstGeom>
                    <a:noFill/>
                    <a:ln>
                      <a:noFill/>
                    </a:ln>
                  </pic:spPr>
                </pic:pic>
              </a:graphicData>
            </a:graphic>
          </wp:inline>
        </w:drawing>
      </w:r>
      <w:r w:rsidR="005678D5" w:rsidRPr="00A34388">
        <w:rPr>
          <w:lang w:val="es-ES_tradnl"/>
        </w:rPr>
        <w:br w:type="page"/>
      </w:r>
    </w:p>
    <w:p w:rsidR="00014897" w:rsidRPr="00A34388" w:rsidRDefault="00014897" w:rsidP="00014897">
      <w:pPr>
        <w:pStyle w:val="Heading1"/>
        <w:rPr>
          <w:rFonts w:eastAsiaTheme="minorHAnsi"/>
          <w:lang w:val="es-ES_tradnl"/>
        </w:rPr>
      </w:pPr>
      <w:bookmarkStart w:id="18" w:name="_Toc393984121"/>
      <w:bookmarkStart w:id="19" w:name="_Toc395277591"/>
      <w:bookmarkStart w:id="20" w:name="_Toc395279649"/>
      <w:r w:rsidRPr="00A34388">
        <w:rPr>
          <w:rFonts w:eastAsiaTheme="minorHAnsi"/>
          <w:lang w:val="es-ES_tradnl"/>
        </w:rPr>
        <w:lastRenderedPageBreak/>
        <w:t>INFORME FINAL SOBRE LA APLICACIÓN DE LAS MEDIDAS DESTINADAS A FOMENTAR LA EFICACIA EN FUNCIÓN DE LOS COSTOS</w:t>
      </w:r>
      <w:bookmarkStart w:id="21" w:name="_Toc391987560"/>
      <w:r w:rsidRPr="00A34388">
        <w:rPr>
          <w:rFonts w:eastAsiaTheme="minorHAnsi"/>
          <w:lang w:val="es-ES_tradnl"/>
        </w:rPr>
        <w:t xml:space="preserve"> EN EL BIENIO 2012/13</w:t>
      </w:r>
      <w:bookmarkEnd w:id="18"/>
      <w:bookmarkEnd w:id="19"/>
      <w:bookmarkEnd w:id="20"/>
      <w:bookmarkEnd w:id="21"/>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p>
    <w:p w:rsidR="00014897" w:rsidRPr="00332758" w:rsidRDefault="00014897" w:rsidP="00014897">
      <w:pPr>
        <w:jc w:val="both"/>
        <w:rPr>
          <w:rFonts w:eastAsiaTheme="minorHAnsi" w:cs="Arial"/>
          <w:szCs w:val="20"/>
          <w:lang w:val="es-ES_tradnl"/>
        </w:rPr>
      </w:pPr>
      <w:r w:rsidRPr="00332758">
        <w:rPr>
          <w:rFonts w:eastAsiaTheme="minorHAnsi" w:cs="Arial"/>
          <w:szCs w:val="20"/>
          <w:lang w:val="es-ES_tradnl"/>
        </w:rPr>
        <w:t xml:space="preserve">Cabe recordar que </w:t>
      </w:r>
      <w:r w:rsidR="00711F36" w:rsidRPr="00332758">
        <w:rPr>
          <w:rFonts w:eastAsiaTheme="minorHAnsi" w:cs="Arial"/>
          <w:szCs w:val="20"/>
          <w:lang w:val="es-ES_tradnl"/>
        </w:rPr>
        <w:t xml:space="preserve">en septiembre de 2011 </w:t>
      </w:r>
      <w:r w:rsidRPr="00332758">
        <w:rPr>
          <w:rFonts w:eastAsiaTheme="minorHAnsi" w:cs="Arial"/>
          <w:szCs w:val="20"/>
          <w:lang w:val="es-ES_tradnl"/>
        </w:rPr>
        <w:t>las Asambleas de los Estados miembros de la OMPI aprobaron el presupuesto por programas de 2012/13 con sujeción a que “la Secretaría haga esfuerzos por reducir gastos, aplicando medidas destinadas a fomentar la eficacia en función de los costos, por un importe de 10,2 millones de francos suizos, de modo que el presupuesto pase de 647,4 millones de francos suizos a 637,2 millones de francos suizos, entre otras medidas, por medio de políticas de viajes del personal y de terceros, gestión de locales, políticas de pago de Acuerdos de Servicios Especiales (ASE) y honorarios de expertos y conferenciantes, programas de pasantías, recepciones y alquiler de locales y equipo durante las conferencias y reducción de costos de personal gracias a la mejora del diseño orgánico”.</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A lo largo del bienio, la Secretaría ha presentado actualizaciones periódicas a los Estados miembros sobre los progresos de varias medidas de fomento de la eficacia en función de los costos adoptadas durante el período.  </w:t>
      </w:r>
      <w:r w:rsidRPr="00332758">
        <w:rPr>
          <w:rFonts w:eastAsiaTheme="minorHAnsi" w:cs="Arial"/>
          <w:szCs w:val="20"/>
          <w:lang w:val="es-ES_tradnl"/>
        </w:rPr>
        <w:t>En particular, la Secretaría suministró un informe sobre la marcha de los progresos en la aplicación de las medidas destinadas a fomentar la eficacia en función de los costos en el documento WO/PBC/19/9 presentado a examen del PBC en su 19ª sesión, celebrada en septiem</w:t>
      </w:r>
      <w:r w:rsidR="00F549B3">
        <w:rPr>
          <w:rFonts w:eastAsiaTheme="minorHAnsi" w:cs="Arial"/>
          <w:szCs w:val="20"/>
          <w:lang w:val="es-ES_tradnl"/>
        </w:rPr>
        <w:t>bre de </w:t>
      </w:r>
      <w:r w:rsidRPr="00332758">
        <w:rPr>
          <w:rFonts w:eastAsiaTheme="minorHAnsi" w:cs="Arial"/>
          <w:szCs w:val="20"/>
          <w:lang w:val="es-ES_tradnl"/>
        </w:rPr>
        <w:t>2012.</w:t>
      </w:r>
      <w:r w:rsidRPr="00A34388">
        <w:rPr>
          <w:rFonts w:eastAsiaTheme="minorHAnsi" w:cs="Arial"/>
          <w:szCs w:val="20"/>
          <w:lang w:val="es-ES_tradnl"/>
        </w:rPr>
        <w:t xml:space="preserve">  La segunda actualización se incluyó en el documento WO/PBC/21/19, presentado en la vigésima primera sesión del PBC, en septiembre de 2013.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Este informe presenta el panorama definitivo en cuanto a medidas de fomento de la eficacia en función de los costos adoptadas por la Secretaría a lo largo del bienio 2012/13.  Estas medidas se centran en una amplia gama de esferas, señal de la voluntad de la Secretaría de ejecutar con firmeza todas las medidas que sean posibles para mejorar la eficacia en función de los costos, incluso otras que vayan más allá de las que respaldaron los Estados miembros al aprobar el</w:t>
      </w:r>
      <w:r w:rsidR="008018CA">
        <w:rPr>
          <w:rFonts w:eastAsiaTheme="minorHAnsi" w:cs="Arial"/>
          <w:szCs w:val="20"/>
          <w:lang w:val="es-ES_tradnl"/>
        </w:rPr>
        <w:t xml:space="preserve"> presupuesto por programas para </w:t>
      </w:r>
      <w:r w:rsidRPr="00A34388">
        <w:rPr>
          <w:rFonts w:eastAsiaTheme="minorHAnsi" w:cs="Arial"/>
          <w:szCs w:val="20"/>
          <w:lang w:val="es-ES_tradnl"/>
        </w:rPr>
        <w:t xml:space="preserve">2012/13.  En particular, se aplicaron las siguientes estrategias principales: </w:t>
      </w:r>
    </w:p>
    <w:p w:rsidR="00014897" w:rsidRPr="00A34388" w:rsidRDefault="00014897" w:rsidP="00014897">
      <w:pPr>
        <w:jc w:val="both"/>
        <w:rPr>
          <w:rFonts w:eastAsiaTheme="minorHAnsi" w:cs="Arial"/>
          <w:szCs w:val="20"/>
          <w:lang w:val="es-ES_tradnl"/>
        </w:rPr>
      </w:pP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conseguir mejoras de productividad cuando sea posible a través de la automatización;</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conseguir mejoras de productividad a través del uso de nuevos servicios y herramientas;</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realizar revisiones periódicas de los contratos para mantener unos costos unitarios y niveles de precios competitivos, además de centrarse en iniciativas de compra conjuntas con otras organizaciones de las NN.UU.;</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realizar revisiones periódicas de los servicios administrativos para valorar su continuada relevancia y eficacia en la consecución de los resultados requeridos;</w:t>
      </w:r>
    </w:p>
    <w:p w:rsidR="00014897" w:rsidRPr="00A34388" w:rsidRDefault="00014897" w:rsidP="00014897">
      <w:pPr>
        <w:numPr>
          <w:ilvl w:val="0"/>
          <w:numId w:val="74"/>
        </w:numPr>
        <w:ind w:left="714" w:hanging="357"/>
        <w:contextualSpacing/>
        <w:jc w:val="both"/>
        <w:rPr>
          <w:rFonts w:eastAsiaTheme="minorHAnsi" w:cs="Arial"/>
          <w:szCs w:val="20"/>
          <w:lang w:val="es-ES_tradnl"/>
        </w:rPr>
      </w:pPr>
      <w:r w:rsidRPr="00A34388">
        <w:rPr>
          <w:rFonts w:eastAsiaTheme="minorHAnsi" w:cs="Arial"/>
          <w:szCs w:val="20"/>
          <w:lang w:val="es-ES_tradnl"/>
        </w:rPr>
        <w:t>realizar revisiones periódicas de las políticas y procedimientos para evaluar en qué casos pueden conseguirse eficiencias en función de los costos mediante una armonización con otras organizaciones del sistema de las NN.UU.;  y</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 xml:space="preserve">aplicar cuando corresponda estrategias de subcontratación sensatas que utilicen recursos </w:t>
      </w:r>
      <w:r w:rsidR="00054EC8">
        <w:rPr>
          <w:rFonts w:eastAsiaTheme="minorHAnsi" w:cs="Arial"/>
          <w:szCs w:val="20"/>
          <w:lang w:val="es-ES_tradnl"/>
        </w:rPr>
        <w:t>no relativos</w:t>
      </w:r>
      <w:r w:rsidRPr="00A34388">
        <w:rPr>
          <w:rFonts w:eastAsiaTheme="minorHAnsi" w:cs="Arial"/>
          <w:szCs w:val="20"/>
          <w:lang w:val="es-ES_tradnl"/>
        </w:rPr>
        <w:t xml:space="preserve"> al personal.</w:t>
      </w:r>
    </w:p>
    <w:p w:rsidR="00014897" w:rsidRPr="00A34388" w:rsidRDefault="00014897" w:rsidP="00014897">
      <w:pPr>
        <w:spacing w:line="276" w:lineRule="auto"/>
        <w:ind w:left="720"/>
        <w:contextualSpacing/>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Los ámbitos objetivo concretos son, entre otros</w:t>
      </w:r>
      <w:proofErr w:type="gramStart"/>
      <w:r w:rsidRPr="00A34388">
        <w:rPr>
          <w:rFonts w:eastAsiaTheme="minorHAnsi" w:cs="Arial"/>
          <w:szCs w:val="20"/>
          <w:lang w:val="es-ES_tradnl"/>
        </w:rPr>
        <w:t>:  gestión</w:t>
      </w:r>
      <w:proofErr w:type="gramEnd"/>
      <w:r w:rsidRPr="00A34388">
        <w:rPr>
          <w:rFonts w:eastAsiaTheme="minorHAnsi" w:cs="Arial"/>
          <w:szCs w:val="20"/>
          <w:lang w:val="es-ES_tradnl"/>
        </w:rPr>
        <w:t xml:space="preserve"> de locales;  viajes del personal y de terceros;  organización de reuniones y eventos;  compras;  tecnologías de la información y las comunicaciones;  despacho postal;  gastos de personal;  </w:t>
      </w:r>
      <w:r w:rsidR="00054EC8" w:rsidRPr="00A34388">
        <w:rPr>
          <w:rFonts w:eastAsiaTheme="minorHAnsi" w:cs="Arial"/>
          <w:szCs w:val="20"/>
          <w:lang w:val="es-ES_tradnl"/>
        </w:rPr>
        <w:t xml:space="preserve">acuerdos </w:t>
      </w:r>
      <w:r w:rsidRPr="00A34388">
        <w:rPr>
          <w:rFonts w:eastAsiaTheme="minorHAnsi" w:cs="Arial"/>
          <w:szCs w:val="20"/>
          <w:lang w:val="es-ES_tradnl"/>
        </w:rPr>
        <w:t xml:space="preserve">de servicios especiales (ASE)/servicios contractuales individuales;  y procesos generales de funcionamiento y cultura del gasto.  Igualmente, se presenta más adelante información sobre aumentos de la eficacia en virtud de los sistemas internacionales de registro del PCT, Madrid y La Haya.  </w:t>
      </w:r>
    </w:p>
    <w:p w:rsidR="00014897" w:rsidRPr="00A34388" w:rsidRDefault="00014897" w:rsidP="00014897">
      <w:pPr>
        <w:jc w:val="both"/>
        <w:rPr>
          <w:rFonts w:eastAsiaTheme="minorHAnsi" w:cs="Arial"/>
          <w:b/>
          <w:caps/>
          <w:szCs w:val="20"/>
          <w:lang w:val="es-ES_tradnl"/>
        </w:rPr>
      </w:pPr>
    </w:p>
    <w:p w:rsidR="00014897" w:rsidRPr="00332758" w:rsidRDefault="00014897" w:rsidP="00014897">
      <w:pPr>
        <w:jc w:val="both"/>
        <w:rPr>
          <w:rFonts w:eastAsiaTheme="minorHAnsi" w:cs="Arial"/>
          <w:b/>
          <w:caps/>
          <w:szCs w:val="20"/>
          <w:lang w:val="es-ES_tradnl"/>
        </w:rPr>
      </w:pPr>
      <w:r w:rsidRPr="00332758">
        <w:rPr>
          <w:rFonts w:eastAsiaTheme="minorHAnsi" w:cs="Arial"/>
          <w:b/>
          <w:caps/>
          <w:szCs w:val="20"/>
          <w:lang w:val="es-ES_tradnl"/>
        </w:rPr>
        <w:t>Gestión de locales</w:t>
      </w:r>
    </w:p>
    <w:p w:rsidR="00014897" w:rsidRPr="00A34388" w:rsidRDefault="00014897" w:rsidP="00014897">
      <w:pPr>
        <w:jc w:val="both"/>
        <w:rPr>
          <w:rFonts w:eastAsiaTheme="minorHAnsi" w:cs="Arial"/>
          <w:b/>
          <w:caps/>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En el ámbito de la gestión de locales, se introdujeron las siguientes medidas de fomento de la eficacia en función de los costos:</w:t>
      </w:r>
    </w:p>
    <w:p w:rsidR="00014897" w:rsidRPr="00A34388" w:rsidRDefault="00014897" w:rsidP="00014897">
      <w:pPr>
        <w:jc w:val="both"/>
        <w:rPr>
          <w:rFonts w:eastAsiaTheme="minorHAnsi" w:cs="Arial"/>
          <w:szCs w:val="20"/>
          <w:lang w:val="es-ES_tradnl"/>
        </w:rPr>
      </w:pP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aplicación de una nueva política de asignación del espacio de oficinas, cuyo efecto fue la eliminación de la necesidad de alquilar dos plantas adicionales de oficinas en un edificio situado fuera del recinto de la OMPI;</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aplazamiento del establecimiento de un fondo de mantenimiento de edificios;</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racionalización de las áreas de almacenamiento y estacionamiento;  y</w:t>
      </w:r>
    </w:p>
    <w:p w:rsidR="00014897" w:rsidRPr="00A34388" w:rsidRDefault="00014897" w:rsidP="00014897">
      <w:pPr>
        <w:numPr>
          <w:ilvl w:val="0"/>
          <w:numId w:val="74"/>
        </w:numPr>
        <w:contextualSpacing/>
        <w:jc w:val="both"/>
        <w:rPr>
          <w:rFonts w:eastAsiaTheme="minorHAnsi" w:cs="Arial"/>
          <w:szCs w:val="20"/>
          <w:lang w:val="es-ES_tradnl"/>
        </w:rPr>
      </w:pPr>
      <w:r w:rsidRPr="00A34388">
        <w:rPr>
          <w:rFonts w:eastAsiaTheme="minorHAnsi" w:cs="Arial"/>
          <w:szCs w:val="20"/>
          <w:lang w:val="es-ES_tradnl"/>
        </w:rPr>
        <w:t>reducciones en el consumo de electricidad y agua.</w:t>
      </w:r>
    </w:p>
    <w:p w:rsidR="00014897" w:rsidRPr="00A34388" w:rsidRDefault="00014897" w:rsidP="00014897">
      <w:pPr>
        <w:ind w:left="720"/>
        <w:contextualSpacing/>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lastRenderedPageBreak/>
        <w:t xml:space="preserve">En el presupuesto por programas del bienio 2012/13 se contemplaba el alquiler de dos plantas adicionales de oficinas y el establecimiento de un fondo de mantenimiento de edificios.  La racionalización del uso del espacio para oficinas y el aplazamiento del establecimiento de dicho fondo de mantenimiento de edificios permitieron ahorrar alrededor de 4,5 millones de francos suizos durante el bienio. </w:t>
      </w:r>
    </w:p>
    <w:p w:rsidR="00014897" w:rsidRPr="00A34388" w:rsidRDefault="00014897" w:rsidP="00014897">
      <w:pPr>
        <w:jc w:val="both"/>
        <w:rPr>
          <w:rFonts w:eastAsiaTheme="minorHAnsi" w:cs="Arial"/>
          <w:szCs w:val="20"/>
          <w:lang w:val="es-ES_tradnl"/>
        </w:rPr>
      </w:pPr>
    </w:p>
    <w:p w:rsidR="00014897" w:rsidRPr="00A34388" w:rsidRDefault="00014897" w:rsidP="008018CA">
      <w:pPr>
        <w:jc w:val="both"/>
        <w:rPr>
          <w:rFonts w:eastAsiaTheme="minorHAnsi" w:cs="Arial"/>
          <w:szCs w:val="20"/>
          <w:lang w:val="es-ES_tradnl"/>
        </w:rPr>
      </w:pPr>
      <w:r w:rsidRPr="00A34388">
        <w:rPr>
          <w:rFonts w:eastAsiaTheme="minorHAnsi" w:cs="Arial"/>
          <w:szCs w:val="20"/>
          <w:lang w:val="es-ES_tradnl"/>
        </w:rPr>
        <w:t xml:space="preserve">La nueva política de asignación del espacio de oficinas, introducida en diciembre de 2010, quedó definitivamente implantada en todos los edificios de la OMPI en las postrimerías de 2012.  </w:t>
      </w:r>
      <w:r w:rsidRPr="00332758">
        <w:rPr>
          <w:rFonts w:eastAsiaTheme="minorHAnsi" w:cs="Arial"/>
          <w:szCs w:val="20"/>
          <w:lang w:val="es-ES_tradnl"/>
        </w:rPr>
        <w:t xml:space="preserve">Como resultado de ello, a finales de 2013 la Organización contaba con un total de 1.627 espacios de trabajo en todos sus edificios (incluyendo tanto los pertenecientes a la OMPI como los arrendados), lo que representa un incremento de 48 espacios de trabajo en comparación con </w:t>
      </w:r>
      <w:r w:rsidR="00711F36" w:rsidRPr="00332758">
        <w:rPr>
          <w:rFonts w:eastAsiaTheme="minorHAnsi" w:cs="Arial"/>
          <w:szCs w:val="20"/>
          <w:lang w:val="es-ES_tradnl"/>
        </w:rPr>
        <w:t>el final del bienio anterior</w:t>
      </w:r>
      <w:r w:rsidRPr="00332758">
        <w:rPr>
          <w:rFonts w:eastAsiaTheme="minorHAnsi" w:cs="Arial"/>
          <w:szCs w:val="20"/>
          <w:lang w:val="es-ES_tradnl"/>
        </w:rPr>
        <w:t xml:space="preserve"> (1.579 espacios de trabajo</w:t>
      </w:r>
      <w:r w:rsidR="00711F36" w:rsidRPr="00332758">
        <w:rPr>
          <w:rFonts w:eastAsiaTheme="minorHAnsi" w:cs="Arial"/>
          <w:szCs w:val="20"/>
          <w:lang w:val="es-ES_tradnl"/>
        </w:rPr>
        <w:t xml:space="preserve"> en 2011</w:t>
      </w:r>
      <w:r w:rsidRPr="00332758">
        <w:rPr>
          <w:rFonts w:eastAsiaTheme="minorHAnsi" w:cs="Arial"/>
          <w:szCs w:val="20"/>
          <w:lang w:val="es-ES_tradnl"/>
        </w:rPr>
        <w:t>).  De ellos, el 85.6% estaban ocupados a fines de 2013, en co</w:t>
      </w:r>
      <w:r w:rsidR="008018CA" w:rsidRPr="00332758">
        <w:rPr>
          <w:rFonts w:eastAsiaTheme="minorHAnsi" w:cs="Arial"/>
          <w:szCs w:val="20"/>
          <w:lang w:val="es-ES_tradnl"/>
        </w:rPr>
        <w:t>mparación con el 87% a fines de </w:t>
      </w:r>
      <w:r w:rsidRPr="00332758">
        <w:rPr>
          <w:rFonts w:eastAsiaTheme="minorHAnsi" w:cs="Arial"/>
          <w:szCs w:val="20"/>
          <w:lang w:val="es-ES_tradnl"/>
        </w:rPr>
        <w:t>2011.</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En lo que se refiere a la racionalización de las áreas de almacenamiento, durante el bienio se eliminó cierto volumen de documentos almacenados, material y equipo, lo que ha contribuido a un uso más eficiente y económico de las zonas de almacenamiento </w:t>
      </w:r>
      <w:r w:rsidR="00054EC8">
        <w:rPr>
          <w:rFonts w:eastAsiaTheme="minorHAnsi" w:cs="Arial"/>
          <w:szCs w:val="20"/>
          <w:lang w:val="es-ES_tradnl"/>
        </w:rPr>
        <w:t>interiores y exteriores al reci</w:t>
      </w:r>
      <w:r w:rsidRPr="00A34388">
        <w:rPr>
          <w:rFonts w:eastAsiaTheme="minorHAnsi" w:cs="Arial"/>
          <w:szCs w:val="20"/>
          <w:lang w:val="es-ES_tradnl"/>
        </w:rPr>
        <w:t>nto.  Ello permitió poner fin al contrato de arrendamiento de dos áreas de almacenamiento ubicadas fuera del recinto durante 2012.  Se puso asimismo fin al arrendamiento de un total de di</w:t>
      </w:r>
      <w:r w:rsidR="008018CA">
        <w:rPr>
          <w:rFonts w:eastAsiaTheme="minorHAnsi" w:cs="Arial"/>
          <w:szCs w:val="20"/>
          <w:lang w:val="es-ES_tradnl"/>
        </w:rPr>
        <w:t>ez plazas de estacionamiento en </w:t>
      </w:r>
      <w:r w:rsidRPr="00A34388">
        <w:rPr>
          <w:rFonts w:eastAsiaTheme="minorHAnsi" w:cs="Arial"/>
          <w:szCs w:val="20"/>
          <w:lang w:val="es-ES_tradnl"/>
        </w:rPr>
        <w:t xml:space="preserve">2013.  La racionalización de las zonas de almacenamiento exteriores al recinto y de las plazas de estacionamiento supuso un ahorro total de </w:t>
      </w:r>
      <w:r w:rsidR="00C44150" w:rsidRPr="00A34388">
        <w:rPr>
          <w:rFonts w:eastAsiaTheme="minorHAnsi" w:cs="Arial"/>
          <w:szCs w:val="20"/>
          <w:lang w:val="es-ES_tradnl"/>
        </w:rPr>
        <w:t xml:space="preserve">alrededor </w:t>
      </w:r>
      <w:r w:rsidRPr="00A34388">
        <w:rPr>
          <w:rFonts w:eastAsiaTheme="minorHAnsi" w:cs="Arial"/>
          <w:szCs w:val="20"/>
          <w:lang w:val="es-ES_tradnl"/>
        </w:rPr>
        <w:t xml:space="preserve">57.250 francos suizos.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Secretaría adoptó varias medidas encaminadas a reducir el consumo de electricidad, entre las que se incluyeron:  i) la modernización de la instalación eléctrica en el edificio más antiguo del recinto de la OMPI (GBI), que quedó completada en 2013;  ii) la instalación de un sistema de refrigeración ecológico y eficiente en cuanto a los costos en el edificio GBI en 2012 y en el edificio GBII en 2013;  iii) la reducción en un 50% de las fuentes de iluminación en </w:t>
      </w:r>
      <w:r w:rsidR="00C44150" w:rsidRPr="00A34388">
        <w:rPr>
          <w:rFonts w:eastAsiaTheme="minorHAnsi" w:cs="Arial"/>
          <w:szCs w:val="20"/>
          <w:lang w:val="es-ES_tradnl"/>
        </w:rPr>
        <w:t xml:space="preserve">las superficies de </w:t>
      </w:r>
      <w:r w:rsidRPr="00A34388">
        <w:rPr>
          <w:rFonts w:eastAsiaTheme="minorHAnsi" w:cs="Arial"/>
          <w:szCs w:val="20"/>
          <w:lang w:val="es-ES_tradnl"/>
        </w:rPr>
        <w:t xml:space="preserve">oficinas del edificio AB en 2013;  y iv) la instalación de conmutadores automáticos en los pasillos de los edificios AB y GBI y de interruptores crepusculares en el edificio GBI en 2013.  Estas medidas </w:t>
      </w:r>
      <w:r w:rsidR="00C44150" w:rsidRPr="00A34388">
        <w:rPr>
          <w:rFonts w:eastAsiaTheme="minorHAnsi" w:cs="Arial"/>
          <w:szCs w:val="20"/>
          <w:lang w:val="es-ES_tradnl"/>
        </w:rPr>
        <w:t xml:space="preserve">dieron como resultado </w:t>
      </w:r>
      <w:r w:rsidRPr="00A34388">
        <w:rPr>
          <w:rFonts w:eastAsiaTheme="minorHAnsi" w:cs="Arial"/>
          <w:szCs w:val="20"/>
          <w:lang w:val="es-ES_tradnl"/>
        </w:rPr>
        <w:t xml:space="preserve">una reducción </w:t>
      </w:r>
      <w:r w:rsidR="00C44150" w:rsidRPr="00A34388">
        <w:rPr>
          <w:rFonts w:eastAsiaTheme="minorHAnsi" w:cs="Arial"/>
          <w:szCs w:val="20"/>
          <w:lang w:val="es-ES_tradnl"/>
        </w:rPr>
        <w:t>d</w:t>
      </w:r>
      <w:r w:rsidRPr="00A34388">
        <w:rPr>
          <w:rFonts w:eastAsiaTheme="minorHAnsi" w:cs="Arial"/>
          <w:szCs w:val="20"/>
          <w:lang w:val="es-ES_tradnl"/>
        </w:rPr>
        <w:t xml:space="preserve">el consumo eléctrico anual de aproximadamente un 2% (140.000 </w:t>
      </w:r>
      <w:proofErr w:type="spellStart"/>
      <w:r w:rsidRPr="00A34388">
        <w:rPr>
          <w:rFonts w:eastAsiaTheme="minorHAnsi" w:cs="Arial"/>
          <w:szCs w:val="20"/>
          <w:lang w:val="es-ES_tradnl"/>
        </w:rPr>
        <w:t>kWh</w:t>
      </w:r>
      <w:proofErr w:type="spellEnd"/>
      <w:r w:rsidRPr="00A34388">
        <w:rPr>
          <w:rFonts w:eastAsiaTheme="minorHAnsi" w:cs="Arial"/>
          <w:szCs w:val="20"/>
          <w:lang w:val="es-ES_tradnl"/>
        </w:rPr>
        <w:t>) entre 2012 y 2013, lo que representa un ahorro de aproximadamente 15.000 francos suizos</w:t>
      </w:r>
      <w:r w:rsidR="00C44150" w:rsidRPr="00A34388">
        <w:rPr>
          <w:rFonts w:eastAsiaTheme="minorHAnsi" w:cs="Arial"/>
          <w:szCs w:val="20"/>
          <w:lang w:val="es-ES_tradnl"/>
        </w:rPr>
        <w:t xml:space="preserve"> al año</w:t>
      </w:r>
      <w:r w:rsidRPr="00A34388">
        <w:rPr>
          <w:rFonts w:eastAsiaTheme="minorHAnsi" w:cs="Arial"/>
          <w:szCs w:val="20"/>
          <w:lang w:val="es-ES_tradnl"/>
        </w:rPr>
        <w:t>.</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Con respecto a 2012, los costos </w:t>
      </w:r>
      <w:r w:rsidR="00114737" w:rsidRPr="00A34388">
        <w:rPr>
          <w:rFonts w:eastAsiaTheme="minorHAnsi" w:cs="Arial"/>
          <w:szCs w:val="20"/>
          <w:lang w:val="es-ES_tradnl"/>
        </w:rPr>
        <w:t xml:space="preserve">relacionados con </w:t>
      </w:r>
      <w:r w:rsidRPr="00A34388">
        <w:rPr>
          <w:rFonts w:eastAsiaTheme="minorHAnsi" w:cs="Arial"/>
          <w:szCs w:val="20"/>
          <w:lang w:val="es-ES_tradnl"/>
        </w:rPr>
        <w:t xml:space="preserve">el consumo de agua se redujeron en aproximadamente 12.000 francos suizos en 2013, </w:t>
      </w:r>
      <w:r w:rsidR="00114737" w:rsidRPr="00A34388">
        <w:rPr>
          <w:rFonts w:eastAsiaTheme="minorHAnsi" w:cs="Arial"/>
          <w:szCs w:val="20"/>
          <w:lang w:val="es-ES_tradnl"/>
        </w:rPr>
        <w:t xml:space="preserve">gracias a la conexión de </w:t>
      </w:r>
      <w:r w:rsidRPr="00A34388">
        <w:rPr>
          <w:rFonts w:eastAsiaTheme="minorHAnsi" w:cs="Arial"/>
          <w:szCs w:val="20"/>
          <w:lang w:val="es-ES_tradnl"/>
        </w:rPr>
        <w:t xml:space="preserve">una de las unidades de refrigeración del centro de datos del edificio AB al sistema de refrigeración GLN.  Asimismo, la </w:t>
      </w:r>
      <w:r w:rsidR="00114737" w:rsidRPr="00A34388">
        <w:rPr>
          <w:rFonts w:eastAsiaTheme="minorHAnsi" w:cs="Arial"/>
          <w:szCs w:val="20"/>
          <w:lang w:val="es-ES_tradnl"/>
        </w:rPr>
        <w:t xml:space="preserve">modernización </w:t>
      </w:r>
      <w:r w:rsidRPr="00A34388">
        <w:rPr>
          <w:rFonts w:eastAsiaTheme="minorHAnsi" w:cs="Arial"/>
          <w:szCs w:val="20"/>
          <w:lang w:val="es-ES_tradnl"/>
        </w:rPr>
        <w:t xml:space="preserve">de los sistemas de refrigeración y calefacción individuales de los despachos principales del nuevo edificio quedó </w:t>
      </w:r>
      <w:r w:rsidR="00114737" w:rsidRPr="00A34388">
        <w:rPr>
          <w:rFonts w:eastAsiaTheme="minorHAnsi" w:cs="Arial"/>
          <w:szCs w:val="20"/>
          <w:lang w:val="es-ES_tradnl"/>
        </w:rPr>
        <w:t xml:space="preserve">concluida </w:t>
      </w:r>
      <w:r w:rsidRPr="00A34388">
        <w:rPr>
          <w:rFonts w:eastAsiaTheme="minorHAnsi" w:cs="Arial"/>
          <w:szCs w:val="20"/>
          <w:lang w:val="es-ES_tradnl"/>
        </w:rPr>
        <w:t xml:space="preserve">a mediados de 2013, y gracias a ella se controla más adecuadamente la temperatura de </w:t>
      </w:r>
      <w:r w:rsidR="00114737" w:rsidRPr="00A34388">
        <w:rPr>
          <w:rFonts w:eastAsiaTheme="minorHAnsi" w:cs="Arial"/>
          <w:szCs w:val="20"/>
          <w:lang w:val="es-ES_tradnl"/>
        </w:rPr>
        <w:t xml:space="preserve">una serie de </w:t>
      </w:r>
      <w:r w:rsidRPr="00A34388">
        <w:rPr>
          <w:rFonts w:eastAsiaTheme="minorHAnsi" w:cs="Arial"/>
          <w:szCs w:val="20"/>
          <w:lang w:val="es-ES_tradnl"/>
        </w:rPr>
        <w:t>despachos.</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En consonancia con la estrategia de la OMPI que apunta a reducir progresivamente la flota de vehículos de la Organización y sustituir los vehículos existentes por alternativas respetuosas con el medio ambiente, cuatro de los once vehículos oficiales de la Organización</w:t>
      </w:r>
      <w:r w:rsidR="007E07E4" w:rsidRPr="00A34388">
        <w:rPr>
          <w:rFonts w:eastAsiaTheme="minorHAnsi" w:cs="Arial"/>
          <w:szCs w:val="20"/>
          <w:lang w:val="es-ES_tradnl"/>
        </w:rPr>
        <w:t xml:space="preserve"> fueron vendidos en el bienio</w:t>
      </w:r>
      <w:r w:rsidRPr="00A34388">
        <w:rPr>
          <w:rFonts w:eastAsiaTheme="minorHAnsi" w:cs="Arial"/>
          <w:szCs w:val="20"/>
          <w:lang w:val="es-ES_tradnl"/>
        </w:rPr>
        <w:t xml:space="preserve">, </w:t>
      </w:r>
      <w:r w:rsidR="007E07E4" w:rsidRPr="00A34388">
        <w:rPr>
          <w:rFonts w:eastAsiaTheme="minorHAnsi" w:cs="Arial"/>
          <w:szCs w:val="20"/>
          <w:lang w:val="es-ES_tradnl"/>
        </w:rPr>
        <w:t xml:space="preserve">adquiriéndose un nuevo vehículo </w:t>
      </w:r>
      <w:r w:rsidRPr="00A34388">
        <w:rPr>
          <w:rFonts w:eastAsiaTheme="minorHAnsi" w:cs="Arial"/>
          <w:szCs w:val="20"/>
          <w:lang w:val="es-ES_tradnl"/>
        </w:rPr>
        <w:t xml:space="preserve">híbrido.  Gracias a </w:t>
      </w:r>
      <w:r w:rsidR="007E07E4" w:rsidRPr="00A34388">
        <w:rPr>
          <w:rFonts w:eastAsiaTheme="minorHAnsi" w:cs="Arial"/>
          <w:szCs w:val="20"/>
          <w:lang w:val="es-ES_tradnl"/>
        </w:rPr>
        <w:t>ello</w:t>
      </w:r>
      <w:r w:rsidRPr="00A34388">
        <w:rPr>
          <w:rFonts w:eastAsiaTheme="minorHAnsi" w:cs="Arial"/>
          <w:szCs w:val="20"/>
          <w:lang w:val="es-ES_tradnl"/>
        </w:rPr>
        <w:t xml:space="preserve">, los costos de mantenimiento de la flota de vehículos </w:t>
      </w:r>
      <w:r w:rsidR="007E07E4" w:rsidRPr="00A34388">
        <w:rPr>
          <w:rFonts w:eastAsiaTheme="minorHAnsi" w:cs="Arial"/>
          <w:szCs w:val="20"/>
          <w:lang w:val="es-ES_tradnl"/>
        </w:rPr>
        <w:t xml:space="preserve">se redujeron </w:t>
      </w:r>
      <w:r w:rsidRPr="00A34388">
        <w:rPr>
          <w:rFonts w:eastAsiaTheme="minorHAnsi" w:cs="Arial"/>
          <w:szCs w:val="20"/>
          <w:lang w:val="es-ES_tradnl"/>
        </w:rPr>
        <w:t xml:space="preserve">desde los 99.225 francos suizos del bienio 2010/11 hasta 79.265 francos suizos en 2012/13, lo que </w:t>
      </w:r>
      <w:r w:rsidR="007E07E4" w:rsidRPr="00A34388">
        <w:rPr>
          <w:rFonts w:eastAsiaTheme="minorHAnsi" w:cs="Arial"/>
          <w:szCs w:val="20"/>
          <w:lang w:val="es-ES_tradnl"/>
        </w:rPr>
        <w:t xml:space="preserve">representa </w:t>
      </w:r>
      <w:r w:rsidRPr="00A34388">
        <w:rPr>
          <w:rFonts w:eastAsiaTheme="minorHAnsi" w:cs="Arial"/>
          <w:szCs w:val="20"/>
          <w:lang w:val="es-ES_tradnl"/>
        </w:rPr>
        <w:t xml:space="preserve">un ahorro de </w:t>
      </w:r>
      <w:r w:rsidR="007E07E4" w:rsidRPr="00A34388">
        <w:rPr>
          <w:rFonts w:eastAsiaTheme="minorHAnsi" w:cs="Arial"/>
          <w:szCs w:val="20"/>
          <w:lang w:val="es-ES_tradnl"/>
        </w:rPr>
        <w:t xml:space="preserve">alrededor de </w:t>
      </w:r>
      <w:r w:rsidRPr="00A34388">
        <w:rPr>
          <w:rFonts w:eastAsiaTheme="minorHAnsi" w:cs="Arial"/>
          <w:szCs w:val="20"/>
          <w:lang w:val="es-ES_tradnl"/>
        </w:rPr>
        <w:t xml:space="preserve">20.000 francos suizos.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En el siguiente cuadro se resumen los ahorros y/o aumentos de la eficacia conseguidos en el área de gestión de locales.</w:t>
      </w:r>
    </w:p>
    <w:p w:rsidR="008018CA" w:rsidRDefault="008018CA">
      <w:pPr>
        <w:rPr>
          <w:rFonts w:eastAsiaTheme="minorHAnsi" w:cs="Arial"/>
          <w:szCs w:val="20"/>
          <w:lang w:val="es-ES_tradnl"/>
        </w:rPr>
      </w:pPr>
      <w:r>
        <w:rPr>
          <w:rFonts w:eastAsiaTheme="minorHAnsi" w:cs="Arial"/>
          <w:szCs w:val="20"/>
          <w:lang w:val="es-ES_tradnl"/>
        </w:rPr>
        <w:br w:type="page"/>
      </w:r>
    </w:p>
    <w:tbl>
      <w:tblPr>
        <w:tblStyle w:val="TableGrid1"/>
        <w:tblW w:w="0" w:type="auto"/>
        <w:tblInd w:w="108" w:type="dxa"/>
        <w:tblLook w:val="04A0" w:firstRow="1" w:lastRow="0" w:firstColumn="1" w:lastColumn="0" w:noHBand="0" w:noVBand="1"/>
      </w:tblPr>
      <w:tblGrid>
        <w:gridCol w:w="4678"/>
        <w:gridCol w:w="4678"/>
      </w:tblGrid>
      <w:tr w:rsidR="00014897" w:rsidRPr="00E94BEA" w:rsidTr="00D6763F">
        <w:tc>
          <w:tcPr>
            <w:tcW w:w="4678" w:type="dxa"/>
            <w:shd w:val="clear" w:color="auto" w:fill="DBE5F1" w:themeFill="accent1" w:themeFillTint="33"/>
            <w:vAlign w:val="center"/>
          </w:tcPr>
          <w:p w:rsidR="00014897" w:rsidRPr="00A34388" w:rsidRDefault="00014897" w:rsidP="00D6763F">
            <w:pPr>
              <w:spacing w:before="120" w:after="120"/>
              <w:jc w:val="center"/>
              <w:rPr>
                <w:rFonts w:cs="Arial"/>
                <w:b/>
                <w:sz w:val="18"/>
                <w:szCs w:val="18"/>
                <w:lang w:val="es-ES_tradnl"/>
              </w:rPr>
            </w:pPr>
            <w:r w:rsidRPr="00332758">
              <w:rPr>
                <w:rFonts w:cs="Arial"/>
                <w:b/>
                <w:sz w:val="18"/>
                <w:szCs w:val="18"/>
                <w:lang w:val="es-ES_tradnl"/>
              </w:rPr>
              <w:lastRenderedPageBreak/>
              <w:t>Descripción</w:t>
            </w:r>
          </w:p>
        </w:tc>
        <w:tc>
          <w:tcPr>
            <w:tcW w:w="4678" w:type="dxa"/>
            <w:shd w:val="clear" w:color="auto" w:fill="DBE5F1" w:themeFill="accent1" w:themeFillTint="33"/>
            <w:vAlign w:val="center"/>
          </w:tcPr>
          <w:p w:rsidR="00014897" w:rsidRPr="00A34388" w:rsidRDefault="00014897" w:rsidP="00D6763F">
            <w:pPr>
              <w:spacing w:before="120" w:after="120"/>
              <w:jc w:val="center"/>
              <w:rPr>
                <w:rFonts w:cs="Arial"/>
                <w:b/>
                <w:sz w:val="18"/>
                <w:szCs w:val="18"/>
                <w:lang w:val="es-ES_tradnl"/>
              </w:rPr>
            </w:pPr>
            <w:r w:rsidRPr="00332758">
              <w:rPr>
                <w:rFonts w:cs="Arial"/>
                <w:b/>
                <w:sz w:val="18"/>
                <w:szCs w:val="18"/>
                <w:lang w:val="es-ES_tradnl"/>
              </w:rPr>
              <w:t>Ahorro de costos / Aumento de la eficacia</w:t>
            </w:r>
          </w:p>
        </w:tc>
      </w:tr>
      <w:tr w:rsidR="00014897" w:rsidRPr="00E94BEA" w:rsidTr="008018CA">
        <w:trPr>
          <w:trHeight w:val="1164"/>
        </w:trPr>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Introducción de una nueva política de espacio de oficinas</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Eliminación de la necesidad de alquilar espacio adicional para oficinas por una cantidad aproximada de 2 millones de francos suizos</w:t>
            </w:r>
          </w:p>
          <w:p w:rsidR="00014897" w:rsidRPr="00A34388" w:rsidRDefault="00014897" w:rsidP="00054EC8">
            <w:pPr>
              <w:spacing w:before="120" w:after="120"/>
              <w:rPr>
                <w:rFonts w:cs="Arial"/>
                <w:sz w:val="16"/>
                <w:szCs w:val="16"/>
                <w:lang w:val="es-ES_tradnl"/>
              </w:rPr>
            </w:pPr>
            <w:r w:rsidRPr="00A34388">
              <w:rPr>
                <w:rFonts w:cs="Arial"/>
                <w:sz w:val="16"/>
                <w:szCs w:val="16"/>
                <w:lang w:val="es-ES_tradnl"/>
              </w:rPr>
              <w:t>48 espacios de trabajo adicionales disponibles al finalizar 2013, en comparación con el fin del bienio 2010/11</w:t>
            </w:r>
          </w:p>
        </w:tc>
      </w:tr>
      <w:tr w:rsidR="00014897" w:rsidRPr="00E94BEA" w:rsidTr="008018CA">
        <w:trPr>
          <w:trHeight w:val="303"/>
        </w:trPr>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Aplazamiento del fondo de mantenimiento de edificios  </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2,5 millones de francos suizos en 2012/13</w:t>
            </w:r>
          </w:p>
        </w:tc>
      </w:tr>
      <w:tr w:rsidR="00014897" w:rsidRPr="00A34388" w:rsidTr="00D6763F">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Racionalización de las áreas de almacenamiento y estacionamiento</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57.250 francos suizos en 2012/13</w:t>
            </w:r>
          </w:p>
        </w:tc>
      </w:tr>
      <w:tr w:rsidR="00014897" w:rsidRPr="00E94BEA" w:rsidTr="00D6763F">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Reducción del consumo eléctrico</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Reducción anual de un 2% (140.000 </w:t>
            </w:r>
            <w:proofErr w:type="spellStart"/>
            <w:r w:rsidRPr="00A34388">
              <w:rPr>
                <w:rFonts w:cs="Arial"/>
                <w:sz w:val="16"/>
                <w:szCs w:val="16"/>
                <w:lang w:val="es-ES_tradnl"/>
              </w:rPr>
              <w:t>kWh</w:t>
            </w:r>
            <w:proofErr w:type="spellEnd"/>
            <w:r w:rsidRPr="00A34388">
              <w:rPr>
                <w:rFonts w:cs="Arial"/>
                <w:sz w:val="16"/>
                <w:szCs w:val="16"/>
                <w:lang w:val="es-ES_tradnl"/>
              </w:rPr>
              <w:t>), lo que equivale a un ahorro de aproximadamente 15.000 francos suizos en 2013</w:t>
            </w:r>
          </w:p>
        </w:tc>
      </w:tr>
      <w:tr w:rsidR="00014897" w:rsidRPr="00A34388" w:rsidTr="00D6763F">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Reducción de los costos relacionados con el consumo de agua </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12.000 francos suizos en 2013</w:t>
            </w:r>
          </w:p>
        </w:tc>
      </w:tr>
      <w:tr w:rsidR="00014897" w:rsidRPr="00E94BEA" w:rsidTr="00D6763F">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Reducción de los costos de mantenimiento de la flota de vehículos  </w:t>
            </w:r>
          </w:p>
        </w:tc>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20.000 francos suizos entre el bienio 2010/11 y el bienio 2012/13</w:t>
            </w:r>
          </w:p>
        </w:tc>
      </w:tr>
    </w:tbl>
    <w:p w:rsidR="00014897" w:rsidRPr="00A34388" w:rsidRDefault="00014897" w:rsidP="00014897">
      <w:pPr>
        <w:spacing w:after="200"/>
        <w:rPr>
          <w:rFonts w:eastAsiaTheme="minorHAnsi" w:cs="Arial"/>
          <w:szCs w:val="20"/>
          <w:lang w:val="es-ES_tradnl"/>
        </w:rPr>
      </w:pPr>
    </w:p>
    <w:p w:rsidR="00014897" w:rsidRDefault="00014897" w:rsidP="00014897">
      <w:pPr>
        <w:rPr>
          <w:rFonts w:eastAsiaTheme="minorHAnsi" w:cs="Arial"/>
          <w:b/>
          <w:caps/>
          <w:szCs w:val="20"/>
          <w:lang w:val="es-ES_tradnl"/>
        </w:rPr>
      </w:pPr>
      <w:r w:rsidRPr="00A34388">
        <w:rPr>
          <w:rFonts w:eastAsiaTheme="minorHAnsi" w:cs="Arial"/>
          <w:b/>
          <w:caps/>
          <w:szCs w:val="20"/>
          <w:lang w:val="es-ES_tradnl"/>
        </w:rPr>
        <w:t>vi</w:t>
      </w:r>
      <w:r w:rsidR="00054EC8">
        <w:rPr>
          <w:rFonts w:eastAsiaTheme="minorHAnsi" w:cs="Arial"/>
          <w:b/>
          <w:caps/>
          <w:szCs w:val="20"/>
          <w:lang w:val="es-ES_tradnl"/>
        </w:rPr>
        <w:t>ajes del personal y de terceros</w:t>
      </w:r>
    </w:p>
    <w:p w:rsidR="00054EC8" w:rsidRPr="00A34388" w:rsidRDefault="00054EC8" w:rsidP="00014897">
      <w:pPr>
        <w:rPr>
          <w:rFonts w:eastAsiaTheme="minorHAnsi" w:cs="Arial"/>
          <w:b/>
          <w:caps/>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Durante el bienio, la Secretaría emprendió un esfuerzo coordinado con el fin de conseguir una mayor eficacia en función de los costos en el capítulo de los viajes del personal y de terceros.  A tal fin, se elaboraron y/o aplicaron las siguientes medidas de política durante el bienio:</w:t>
      </w:r>
    </w:p>
    <w:p w:rsidR="00014897" w:rsidRPr="00A34388" w:rsidRDefault="00014897" w:rsidP="00014897">
      <w:pPr>
        <w:jc w:val="both"/>
        <w:rPr>
          <w:rFonts w:eastAsiaTheme="minorHAnsi" w:cs="Arial"/>
          <w:szCs w:val="20"/>
          <w:lang w:val="es-ES_tradnl"/>
        </w:rPr>
      </w:pPr>
    </w:p>
    <w:p w:rsidR="00014897" w:rsidRPr="00332758" w:rsidRDefault="00014897" w:rsidP="00014897">
      <w:pPr>
        <w:numPr>
          <w:ilvl w:val="0"/>
          <w:numId w:val="75"/>
        </w:numPr>
        <w:contextualSpacing/>
        <w:rPr>
          <w:rFonts w:eastAsiaTheme="minorHAnsi" w:cs="Arial"/>
          <w:szCs w:val="20"/>
          <w:lang w:val="es-ES_tradnl"/>
        </w:rPr>
      </w:pPr>
      <w:r w:rsidRPr="00332758">
        <w:rPr>
          <w:rFonts w:eastAsiaTheme="minorHAnsi" w:cs="Arial"/>
          <w:szCs w:val="20"/>
          <w:lang w:val="es-ES_tradnl"/>
        </w:rPr>
        <w:t>imponer los billetes en clase económica para los viajes que duren hasta 9 horas con inclusión de las escalas;</w:t>
      </w:r>
    </w:p>
    <w:p w:rsidR="00014897" w:rsidRPr="00A34388" w:rsidRDefault="00014897" w:rsidP="00014897">
      <w:pPr>
        <w:numPr>
          <w:ilvl w:val="0"/>
          <w:numId w:val="75"/>
        </w:numPr>
        <w:contextualSpacing/>
        <w:rPr>
          <w:rFonts w:eastAsiaTheme="minorHAnsi" w:cs="Arial"/>
          <w:szCs w:val="20"/>
          <w:lang w:val="es-ES_tradnl"/>
        </w:rPr>
      </w:pPr>
      <w:r w:rsidRPr="00A34388">
        <w:rPr>
          <w:rFonts w:eastAsiaTheme="minorHAnsi" w:cs="Arial"/>
          <w:szCs w:val="20"/>
          <w:lang w:val="es-ES_tradnl"/>
        </w:rPr>
        <w:t>imponer, igualmente, la utilización en los viajes de las rutas más directas y económicas;</w:t>
      </w:r>
    </w:p>
    <w:p w:rsidR="00014897" w:rsidRPr="00A34388" w:rsidRDefault="00014897" w:rsidP="00014897">
      <w:pPr>
        <w:numPr>
          <w:ilvl w:val="0"/>
          <w:numId w:val="75"/>
        </w:numPr>
        <w:contextualSpacing/>
        <w:rPr>
          <w:rFonts w:eastAsiaTheme="minorHAnsi" w:cs="Arial"/>
          <w:szCs w:val="20"/>
          <w:lang w:val="es-ES_tradnl"/>
        </w:rPr>
      </w:pPr>
      <w:r w:rsidRPr="00A34388">
        <w:rPr>
          <w:rFonts w:eastAsiaTheme="minorHAnsi" w:cs="Arial"/>
          <w:szCs w:val="20"/>
          <w:lang w:val="es-ES_tradnl"/>
        </w:rPr>
        <w:t xml:space="preserve">exigir que los billetes de avión se adquieran con una antelación mínima de diez días laborables con respecto a la fecha de salida; </w:t>
      </w:r>
    </w:p>
    <w:p w:rsidR="00014897" w:rsidRPr="00A34388" w:rsidRDefault="00014897" w:rsidP="00014897">
      <w:pPr>
        <w:numPr>
          <w:ilvl w:val="0"/>
          <w:numId w:val="75"/>
        </w:numPr>
        <w:contextualSpacing/>
        <w:rPr>
          <w:rFonts w:eastAsiaTheme="minorHAnsi" w:cs="Arial"/>
          <w:szCs w:val="20"/>
          <w:lang w:val="es-ES_tradnl"/>
        </w:rPr>
      </w:pPr>
      <w:r w:rsidRPr="00A34388">
        <w:rPr>
          <w:rFonts w:eastAsiaTheme="minorHAnsi" w:cs="Arial"/>
          <w:szCs w:val="20"/>
          <w:lang w:val="es-ES_tradnl"/>
        </w:rPr>
        <w:t>reducir los pagos de las sumas en concepto de viáticos al 50% para vuelos de un día para otro;</w:t>
      </w:r>
    </w:p>
    <w:p w:rsidR="00014897" w:rsidRPr="00A34388" w:rsidRDefault="00014897" w:rsidP="00014897">
      <w:pPr>
        <w:numPr>
          <w:ilvl w:val="0"/>
          <w:numId w:val="75"/>
        </w:numPr>
        <w:contextualSpacing/>
        <w:rPr>
          <w:rFonts w:eastAsiaTheme="minorHAnsi" w:cs="Arial"/>
          <w:szCs w:val="20"/>
          <w:lang w:val="es-ES_tradnl"/>
        </w:rPr>
      </w:pPr>
      <w:r w:rsidRPr="00A34388">
        <w:rPr>
          <w:rFonts w:eastAsiaTheme="minorHAnsi" w:cs="Arial"/>
          <w:szCs w:val="20"/>
          <w:lang w:val="es-ES_tradnl"/>
        </w:rPr>
        <w:t>revisar la política sobre vacaciones de los empleados en el país de origen.</w:t>
      </w:r>
    </w:p>
    <w:p w:rsidR="00014897" w:rsidRPr="00A34388" w:rsidRDefault="00014897" w:rsidP="00014897">
      <w:pPr>
        <w:ind w:left="720"/>
        <w:contextualSpacing/>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política revisada sobre esta última cuestión fue aprobada a principios de 2014.  Contempla unas condiciones de viaje sensiblemente más estrictas, y se prevé que gracias a ella se obtengan importantes ahorros para la Organización a lo largo del bienio 2016/17.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Se estima que los ahorros que pueden conseguirse en 2012/13 mediante i) la aplicación de la política de clase económica en vuelos de hasta nueve horas, ii) la reducción de los pagos en concepto de viáticos para vuelos de un día para otro, y iii) una mayor antelación en la reserva de billetes de avión, ascienden a alrededor de 923.000 francos suizos.  El precio medio del billete de avión para todas las clases de viaje, viajero y proveedor ha descendido desde 1.914 francos suizos en 2012 hasta 1.728 francos suizos en 2013.  </w:t>
      </w:r>
      <w:r w:rsidR="000247D9" w:rsidRPr="00A34388">
        <w:rPr>
          <w:rFonts w:eastAsiaTheme="minorHAnsi" w:cs="Arial"/>
          <w:szCs w:val="20"/>
          <w:lang w:val="es-ES_tradnl"/>
        </w:rPr>
        <w:t xml:space="preserve">También se lograron ganancias </w:t>
      </w:r>
      <w:r w:rsidRPr="00A34388">
        <w:rPr>
          <w:rFonts w:eastAsiaTheme="minorHAnsi" w:cs="Arial"/>
          <w:szCs w:val="20"/>
          <w:lang w:val="es-ES_tradnl"/>
        </w:rPr>
        <w:t>adicionales de eficiencia interna</w:t>
      </w:r>
      <w:r w:rsidR="000247D9" w:rsidRPr="00A34388">
        <w:rPr>
          <w:rFonts w:eastAsiaTheme="minorHAnsi" w:cs="Arial"/>
          <w:szCs w:val="20"/>
          <w:lang w:val="es-ES_tradnl"/>
        </w:rPr>
        <w:t xml:space="preserve">, por ejemplo gracias a la reducción del tiempo de tramitación </w:t>
      </w:r>
      <w:r w:rsidRPr="00A34388">
        <w:rPr>
          <w:rFonts w:eastAsiaTheme="minorHAnsi" w:cs="Arial"/>
          <w:szCs w:val="20"/>
          <w:lang w:val="es-ES_tradnl"/>
        </w:rPr>
        <w:t xml:space="preserve">de visados y de solicitudes de viaje o asistencia </w:t>
      </w:r>
      <w:r w:rsidR="000247D9" w:rsidRPr="00A34388">
        <w:rPr>
          <w:rFonts w:eastAsiaTheme="minorHAnsi" w:cs="Arial"/>
          <w:szCs w:val="20"/>
          <w:lang w:val="es-ES_tradnl"/>
        </w:rPr>
        <w:t xml:space="preserve">a actos </w:t>
      </w:r>
      <w:r w:rsidRPr="00A34388">
        <w:rPr>
          <w:rFonts w:eastAsiaTheme="minorHAnsi" w:cs="Arial"/>
          <w:szCs w:val="20"/>
          <w:lang w:val="es-ES_tradnl"/>
        </w:rPr>
        <w:t xml:space="preserve">para terceros.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La continuada participación de la Organización en las negociaciones conjuntas con las líneas aéreas, en el marco del Grupo de Actividades Comunes de Compra de las Naciones Unidas (CPAG), demostró su utilidad de cara a la obtención de las líneas aéreas de unos precios y condiciones más favorables.  Los ahorros estimados asociados a lo anterior supusieron aproximadamente 880.000 francos suizos en 2012 y alrededor de 740.000 francos suizos en 2013.</w:t>
      </w:r>
    </w:p>
    <w:p w:rsidR="00014897" w:rsidRPr="00A34388" w:rsidRDefault="00014897" w:rsidP="00014897">
      <w:pPr>
        <w:jc w:val="both"/>
        <w:rPr>
          <w:rFonts w:eastAsiaTheme="minorHAnsi" w:cs="Arial"/>
          <w:szCs w:val="20"/>
          <w:lang w:val="es-ES_tradnl"/>
        </w:rPr>
      </w:pPr>
    </w:p>
    <w:p w:rsidR="00014897" w:rsidRPr="00A34388" w:rsidRDefault="00014897" w:rsidP="008018CA">
      <w:pPr>
        <w:keepNext/>
        <w:keepLines/>
        <w:jc w:val="both"/>
        <w:rPr>
          <w:rFonts w:eastAsiaTheme="minorHAnsi" w:cs="Arial"/>
          <w:b/>
          <w:i/>
          <w:iCs/>
          <w:caps/>
          <w:szCs w:val="20"/>
          <w:lang w:val="es-ES_tradnl"/>
        </w:rPr>
      </w:pPr>
      <w:r w:rsidRPr="00A34388">
        <w:rPr>
          <w:rFonts w:eastAsiaTheme="minorHAnsi" w:cs="Arial"/>
          <w:szCs w:val="20"/>
          <w:lang w:val="es-ES_tradnl"/>
        </w:rPr>
        <w:lastRenderedPageBreak/>
        <w:t xml:space="preserve">En el documento WO/PBC/21/19 se describen otras medidas adoptadas por la Secretaría para conseguir mayores eficiencias en función de los costos en materia de viajes, entre las que se incluye la introducción de una herramienta de reservas por Internet (OBT), que tiene por objetivo mejorar los actuales procesos operativos, consiguiendo unos precios de billetes notablemente inferiores gracias a una reserva temprana, así como una reducción en las tasas de las transacciones de las agencias de viajes.  La labor relativa a la OBT se inició en el bienio 2012/13.  Se espera que la puesta en marcha de esta herramienta tenga lugar en 2014, calculándose que gracias a ella se obtendrán mayores ahorros de costos en viajes a partir de 2015. </w:t>
      </w:r>
    </w:p>
    <w:p w:rsidR="00014897" w:rsidRPr="00A34388" w:rsidRDefault="00014897" w:rsidP="008018CA">
      <w:pPr>
        <w:keepNext/>
        <w:keepLines/>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La OMPI siguió mejorando la eficacia de sus procedimientos de viajes, lo que dio como resultado la absorción de un incremento del 19,3% en el número de autorizaciones electrónicas de viaje tramitadas entre 2012 y 2013.</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En el siguiente cuadro se resumen los ahorros y/o aumentos de la eficacia conseguidos en el área de viajes del personal y de terceros.</w:t>
      </w:r>
    </w:p>
    <w:p w:rsidR="008018CA" w:rsidRDefault="008018CA" w:rsidP="00014897">
      <w:pPr>
        <w:rPr>
          <w:rFonts w:eastAsiaTheme="minorHAnsi"/>
          <w:lang w:val="es-ES_tradnl"/>
        </w:rPr>
      </w:pPr>
    </w:p>
    <w:tbl>
      <w:tblPr>
        <w:tblStyle w:val="TableGrid1"/>
        <w:tblW w:w="0" w:type="auto"/>
        <w:tblInd w:w="108" w:type="dxa"/>
        <w:tblLook w:val="04A0" w:firstRow="1" w:lastRow="0" w:firstColumn="1" w:lastColumn="0" w:noHBand="0" w:noVBand="1"/>
      </w:tblPr>
      <w:tblGrid>
        <w:gridCol w:w="4678"/>
        <w:gridCol w:w="4678"/>
      </w:tblGrid>
      <w:tr w:rsidR="00014897" w:rsidRPr="00E94BEA" w:rsidTr="00D6763F">
        <w:trPr>
          <w:trHeight w:val="386"/>
        </w:trPr>
        <w:tc>
          <w:tcPr>
            <w:tcW w:w="4678" w:type="dxa"/>
            <w:shd w:val="clear" w:color="auto" w:fill="DBE5F1" w:themeFill="accent1" w:themeFillTint="33"/>
            <w:vAlign w:val="center"/>
          </w:tcPr>
          <w:p w:rsidR="00014897" w:rsidRPr="00A34388" w:rsidRDefault="00014897" w:rsidP="00D6763F">
            <w:pPr>
              <w:spacing w:before="120" w:after="120"/>
              <w:jc w:val="center"/>
              <w:rPr>
                <w:rFonts w:cs="Arial"/>
                <w:b/>
                <w:sz w:val="18"/>
                <w:szCs w:val="18"/>
                <w:lang w:val="es-ES_tradnl"/>
              </w:rPr>
            </w:pPr>
            <w:r w:rsidRPr="00332758">
              <w:rPr>
                <w:rFonts w:cs="Arial"/>
                <w:b/>
                <w:sz w:val="18"/>
                <w:szCs w:val="18"/>
                <w:lang w:val="es-ES_tradnl"/>
              </w:rPr>
              <w:t>Descripción</w:t>
            </w:r>
          </w:p>
        </w:tc>
        <w:tc>
          <w:tcPr>
            <w:tcW w:w="4678" w:type="dxa"/>
            <w:shd w:val="clear" w:color="auto" w:fill="DBE5F1" w:themeFill="accent1" w:themeFillTint="33"/>
            <w:vAlign w:val="center"/>
          </w:tcPr>
          <w:p w:rsidR="00014897" w:rsidRPr="00A34388" w:rsidRDefault="00014897" w:rsidP="00D6763F">
            <w:pPr>
              <w:spacing w:before="120" w:after="120"/>
              <w:jc w:val="center"/>
              <w:rPr>
                <w:rFonts w:cs="Arial"/>
                <w:b/>
                <w:sz w:val="18"/>
                <w:szCs w:val="18"/>
                <w:lang w:val="es-ES_tradnl"/>
              </w:rPr>
            </w:pPr>
            <w:r w:rsidRPr="00332758">
              <w:rPr>
                <w:rFonts w:cs="Arial"/>
                <w:b/>
                <w:sz w:val="18"/>
                <w:szCs w:val="18"/>
                <w:lang w:val="es-ES_tradnl"/>
              </w:rPr>
              <w:t>Ahorro de costos / Aumento de la eficacia</w:t>
            </w:r>
          </w:p>
        </w:tc>
      </w:tr>
      <w:tr w:rsidR="00014897" w:rsidRPr="00A34388" w:rsidTr="00D6763F">
        <w:trPr>
          <w:trHeight w:val="341"/>
        </w:trPr>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Ahorro gracias a las medidas de política en materia de viajes</w:t>
            </w:r>
          </w:p>
        </w:tc>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 xml:space="preserve">923.000 en 2012/13 </w:t>
            </w:r>
          </w:p>
        </w:tc>
      </w:tr>
      <w:tr w:rsidR="00014897" w:rsidRPr="00E94BEA" w:rsidTr="00D6763F">
        <w:trPr>
          <w:trHeight w:val="539"/>
        </w:trPr>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Reducción del precio medio de los billetes (para todas las clases de viajes, viajeros y proveedores)</w:t>
            </w:r>
          </w:p>
        </w:tc>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1.914 francos suizos en 2012 frente a 1.728 francos suizos en 2013</w:t>
            </w:r>
          </w:p>
        </w:tc>
      </w:tr>
      <w:tr w:rsidR="00014897" w:rsidRPr="00E94BEA" w:rsidTr="00D6763F">
        <w:trPr>
          <w:trHeight w:val="440"/>
        </w:trPr>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Ahorros relacionados con una participación activa en las negociaciones conjuntas con líneas aéreas</w:t>
            </w:r>
          </w:p>
        </w:tc>
        <w:tc>
          <w:tcPr>
            <w:tcW w:w="4678" w:type="dxa"/>
            <w:vAlign w:val="center"/>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880.000 francos suizos en 2012 frente a 740.000 francos suizos en 2013</w:t>
            </w:r>
          </w:p>
        </w:tc>
      </w:tr>
      <w:tr w:rsidR="00014897" w:rsidRPr="00E94BEA" w:rsidTr="00D6763F">
        <w:trPr>
          <w:trHeight w:val="683"/>
        </w:trPr>
        <w:tc>
          <w:tcPr>
            <w:tcW w:w="4678" w:type="dxa"/>
          </w:tcPr>
          <w:p w:rsidR="00014897" w:rsidRPr="00A34388" w:rsidRDefault="00014897" w:rsidP="00D6763F">
            <w:pPr>
              <w:spacing w:before="120" w:after="120"/>
              <w:rPr>
                <w:rFonts w:cs="Arial"/>
                <w:sz w:val="16"/>
                <w:szCs w:val="16"/>
                <w:lang w:val="es-ES_tradnl"/>
              </w:rPr>
            </w:pPr>
            <w:r w:rsidRPr="00A34388">
              <w:rPr>
                <w:rFonts w:cs="Arial"/>
                <w:sz w:val="16"/>
                <w:szCs w:val="16"/>
                <w:lang w:val="es-ES_tradnl"/>
              </w:rPr>
              <w:t>Aumentos de la eficacia conseguidos con la mejora de los procedimientos de compra</w:t>
            </w:r>
          </w:p>
        </w:tc>
        <w:tc>
          <w:tcPr>
            <w:tcW w:w="4678" w:type="dxa"/>
          </w:tcPr>
          <w:p w:rsidR="00014897" w:rsidRPr="00A34388" w:rsidRDefault="00014897" w:rsidP="00D6763F">
            <w:pPr>
              <w:spacing w:before="120" w:after="120"/>
              <w:contextualSpacing/>
              <w:rPr>
                <w:rFonts w:cs="Arial"/>
                <w:sz w:val="16"/>
                <w:szCs w:val="16"/>
                <w:lang w:val="es-ES_tradnl"/>
              </w:rPr>
            </w:pPr>
            <w:r w:rsidRPr="00A34388">
              <w:rPr>
                <w:rFonts w:cs="Arial"/>
                <w:sz w:val="16"/>
                <w:szCs w:val="16"/>
                <w:lang w:val="es-ES_tradnl"/>
              </w:rPr>
              <w:t>Absorción de mayores volúmenes de autorizaciones electrónicas de viaje (aumento del 19,3%) y de pedidos y licitaciones (aumento del 16%) entre 2012 y 2013.</w:t>
            </w:r>
          </w:p>
          <w:p w:rsidR="00014897" w:rsidRPr="00A34388" w:rsidRDefault="00014897" w:rsidP="00D6763F">
            <w:pPr>
              <w:spacing w:before="120" w:after="120"/>
              <w:contextualSpacing/>
              <w:rPr>
                <w:rFonts w:cs="Arial"/>
                <w:sz w:val="16"/>
                <w:szCs w:val="16"/>
                <w:lang w:val="es-ES_tradnl"/>
              </w:rPr>
            </w:pPr>
          </w:p>
        </w:tc>
      </w:tr>
    </w:tbl>
    <w:p w:rsidR="00014897" w:rsidRPr="00A34388" w:rsidRDefault="00014897" w:rsidP="008018CA">
      <w:pPr>
        <w:spacing w:after="200"/>
        <w:jc w:val="both"/>
        <w:rPr>
          <w:rFonts w:eastAsiaTheme="minorHAnsi" w:cs="Arial"/>
          <w:b/>
          <w:bCs/>
          <w:caps/>
          <w:szCs w:val="20"/>
          <w:lang w:val="es-ES_tradnl"/>
        </w:rPr>
      </w:pPr>
    </w:p>
    <w:p w:rsidR="00014897" w:rsidRPr="00332758" w:rsidRDefault="00014897" w:rsidP="008018CA">
      <w:pPr>
        <w:rPr>
          <w:rFonts w:eastAsiaTheme="minorHAnsi" w:cs="Arial"/>
          <w:b/>
          <w:bCs/>
          <w:caps/>
          <w:szCs w:val="20"/>
          <w:lang w:val="es-ES_tradnl"/>
        </w:rPr>
      </w:pPr>
      <w:r w:rsidRPr="00332758">
        <w:rPr>
          <w:rFonts w:eastAsiaTheme="minorHAnsi" w:cs="Arial"/>
          <w:b/>
          <w:bCs/>
          <w:caps/>
          <w:szCs w:val="20"/>
          <w:lang w:val="es-ES_tradnl"/>
        </w:rPr>
        <w:t>Organización de reuniones y eventos</w:t>
      </w:r>
    </w:p>
    <w:p w:rsidR="00014897" w:rsidRPr="00A34388" w:rsidRDefault="00014897" w:rsidP="008018CA">
      <w:pPr>
        <w:jc w:val="both"/>
        <w:rPr>
          <w:rFonts w:eastAsiaTheme="minorHAnsi" w:cs="Arial"/>
          <w:szCs w:val="20"/>
          <w:lang w:val="es-ES_tradnl"/>
        </w:rPr>
      </w:pPr>
    </w:p>
    <w:p w:rsidR="00014897" w:rsidRPr="00332758" w:rsidRDefault="00014897" w:rsidP="008018CA">
      <w:pPr>
        <w:jc w:val="both"/>
        <w:rPr>
          <w:rFonts w:eastAsiaTheme="minorHAnsi" w:cs="Arial"/>
          <w:szCs w:val="20"/>
          <w:lang w:val="es-ES_tradnl"/>
        </w:rPr>
      </w:pPr>
      <w:r w:rsidRPr="00A34388">
        <w:rPr>
          <w:rFonts w:eastAsiaTheme="minorHAnsi" w:cs="Arial"/>
          <w:szCs w:val="20"/>
          <w:lang w:val="es-ES_tradnl"/>
        </w:rPr>
        <w:t xml:space="preserve">Durante el bienio 2012/13 se introdujeron una serie de medidas de fomento de la eficacia en función de los costos en relación con la organización de reuniones y eventos.  </w:t>
      </w:r>
      <w:r w:rsidRPr="00332758">
        <w:rPr>
          <w:rFonts w:eastAsiaTheme="minorHAnsi" w:cs="Arial"/>
          <w:szCs w:val="20"/>
          <w:lang w:val="es-ES_tradnl"/>
        </w:rPr>
        <w:t xml:space="preserve">Esas medidas se describen en los documentos WO/PBC/19/9 y WO/PBC/21/19.  Cabe citar la limitación del número de miembros del personal que asisten a un mismo evento, las orientaciones para la utilización de hoteles menos caros, la limitación del número de recepciones que se organizan en Ginebra así como la limitación del importe máximo de participación de la OMPI en el caso de actividades que tengan lugar en otros países, la reducción de los honorarios que se paga a oradores y conferenciantes, un uso más amplio de las videoconferencias y de la difusión por Internet de eventos, reuniones y actividades de contratación (entrevistas), así como una utilización mejor y más planificada de las oficinas de la OMPI en el exterior para garantizar la representación de la Organización en reuniones de manera eficaz en función de los costos. </w:t>
      </w:r>
    </w:p>
    <w:p w:rsidR="00014897" w:rsidRPr="00A34388" w:rsidRDefault="00014897" w:rsidP="00014897">
      <w:pPr>
        <w:jc w:val="both"/>
        <w:rPr>
          <w:rFonts w:eastAsiaTheme="minorHAnsi" w:cs="Arial"/>
          <w:bCs/>
          <w:szCs w:val="20"/>
          <w:lang w:val="es-ES_tradnl"/>
        </w:rPr>
      </w:pPr>
    </w:p>
    <w:p w:rsidR="00014897" w:rsidRPr="00A34388" w:rsidRDefault="00014897" w:rsidP="00014897">
      <w:pPr>
        <w:jc w:val="both"/>
        <w:rPr>
          <w:rFonts w:eastAsiaTheme="minorHAnsi" w:cs="Arial"/>
          <w:bCs/>
          <w:szCs w:val="20"/>
          <w:lang w:val="es-ES_tradnl"/>
        </w:rPr>
      </w:pPr>
      <w:r w:rsidRPr="00A34388">
        <w:rPr>
          <w:rFonts w:eastAsiaTheme="minorHAnsi" w:cs="Arial"/>
          <w:bCs/>
          <w:szCs w:val="20"/>
          <w:lang w:val="es-ES_tradnl"/>
        </w:rPr>
        <w:t xml:space="preserve">Pese a las medidas de racionalización y control, la ampliación de la cobertura lingüística a la totalidad de los seis idiomas de las NN.UU., de conformidad con la Política Lingüística de la OMPI adoptada por las Asambleas de la Organización en 2011, provocó un aumento del 35% en la carga de trabajo respecto del bienio 2010/11.  Tras incrementar la subcontratación externa, la racionalización de los procesos operativos, tanto en las fases preliminares como en la de traducción, unidas a una utilización eficaz de las herramientas informáticas de traducción, redujo el costo medio de traducción desde los 213 francos suizos del bienio 2010/11 hasta 191 francos suizos en 2012/13.  La reducción de los costos generada con todo ello fue de 2,2 millones de francos suizos. </w:t>
      </w:r>
    </w:p>
    <w:p w:rsidR="00014897" w:rsidRPr="00A34388" w:rsidRDefault="00014897" w:rsidP="00014897">
      <w:pPr>
        <w:jc w:val="both"/>
        <w:rPr>
          <w:rFonts w:eastAsiaTheme="minorHAnsi" w:cs="Arial"/>
          <w:szCs w:val="20"/>
          <w:lang w:val="es-ES_tradnl"/>
        </w:rPr>
      </w:pPr>
    </w:p>
    <w:p w:rsidR="008018CA" w:rsidRDefault="008018CA">
      <w:pPr>
        <w:rPr>
          <w:rFonts w:eastAsiaTheme="minorHAnsi" w:cs="Arial"/>
          <w:szCs w:val="20"/>
          <w:lang w:val="es-ES_tradnl"/>
        </w:rPr>
      </w:pPr>
      <w:r>
        <w:rPr>
          <w:rFonts w:eastAsiaTheme="minorHAnsi" w:cs="Arial"/>
          <w:szCs w:val="20"/>
          <w:lang w:val="es-ES_tradnl"/>
        </w:rPr>
        <w:br w:type="page"/>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lastRenderedPageBreak/>
        <w:t>En el siguiente cuadro se resumen los ahorros y/o aumentos de la eficacia conseguidos en el área de organización de reuniones y eventos.</w:t>
      </w:r>
    </w:p>
    <w:tbl>
      <w:tblPr>
        <w:tblStyle w:val="TableGrid1"/>
        <w:tblW w:w="0" w:type="auto"/>
        <w:tblInd w:w="108" w:type="dxa"/>
        <w:tblLook w:val="04A0" w:firstRow="1" w:lastRow="0" w:firstColumn="1" w:lastColumn="0" w:noHBand="0" w:noVBand="1"/>
      </w:tblPr>
      <w:tblGrid>
        <w:gridCol w:w="4678"/>
        <w:gridCol w:w="4678"/>
      </w:tblGrid>
      <w:tr w:rsidR="00014897" w:rsidRPr="00E94BEA" w:rsidTr="00D6763F">
        <w:trPr>
          <w:trHeight w:hRule="exact" w:val="415"/>
        </w:trPr>
        <w:tc>
          <w:tcPr>
            <w:tcW w:w="4678" w:type="dxa"/>
            <w:shd w:val="clear" w:color="auto" w:fill="DBE5F1" w:themeFill="accent1" w:themeFillTint="33"/>
            <w:vAlign w:val="center"/>
          </w:tcPr>
          <w:p w:rsidR="00014897" w:rsidRPr="00A34388" w:rsidRDefault="00014897" w:rsidP="00D6763F">
            <w:pPr>
              <w:jc w:val="center"/>
              <w:rPr>
                <w:rFonts w:cs="Arial"/>
                <w:b/>
                <w:sz w:val="18"/>
                <w:szCs w:val="18"/>
                <w:lang w:val="es-ES_tradnl"/>
              </w:rPr>
            </w:pPr>
            <w:r w:rsidRPr="00332758">
              <w:rPr>
                <w:rFonts w:cs="Arial"/>
                <w:b/>
                <w:sz w:val="18"/>
                <w:szCs w:val="18"/>
                <w:lang w:val="es-ES_tradnl"/>
              </w:rPr>
              <w:t>Descripción</w:t>
            </w:r>
          </w:p>
        </w:tc>
        <w:tc>
          <w:tcPr>
            <w:tcW w:w="4678" w:type="dxa"/>
            <w:shd w:val="clear" w:color="auto" w:fill="DBE5F1" w:themeFill="accent1" w:themeFillTint="33"/>
            <w:vAlign w:val="center"/>
          </w:tcPr>
          <w:p w:rsidR="00014897" w:rsidRPr="00A34388" w:rsidRDefault="00014897" w:rsidP="00D6763F">
            <w:pPr>
              <w:jc w:val="center"/>
              <w:rPr>
                <w:rFonts w:cs="Arial"/>
                <w:b/>
                <w:sz w:val="18"/>
                <w:szCs w:val="18"/>
                <w:lang w:val="es-ES_tradnl"/>
              </w:rPr>
            </w:pPr>
            <w:r w:rsidRPr="00332758">
              <w:rPr>
                <w:rFonts w:cs="Arial"/>
                <w:b/>
                <w:sz w:val="18"/>
                <w:szCs w:val="18"/>
                <w:lang w:val="es-ES_tradnl"/>
              </w:rPr>
              <w:t>Ahorro de costos / Aumento de la eficacia</w:t>
            </w:r>
          </w:p>
        </w:tc>
      </w:tr>
      <w:tr w:rsidR="00014897" w:rsidRPr="00E94BEA" w:rsidTr="00D6763F">
        <w:trPr>
          <w:trHeight w:val="530"/>
        </w:trPr>
        <w:tc>
          <w:tcPr>
            <w:tcW w:w="4678" w:type="dxa"/>
            <w:vAlign w:val="center"/>
          </w:tcPr>
          <w:p w:rsidR="00014897" w:rsidRPr="00A34388" w:rsidRDefault="00014897" w:rsidP="00D6763F">
            <w:pPr>
              <w:rPr>
                <w:rFonts w:cs="Arial"/>
                <w:sz w:val="16"/>
                <w:szCs w:val="16"/>
                <w:lang w:val="es-ES_tradnl"/>
              </w:rPr>
            </w:pPr>
            <w:r w:rsidRPr="00A34388">
              <w:rPr>
                <w:rFonts w:cs="Arial"/>
                <w:sz w:val="16"/>
                <w:szCs w:val="16"/>
                <w:lang w:val="es-ES_tradnl"/>
              </w:rPr>
              <w:t xml:space="preserve">Racionalización de los volúmenes de traducción tras la introducción de la Política Lingüística de la OMPI  </w:t>
            </w:r>
          </w:p>
        </w:tc>
        <w:tc>
          <w:tcPr>
            <w:tcW w:w="4678" w:type="dxa"/>
            <w:vAlign w:val="center"/>
          </w:tcPr>
          <w:p w:rsidR="00014897" w:rsidRPr="00A34388" w:rsidRDefault="00014897" w:rsidP="00D6763F">
            <w:pPr>
              <w:rPr>
                <w:rFonts w:cs="Arial"/>
                <w:sz w:val="16"/>
                <w:szCs w:val="16"/>
                <w:lang w:val="es-ES_tradnl"/>
              </w:rPr>
            </w:pPr>
            <w:r w:rsidRPr="00A34388">
              <w:rPr>
                <w:rFonts w:cs="Arial"/>
                <w:sz w:val="16"/>
                <w:szCs w:val="16"/>
                <w:lang w:val="es-ES_tradnl"/>
              </w:rPr>
              <w:t>El aumento del 35% en la carga de trabajo entre el bienio 2010/11 y el bienio 2012/13 pudo mitigarse mediante una reducción del 18% de la carga de trabajo entre 2012 y 2013</w:t>
            </w:r>
          </w:p>
        </w:tc>
      </w:tr>
      <w:tr w:rsidR="00014897" w:rsidRPr="00E94BEA" w:rsidTr="00D6763F">
        <w:trPr>
          <w:trHeight w:val="759"/>
        </w:trPr>
        <w:tc>
          <w:tcPr>
            <w:tcW w:w="4678" w:type="dxa"/>
            <w:vAlign w:val="center"/>
          </w:tcPr>
          <w:p w:rsidR="00014897" w:rsidRPr="00A34388" w:rsidRDefault="00014897" w:rsidP="00D6763F">
            <w:pPr>
              <w:rPr>
                <w:rFonts w:cs="Arial"/>
                <w:sz w:val="16"/>
                <w:szCs w:val="16"/>
                <w:lang w:val="es-ES_tradnl"/>
              </w:rPr>
            </w:pPr>
            <w:r w:rsidRPr="00A34388">
              <w:rPr>
                <w:rFonts w:cs="Arial"/>
                <w:sz w:val="16"/>
                <w:szCs w:val="16"/>
                <w:lang w:val="es-ES_tradnl"/>
              </w:rPr>
              <w:t>Reducción del costo por página gracias a varias medidas de contención de los costos, la implantación de herramientas de traducción asistida por computadora y una combinación de subcontratación externa y traducción interna</w:t>
            </w:r>
          </w:p>
        </w:tc>
        <w:tc>
          <w:tcPr>
            <w:tcW w:w="4678" w:type="dxa"/>
            <w:vAlign w:val="center"/>
          </w:tcPr>
          <w:p w:rsidR="00014897" w:rsidRPr="00A34388" w:rsidRDefault="00054EC8" w:rsidP="00054EC8">
            <w:pPr>
              <w:rPr>
                <w:rFonts w:cs="Arial"/>
                <w:sz w:val="16"/>
                <w:szCs w:val="16"/>
                <w:lang w:val="es-ES_tradnl"/>
              </w:rPr>
            </w:pPr>
            <w:r>
              <w:rPr>
                <w:rFonts w:cs="Arial"/>
                <w:sz w:val="16"/>
                <w:szCs w:val="16"/>
                <w:lang w:val="es-ES_tradnl"/>
              </w:rPr>
              <w:t xml:space="preserve">De </w:t>
            </w:r>
            <w:r w:rsidR="00014897" w:rsidRPr="00A34388">
              <w:rPr>
                <w:rFonts w:cs="Arial"/>
                <w:sz w:val="16"/>
                <w:szCs w:val="16"/>
                <w:lang w:val="es-ES_tradnl"/>
              </w:rPr>
              <w:t xml:space="preserve">213 francos suizos en 2010/11 </w:t>
            </w:r>
            <w:r>
              <w:rPr>
                <w:rFonts w:cs="Arial"/>
                <w:sz w:val="16"/>
                <w:szCs w:val="16"/>
                <w:lang w:val="es-ES_tradnl"/>
              </w:rPr>
              <w:t>a</w:t>
            </w:r>
            <w:r w:rsidR="00014897" w:rsidRPr="00A34388">
              <w:rPr>
                <w:rFonts w:cs="Arial"/>
                <w:sz w:val="16"/>
                <w:szCs w:val="16"/>
                <w:lang w:val="es-ES_tradnl"/>
              </w:rPr>
              <w:t xml:space="preserve"> 191 francos suizos en 2012/13, lo que supone un aumento de la eficacia en función de los costos cifrado en 2,2 millones de francos suizos</w:t>
            </w:r>
          </w:p>
        </w:tc>
      </w:tr>
    </w:tbl>
    <w:p w:rsidR="00014897" w:rsidRPr="00A34388" w:rsidRDefault="00014897" w:rsidP="008018CA">
      <w:pPr>
        <w:spacing w:after="200"/>
        <w:rPr>
          <w:rFonts w:eastAsiaTheme="minorHAnsi" w:cs="Arial"/>
          <w:b/>
          <w:bCs/>
          <w:szCs w:val="20"/>
          <w:lang w:val="es-ES_tradnl"/>
        </w:rPr>
      </w:pPr>
    </w:p>
    <w:p w:rsidR="00014897" w:rsidRPr="00332758" w:rsidRDefault="00014897" w:rsidP="008018CA">
      <w:pPr>
        <w:spacing w:after="200"/>
        <w:jc w:val="both"/>
        <w:rPr>
          <w:rFonts w:eastAsiaTheme="minorHAnsi" w:cs="Arial"/>
          <w:b/>
          <w:bCs/>
          <w:szCs w:val="20"/>
          <w:lang w:val="es-ES_tradnl"/>
        </w:rPr>
      </w:pPr>
      <w:r w:rsidRPr="00332758">
        <w:rPr>
          <w:rFonts w:eastAsiaTheme="minorHAnsi" w:cs="Arial"/>
          <w:b/>
          <w:bCs/>
          <w:szCs w:val="20"/>
          <w:lang w:val="es-ES_tradnl"/>
        </w:rPr>
        <w:t>OTRAS MEDIDAS</w:t>
      </w:r>
    </w:p>
    <w:p w:rsidR="00014897" w:rsidRPr="00332758" w:rsidRDefault="00014897" w:rsidP="008018CA">
      <w:pPr>
        <w:spacing w:after="200"/>
        <w:jc w:val="both"/>
        <w:rPr>
          <w:rFonts w:eastAsiaTheme="minorHAnsi" w:cs="Arial"/>
          <w:b/>
          <w:bCs/>
          <w:i/>
          <w:szCs w:val="20"/>
          <w:lang w:val="es-ES_tradnl"/>
        </w:rPr>
      </w:pPr>
      <w:r w:rsidRPr="00332758">
        <w:rPr>
          <w:rFonts w:eastAsiaTheme="minorHAnsi" w:cs="Arial"/>
          <w:b/>
          <w:bCs/>
          <w:i/>
          <w:szCs w:val="20"/>
          <w:lang w:val="es-ES_tradnl"/>
        </w:rPr>
        <w:t>Contratos de adquisición</w:t>
      </w: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consecución de ahorros en costos en la adquisición de bienes y servicios continuó reforzándose durante el bienio.  En este sentido, se renegociaron y/o se convocaron nuevas licitaciones para varios contratos de adquisición de bienes y servicios, a los fines de conseguir mejores precios y condiciones de los proveedores.  </w:t>
      </w:r>
      <w:r w:rsidRPr="00332758">
        <w:rPr>
          <w:rFonts w:eastAsiaTheme="minorHAnsi" w:cs="Arial"/>
          <w:szCs w:val="20"/>
          <w:lang w:val="es-ES_tradnl"/>
        </w:rPr>
        <w:t xml:space="preserve">Esos contratos abarcan una amplia gama de esferas, entre las que figuran los locales, las T.I., los servicios de traducción, los servicios de seguridad, etcétera.  </w:t>
      </w:r>
      <w:r w:rsidRPr="00A34388">
        <w:rPr>
          <w:rFonts w:eastAsiaTheme="minorHAnsi" w:cs="Arial"/>
          <w:szCs w:val="20"/>
          <w:lang w:val="es-ES_tradnl"/>
        </w:rPr>
        <w:t>Cabe destacar que, en 2012, se convocaron nuevas licitaciones para varios de los principales contratos de adquisición, entre los que se incluyen los servicios de traducción del PCT;  las licencias de software para el proyecto de planificación de los recursos institucionales y los servicios de seguridad.  En 2013, también se pusieron en marcha nuevos contratos, o se convocaron nuevas licitaciones para contratos ya existentes, relativos a</w:t>
      </w:r>
      <w:r w:rsidR="00054EC8">
        <w:rPr>
          <w:rFonts w:eastAsiaTheme="minorHAnsi" w:cs="Arial"/>
          <w:szCs w:val="20"/>
          <w:lang w:val="es-ES_tradnl"/>
        </w:rPr>
        <w:t xml:space="preserve"> </w:t>
      </w:r>
      <w:r w:rsidRPr="00A34388">
        <w:rPr>
          <w:rFonts w:eastAsiaTheme="minorHAnsi" w:cs="Arial"/>
          <w:szCs w:val="20"/>
          <w:lang w:val="es-ES_tradnl"/>
        </w:rPr>
        <w:t>l</w:t>
      </w:r>
      <w:r w:rsidR="00054EC8">
        <w:rPr>
          <w:rFonts w:eastAsiaTheme="minorHAnsi" w:cs="Arial"/>
          <w:szCs w:val="20"/>
          <w:lang w:val="es-ES_tradnl"/>
        </w:rPr>
        <w:t>a</w:t>
      </w:r>
      <w:r w:rsidRPr="00A34388">
        <w:rPr>
          <w:rFonts w:eastAsiaTheme="minorHAnsi" w:cs="Arial"/>
          <w:szCs w:val="20"/>
          <w:lang w:val="es-ES_tradnl"/>
        </w:rPr>
        <w:t xml:space="preserve"> </w:t>
      </w:r>
      <w:r w:rsidR="00054EC8">
        <w:rPr>
          <w:rFonts w:eastAsiaTheme="minorHAnsi" w:cs="Arial"/>
          <w:szCs w:val="20"/>
          <w:lang w:val="es-ES_tradnl"/>
        </w:rPr>
        <w:t xml:space="preserve">digitalización </w:t>
      </w:r>
      <w:r w:rsidRPr="00A34388">
        <w:rPr>
          <w:rFonts w:eastAsiaTheme="minorHAnsi" w:cs="Arial"/>
          <w:szCs w:val="20"/>
          <w:lang w:val="es-ES_tradnl"/>
        </w:rPr>
        <w:t xml:space="preserve">de archivos de P.I., </w:t>
      </w:r>
      <w:r w:rsidR="00054EC8">
        <w:rPr>
          <w:rFonts w:eastAsiaTheme="minorHAnsi" w:cs="Arial"/>
          <w:szCs w:val="20"/>
          <w:lang w:val="es-ES_tradnl"/>
        </w:rPr>
        <w:t>el escaneo</w:t>
      </w:r>
      <w:r w:rsidRPr="00A34388">
        <w:rPr>
          <w:rFonts w:eastAsiaTheme="minorHAnsi" w:cs="Arial"/>
          <w:szCs w:val="20"/>
          <w:lang w:val="es-ES_tradnl"/>
        </w:rPr>
        <w:t xml:space="preserve"> de solicitudes en el marco del PCT y la agencia de viajes. </w:t>
      </w:r>
    </w:p>
    <w:p w:rsidR="00014897" w:rsidRPr="00A34388" w:rsidRDefault="00014897" w:rsidP="00014897">
      <w:pPr>
        <w:jc w:val="both"/>
        <w:rPr>
          <w:rFonts w:eastAsiaTheme="minorHAnsi" w:cs="Arial"/>
          <w:szCs w:val="20"/>
          <w:lang w:val="es-ES_tradnl"/>
        </w:rPr>
      </w:pPr>
    </w:p>
    <w:p w:rsidR="00014897" w:rsidRPr="00A34388" w:rsidRDefault="00014897" w:rsidP="00014897">
      <w:pPr>
        <w:spacing w:after="200"/>
        <w:jc w:val="both"/>
        <w:rPr>
          <w:rFonts w:cs="Arial"/>
          <w:szCs w:val="20"/>
          <w:lang w:val="es-ES_tradnl"/>
        </w:rPr>
      </w:pPr>
      <w:r w:rsidRPr="00A34388">
        <w:rPr>
          <w:rFonts w:eastAsiaTheme="minorHAnsi" w:cs="Arial"/>
          <w:szCs w:val="20"/>
          <w:lang w:val="es-ES_tradnl"/>
        </w:rPr>
        <w:t xml:space="preserve">Como ya se señaló en los dos informes anteriores sobre la marcha de las actividades, la OMPI permaneció activa en la esfera de la cooperación con otras organizaciones de las NN.UU.  Como miembro del Grupo de Actividades Comunes de Compra de las Naciones Unidas (CPAG), la OMPI siguió beneficiándose de las licitaciones conjuntas con dicho grupo en ámbitos tales como los suministros eléctricos, </w:t>
      </w:r>
      <w:r w:rsidRPr="00A34388">
        <w:rPr>
          <w:rFonts w:cs="Arial"/>
          <w:szCs w:val="20"/>
          <w:lang w:val="es-ES_tradnl"/>
        </w:rPr>
        <w:t xml:space="preserve">las tarifas aéreas, el equipamiento informático, como computadoras portátiles y de escritorio, el alquiler de equipos multifunción en red, los servicios de agencia de viajes, </w:t>
      </w:r>
      <w:r w:rsidRPr="00332758">
        <w:rPr>
          <w:rFonts w:eastAsiaTheme="minorHAnsi" w:cs="Arial"/>
          <w:szCs w:val="20"/>
          <w:lang w:val="es-ES_tradnl"/>
        </w:rPr>
        <w:t>etcétera</w:t>
      </w:r>
      <w:r w:rsidRPr="00A34388">
        <w:rPr>
          <w:rFonts w:cs="Arial"/>
          <w:szCs w:val="20"/>
          <w:lang w:val="es-ES_tradnl"/>
        </w:rPr>
        <w:t>.  Se calcula que, en el bienio 2012/13, los ahorros en costos en materia de servicios adquiridos por la OMPI han sido de aproximadamente 1,9 millones de francos suizos.</w:t>
      </w: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OMPI ha seguido mejorando sus procedimientos de compra con el fin de optimizar su eficiencia.  Esto incluye una simplificación de los procedimientos de compras de escaso valor, lo que ha supuesto la eliminación de trámites administrativos innecesarios.  Los nuevos procedimientos se introdujeron a principios de 2013, y gracias a ellos se han conseguido los siguientes aumentos de la eficacia: </w:t>
      </w:r>
    </w:p>
    <w:p w:rsidR="00014897" w:rsidRPr="00A34388" w:rsidRDefault="00014897" w:rsidP="00014897">
      <w:pPr>
        <w:jc w:val="both"/>
        <w:rPr>
          <w:rFonts w:eastAsiaTheme="minorHAnsi" w:cs="Arial"/>
          <w:szCs w:val="20"/>
          <w:lang w:val="es-ES_tradnl"/>
        </w:rPr>
      </w:pPr>
    </w:p>
    <w:p w:rsidR="00014897" w:rsidRPr="00A34388" w:rsidRDefault="00014897" w:rsidP="00014897">
      <w:pPr>
        <w:numPr>
          <w:ilvl w:val="0"/>
          <w:numId w:val="76"/>
        </w:numPr>
        <w:contextualSpacing/>
        <w:rPr>
          <w:rFonts w:eastAsiaTheme="minorHAnsi" w:cs="Arial"/>
          <w:szCs w:val="20"/>
          <w:lang w:val="es-ES_tradnl"/>
        </w:rPr>
      </w:pPr>
      <w:r w:rsidRPr="00A34388">
        <w:rPr>
          <w:rFonts w:eastAsiaTheme="minorHAnsi" w:cs="Arial"/>
          <w:szCs w:val="20"/>
          <w:lang w:val="es-ES_tradnl"/>
        </w:rPr>
        <w:t>absorción de un incremento del 19,3% en el número de autorizaciones electrónicas de viaje tramitadas entre 2012 y 2013;</w:t>
      </w:r>
    </w:p>
    <w:p w:rsidR="00014897" w:rsidRPr="00A34388" w:rsidRDefault="00014897" w:rsidP="00014897">
      <w:pPr>
        <w:numPr>
          <w:ilvl w:val="0"/>
          <w:numId w:val="76"/>
        </w:numPr>
        <w:contextualSpacing/>
        <w:rPr>
          <w:rFonts w:eastAsiaTheme="minorHAnsi" w:cs="Arial"/>
          <w:szCs w:val="20"/>
          <w:lang w:val="es-ES_tradnl"/>
        </w:rPr>
      </w:pPr>
      <w:r w:rsidRPr="00A34388">
        <w:rPr>
          <w:rFonts w:eastAsiaTheme="minorHAnsi" w:cs="Arial"/>
          <w:szCs w:val="20"/>
          <w:lang w:val="es-ES_tradnl"/>
        </w:rPr>
        <w:t>absorción de un incremento del 16% en el número de pedidos y de licitaciones tramitados entre 2012 y 2013.</w:t>
      </w:r>
    </w:p>
    <w:p w:rsidR="00014897" w:rsidRPr="00A34388" w:rsidRDefault="00014897" w:rsidP="00014897">
      <w:pPr>
        <w:numPr>
          <w:ilvl w:val="0"/>
          <w:numId w:val="76"/>
        </w:numPr>
        <w:contextualSpacing/>
        <w:rPr>
          <w:rFonts w:eastAsiaTheme="minorHAnsi" w:cs="Arial"/>
          <w:szCs w:val="20"/>
          <w:lang w:val="es-ES_tradnl"/>
        </w:rPr>
      </w:pPr>
      <w:r w:rsidRPr="00A34388">
        <w:rPr>
          <w:rFonts w:eastAsiaTheme="minorHAnsi" w:cs="Arial"/>
          <w:szCs w:val="20"/>
          <w:lang w:val="es-ES_tradnl"/>
        </w:rPr>
        <w:t xml:space="preserve">reducción del 50% entre 2011 y 2013 en el tiempo de tramitación de peticiones; </w:t>
      </w:r>
    </w:p>
    <w:p w:rsidR="00014897" w:rsidRPr="00A34388" w:rsidRDefault="00014897" w:rsidP="00014897">
      <w:pPr>
        <w:numPr>
          <w:ilvl w:val="0"/>
          <w:numId w:val="76"/>
        </w:numPr>
        <w:contextualSpacing/>
        <w:rPr>
          <w:rFonts w:eastAsiaTheme="minorHAnsi" w:cs="Arial"/>
          <w:szCs w:val="20"/>
          <w:lang w:val="es-ES_tradnl"/>
        </w:rPr>
      </w:pPr>
      <w:r w:rsidRPr="00A34388">
        <w:rPr>
          <w:rFonts w:eastAsiaTheme="minorHAnsi" w:cs="Arial"/>
          <w:szCs w:val="20"/>
          <w:lang w:val="es-ES_tradnl"/>
        </w:rPr>
        <w:t>reducción de la tasa de pedidos cancelados, que pasaron de un 14% en 2010 a un 6,7% en 2013.</w:t>
      </w:r>
    </w:p>
    <w:p w:rsidR="00014897" w:rsidRPr="00332758" w:rsidRDefault="00014897" w:rsidP="008018CA">
      <w:pPr>
        <w:spacing w:after="200"/>
        <w:jc w:val="both"/>
        <w:rPr>
          <w:rFonts w:eastAsiaTheme="minorHAnsi" w:cs="Arial"/>
          <w:b/>
          <w:i/>
          <w:szCs w:val="20"/>
          <w:lang w:val="es-ES_tradnl"/>
        </w:rPr>
      </w:pPr>
    </w:p>
    <w:p w:rsidR="00014897" w:rsidRPr="00332758" w:rsidRDefault="00014897" w:rsidP="008018CA">
      <w:pPr>
        <w:spacing w:after="200"/>
        <w:jc w:val="both"/>
        <w:rPr>
          <w:rFonts w:eastAsiaTheme="minorHAnsi" w:cs="Arial"/>
          <w:b/>
          <w:i/>
          <w:szCs w:val="20"/>
          <w:lang w:val="es-ES_tradnl"/>
        </w:rPr>
      </w:pPr>
      <w:r w:rsidRPr="00332758">
        <w:rPr>
          <w:rFonts w:eastAsiaTheme="minorHAnsi" w:cs="Arial"/>
          <w:b/>
          <w:i/>
          <w:szCs w:val="20"/>
          <w:lang w:val="es-ES_tradnl"/>
        </w:rPr>
        <w:t>Tecnologías de la información y las comunicaciones (TIC)</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En el ámbito de los costos de los servicios de infraestructura de TIC, se lograron importantes avances en el bienio 2012/13 en lo referente a la mejora de los niveles de servicio y su eficacia en función de los costos, recurriendo a la subcontratación externa estratégica de las operaciones, especialmente, del Centro Internacional de Cálculo de las Naciones Unidas en Ginebra (CICE).  En cuanto a los contratos de servicios, se recurrió con más frecuencia al uso de un enfoque de precios fijos, complementado con una definición clara de la medición del rendimiento.</w:t>
      </w:r>
    </w:p>
    <w:p w:rsidR="00014897" w:rsidRPr="00A34388" w:rsidRDefault="00014897" w:rsidP="00014897">
      <w:pPr>
        <w:spacing w:after="200"/>
        <w:jc w:val="both"/>
        <w:rPr>
          <w:rFonts w:eastAsiaTheme="minorHAnsi" w:cs="Arial"/>
          <w:szCs w:val="20"/>
          <w:lang w:val="es-ES_tradnl"/>
        </w:rPr>
      </w:pPr>
      <w:r w:rsidRPr="00332758">
        <w:rPr>
          <w:rFonts w:eastAsiaTheme="minorHAnsi" w:cs="Arial"/>
          <w:szCs w:val="20"/>
          <w:lang w:val="es-ES_tradnl"/>
        </w:rPr>
        <w:t>En respuesta a la necesidad de mejorar la disponibilidad y capacidad de adaptación de los servicios de TIC, se ha dado un giro radical y se adoptó la tecnología de virtualización de servidores, habiéndose instalado desde principios de</w:t>
      </w:r>
      <w:r w:rsidR="00FE6657" w:rsidRPr="00332758">
        <w:rPr>
          <w:rFonts w:eastAsiaTheme="minorHAnsi" w:cs="Arial"/>
          <w:szCs w:val="20"/>
          <w:lang w:val="es-ES_tradnl"/>
        </w:rPr>
        <w:t xml:space="preserve"> 2012</w:t>
      </w:r>
      <w:r w:rsidRPr="00332758">
        <w:rPr>
          <w:rFonts w:eastAsiaTheme="minorHAnsi" w:cs="Arial"/>
          <w:szCs w:val="20"/>
          <w:lang w:val="es-ES_tradnl"/>
        </w:rPr>
        <w:t xml:space="preserve"> cerca de 100 servidores virtuales por año</w:t>
      </w:r>
      <w:r w:rsidRPr="00A34388">
        <w:rPr>
          <w:rFonts w:eastAsiaTheme="minorHAnsi" w:cs="Arial"/>
          <w:color w:val="FF00FF"/>
          <w:szCs w:val="20"/>
          <w:lang w:val="es-ES_tradnl"/>
        </w:rPr>
        <w:t>.</w:t>
      </w:r>
      <w:r w:rsidRPr="00A34388">
        <w:rPr>
          <w:rFonts w:eastAsiaTheme="minorHAnsi" w:cs="Arial"/>
          <w:szCs w:val="20"/>
          <w:lang w:val="es-ES_tradnl"/>
        </w:rPr>
        <w:t xml:space="preserve">  La mayor capacidad de gestión y flexibilidad conseguidas gracias a este enfoque ha supuesto unos ahorros de costos estimados </w:t>
      </w:r>
      <w:r w:rsidRPr="00A34388">
        <w:rPr>
          <w:rFonts w:eastAsiaTheme="minorHAnsi" w:cs="Arial"/>
          <w:szCs w:val="20"/>
          <w:lang w:val="es-ES_tradnl"/>
        </w:rPr>
        <w:lastRenderedPageBreak/>
        <w:t>de aproximadamente 150.000 francos suizos anuales.  Además, se ha tomado en consideración y realizado un uso creciente de la subcontratación como modelo estándar para todos los grandes contratos de proyectos de desarrollo en el ámbito informático, lo que ha posibilitado una utilización más eficiente de los recursos disponibles.</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 xml:space="preserve">El contrato de telecomunicaciones móviles con </w:t>
      </w:r>
      <w:proofErr w:type="spellStart"/>
      <w:r w:rsidRPr="00A34388">
        <w:rPr>
          <w:rFonts w:eastAsiaTheme="minorHAnsi" w:cs="Arial"/>
          <w:szCs w:val="20"/>
          <w:lang w:val="es-ES_tradnl"/>
        </w:rPr>
        <w:t>Swisscom</w:t>
      </w:r>
      <w:proofErr w:type="spellEnd"/>
      <w:r w:rsidRPr="00A34388">
        <w:rPr>
          <w:rFonts w:eastAsiaTheme="minorHAnsi" w:cs="Arial"/>
          <w:szCs w:val="20"/>
          <w:lang w:val="es-ES_tradnl"/>
        </w:rPr>
        <w:t xml:space="preserve"> fue revisado y renegociado durante el bienio, firmándose una carta de intención en enero de 2014.  Se espera que el gasto anual total, que ascendió a aproximadamente 550.000 francos suizos en el bienio 2012/13, se reduzca hasta en 200.000 francos suizos.  Los ahorros en costos permitirán la implantación de la solución para la gestión de dispositivos móviles, propiciando con ello un descenso importante del cost</w:t>
      </w:r>
      <w:r w:rsidR="00B10441" w:rsidRPr="00A34388">
        <w:rPr>
          <w:rFonts w:eastAsiaTheme="minorHAnsi" w:cs="Arial"/>
          <w:szCs w:val="20"/>
          <w:lang w:val="es-ES_tradnl"/>
        </w:rPr>
        <w:t>o</w:t>
      </w:r>
      <w:r w:rsidRPr="00A34388">
        <w:rPr>
          <w:rFonts w:eastAsiaTheme="minorHAnsi" w:cs="Arial"/>
          <w:szCs w:val="20"/>
          <w:lang w:val="es-ES_tradnl"/>
        </w:rPr>
        <w:t xml:space="preserve"> unitario asociado al uso de este tipo de dispositivos.</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 xml:space="preserve">Los contratos relativos a los servicios de impresión en red fueron renegociados.  Se firmó un nuevo contrato con el proveedor a finales de 2012, gracias al que se logró reducir el gasto anual en impresión en red, </w:t>
      </w:r>
      <w:r w:rsidR="00054EC8">
        <w:rPr>
          <w:rFonts w:eastAsiaTheme="minorHAnsi" w:cs="Arial"/>
          <w:szCs w:val="20"/>
          <w:lang w:val="es-ES_tradnl"/>
        </w:rPr>
        <w:t xml:space="preserve">que pasó </w:t>
      </w:r>
      <w:r w:rsidRPr="00A34388">
        <w:rPr>
          <w:rFonts w:eastAsiaTheme="minorHAnsi" w:cs="Arial"/>
          <w:szCs w:val="20"/>
          <w:lang w:val="es-ES_tradnl"/>
        </w:rPr>
        <w:t xml:space="preserve">de 300.000 francos suizos en 2012 a unos 200.000 francos suizos en 2013.  </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 xml:space="preserve">En la OMPI están </w:t>
      </w:r>
      <w:r w:rsidR="00054EC8">
        <w:rPr>
          <w:rFonts w:eastAsiaTheme="minorHAnsi" w:cs="Arial"/>
          <w:szCs w:val="20"/>
          <w:lang w:val="es-ES_tradnl"/>
        </w:rPr>
        <w:t>en funcionamiento</w:t>
      </w:r>
      <w:r w:rsidRPr="00A34388">
        <w:rPr>
          <w:rFonts w:eastAsiaTheme="minorHAnsi" w:cs="Arial"/>
          <w:szCs w:val="20"/>
          <w:lang w:val="es-ES_tradnl"/>
        </w:rPr>
        <w:t xml:space="preserve"> </w:t>
      </w:r>
      <w:r w:rsidR="00054EC8">
        <w:rPr>
          <w:rFonts w:eastAsiaTheme="minorHAnsi" w:cs="Arial"/>
          <w:szCs w:val="20"/>
          <w:lang w:val="es-ES_tradnl"/>
        </w:rPr>
        <w:t>unas</w:t>
      </w:r>
      <w:r w:rsidRPr="00A34388">
        <w:rPr>
          <w:rFonts w:eastAsiaTheme="minorHAnsi" w:cs="Arial"/>
          <w:szCs w:val="20"/>
          <w:lang w:val="es-ES_tradnl"/>
        </w:rPr>
        <w:t xml:space="preserve"> 3.000 cuentas de correo electrónico.  La introducción de procesos más simplificados para la gestión de estas cuentas posibilitó una reducción de sus costos operativos conexos de aproximadamente 100.000 francos suizos anuales.</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En 2013, la Organización implantó la política de “computadora portátil como computadora de escritorio”, que permite a los usuarios disponer de dispositivos de uno u otro tipo.  Se calcula que el ahorro anual conseguido gracias a esta política es de aproximadamente 50.000 francos suizos.</w:t>
      </w:r>
    </w:p>
    <w:p w:rsidR="00014897" w:rsidRPr="00332758" w:rsidRDefault="00014897" w:rsidP="008018CA">
      <w:pPr>
        <w:spacing w:after="200"/>
        <w:jc w:val="both"/>
        <w:rPr>
          <w:rFonts w:eastAsiaTheme="minorHAnsi" w:cs="Arial"/>
          <w:b/>
          <w:i/>
          <w:szCs w:val="20"/>
          <w:lang w:val="es-ES_tradnl"/>
        </w:rPr>
      </w:pPr>
      <w:r w:rsidRPr="00332758">
        <w:rPr>
          <w:rFonts w:eastAsiaTheme="minorHAnsi" w:cs="Arial"/>
          <w:b/>
          <w:i/>
          <w:szCs w:val="20"/>
          <w:lang w:val="es-ES_tradnl"/>
        </w:rPr>
        <w:t>Unidad de Despacho del Correo</w:t>
      </w:r>
    </w:p>
    <w:p w:rsidR="00014897" w:rsidRPr="00A34388" w:rsidRDefault="00014897" w:rsidP="008018CA">
      <w:pPr>
        <w:jc w:val="both"/>
        <w:rPr>
          <w:rFonts w:eastAsiaTheme="minorHAnsi" w:cs="Arial"/>
          <w:szCs w:val="20"/>
          <w:lang w:val="es-ES_tradnl"/>
        </w:rPr>
      </w:pPr>
      <w:r w:rsidRPr="00A34388">
        <w:rPr>
          <w:rFonts w:eastAsiaTheme="minorHAnsi" w:cs="Arial"/>
          <w:szCs w:val="20"/>
          <w:lang w:val="es-ES_tradnl"/>
        </w:rPr>
        <w:t>Se continuaron negociando las tarifas y servicios de correo con colaboradores externos y se mejoraron las metodologías (como la agrupación de direcciones) con el fin de reducir los costos generales de correo.  Una reducción de las tarifas, sumada al uso cada vez mayor de los servicios de correo electrónico, propició en 2013 un descenso general de los costos de correo del 23% con respecto a 2012.  En 2013, se entregaron un total de 1,4 millones de envíos postales, con un costo de 1,7 millones de francos suizos, frente al total de 1,8 millones de envíos (con un costo total de 2,2 millones de francos suizos) realizados en 2012.  En cuanto a 2011, se entregaron 1,7 millones de envíos, siendo su cost</w:t>
      </w:r>
      <w:r w:rsidR="00B10441" w:rsidRPr="00A34388">
        <w:rPr>
          <w:rFonts w:eastAsiaTheme="minorHAnsi" w:cs="Arial"/>
          <w:szCs w:val="20"/>
          <w:lang w:val="es-ES_tradnl"/>
        </w:rPr>
        <w:t>o</w:t>
      </w:r>
      <w:r w:rsidRPr="00A34388">
        <w:rPr>
          <w:rFonts w:eastAsiaTheme="minorHAnsi" w:cs="Arial"/>
          <w:szCs w:val="20"/>
          <w:lang w:val="es-ES_tradnl"/>
        </w:rPr>
        <w:t xml:space="preserve"> total 2,5 millones de francos suizos.</w:t>
      </w:r>
    </w:p>
    <w:p w:rsidR="00014897" w:rsidRPr="00A34388" w:rsidRDefault="00014897" w:rsidP="008018CA">
      <w:pPr>
        <w:jc w:val="both"/>
        <w:rPr>
          <w:rFonts w:eastAsiaTheme="minorHAnsi" w:cs="Arial"/>
          <w:szCs w:val="20"/>
          <w:lang w:val="es-ES_tradnl"/>
        </w:rPr>
      </w:pPr>
    </w:p>
    <w:p w:rsidR="00014897" w:rsidRPr="00332758" w:rsidRDefault="00014897" w:rsidP="008018CA">
      <w:pPr>
        <w:spacing w:after="200"/>
        <w:jc w:val="both"/>
        <w:rPr>
          <w:rFonts w:eastAsiaTheme="minorHAnsi" w:cs="Arial"/>
          <w:b/>
          <w:bCs/>
          <w:i/>
          <w:szCs w:val="20"/>
          <w:lang w:val="es-ES_tradnl"/>
        </w:rPr>
      </w:pPr>
      <w:r w:rsidRPr="00332758">
        <w:rPr>
          <w:rFonts w:eastAsiaTheme="minorHAnsi" w:cs="Arial"/>
          <w:b/>
          <w:bCs/>
          <w:i/>
          <w:szCs w:val="20"/>
          <w:lang w:val="es-ES_tradnl"/>
        </w:rPr>
        <w:t>Costos de personal</w:t>
      </w:r>
    </w:p>
    <w:p w:rsidR="00014897" w:rsidRPr="00A34388" w:rsidRDefault="00014897" w:rsidP="00014897">
      <w:pPr>
        <w:spacing w:after="200"/>
        <w:jc w:val="both"/>
        <w:rPr>
          <w:rFonts w:eastAsiaTheme="minorHAnsi" w:cs="Arial"/>
          <w:szCs w:val="20"/>
          <w:lang w:val="es-ES_tradnl"/>
        </w:rPr>
      </w:pPr>
      <w:r w:rsidRPr="00332758">
        <w:rPr>
          <w:rFonts w:eastAsiaTheme="minorHAnsi" w:cs="Arial"/>
          <w:bCs/>
          <w:szCs w:val="20"/>
          <w:lang w:val="es-ES_tradnl"/>
        </w:rPr>
        <w:t xml:space="preserve">La mayor parte de las medidas de contención del gasto adoptadas en el curso del bienio se han centrado en los gastos no relativos al personal. </w:t>
      </w:r>
      <w:r w:rsidRPr="00A34388">
        <w:rPr>
          <w:rFonts w:eastAsiaTheme="minorHAnsi" w:cs="Arial"/>
          <w:bCs/>
          <w:szCs w:val="20"/>
          <w:lang w:val="es-ES_tradnl"/>
        </w:rPr>
        <w:t xml:space="preserve"> Tal como se señala en el documento WO/PBC/21/19, el alcance de esas medidas por el lado de los gastos de personal es limitado</w:t>
      </w:r>
      <w:r w:rsidRPr="00A34388">
        <w:rPr>
          <w:rFonts w:eastAsiaTheme="minorHAnsi" w:cs="Arial"/>
          <w:szCs w:val="20"/>
          <w:lang w:val="es-ES_tradnl"/>
        </w:rPr>
        <w:t xml:space="preserve">.  No obstante, la racionalización del programa de pasantía acometida en el bienio en curso redundó en ciertos ahorros de costos de personal, incluida una reducción de 305.000 francos suizos del gasto real en pasantes, que contrasta con la dotación aprobada para este capítulo presupuestario en el bienio de 795.000 francos suizos.  Un mayor nivel de ingresos durante el bienio permitió el restablecimiento parcial de las reservas destinadas al seguro médico tras la separación del servicio, en consonancia con la declaración contenida en el presupuesto por programas del bienio 2012/13 según la cual “en caso de que aumenten los ingresos, se dará prioridad a restablecer dicha reserva en el momento oportuno.”  Además, los costos de personal fueron </w:t>
      </w:r>
      <w:proofErr w:type="gramStart"/>
      <w:r w:rsidRPr="00A34388">
        <w:rPr>
          <w:rFonts w:eastAsiaTheme="minorHAnsi" w:cs="Arial"/>
          <w:szCs w:val="20"/>
          <w:lang w:val="es-ES_tradnl"/>
        </w:rPr>
        <w:t>un 2% inferiores a lo previsto, debido</w:t>
      </w:r>
      <w:proofErr w:type="gramEnd"/>
      <w:r w:rsidRPr="00A34388">
        <w:rPr>
          <w:rFonts w:eastAsiaTheme="minorHAnsi" w:cs="Arial"/>
          <w:szCs w:val="20"/>
          <w:lang w:val="es-ES_tradnl"/>
        </w:rPr>
        <w:t xml:space="preserve"> principalmente al menor costo de las regularizaciones y reclasificaciones, así como a un mayor índice de vacantes.</w:t>
      </w:r>
    </w:p>
    <w:p w:rsidR="00014897" w:rsidRPr="00A34388" w:rsidRDefault="00014897" w:rsidP="008018CA">
      <w:pPr>
        <w:spacing w:after="200"/>
        <w:jc w:val="both"/>
        <w:rPr>
          <w:rFonts w:eastAsiaTheme="minorHAnsi" w:cs="Arial"/>
          <w:b/>
          <w:i/>
          <w:szCs w:val="20"/>
          <w:lang w:val="es-ES_tradnl"/>
        </w:rPr>
      </w:pPr>
      <w:r w:rsidRPr="00A34388">
        <w:rPr>
          <w:rFonts w:eastAsiaTheme="minorHAnsi" w:cs="Arial"/>
          <w:b/>
          <w:i/>
          <w:szCs w:val="20"/>
          <w:lang w:val="es-ES_tradnl"/>
        </w:rPr>
        <w:t xml:space="preserve">Acuerdos de servicios especiales (ASE)/Servicios contractuales individuales </w:t>
      </w:r>
    </w:p>
    <w:p w:rsidR="00014897" w:rsidRPr="00A34388" w:rsidRDefault="00014897" w:rsidP="008018CA">
      <w:pPr>
        <w:jc w:val="both"/>
        <w:rPr>
          <w:rFonts w:eastAsiaTheme="minorHAnsi" w:cs="Arial"/>
          <w:szCs w:val="20"/>
          <w:lang w:val="es-ES_tradnl"/>
        </w:rPr>
      </w:pPr>
      <w:r w:rsidRPr="00A34388">
        <w:rPr>
          <w:rFonts w:eastAsiaTheme="minorHAnsi" w:cs="Arial"/>
          <w:szCs w:val="20"/>
          <w:lang w:val="es-ES_tradnl"/>
        </w:rPr>
        <w:t xml:space="preserve">El presupuesto por programas del bienio 2012/13 incluía una dotación general de alrededor de 24 millones de francos suizos para servicios contractuales individuales.  Una parte considerable del presupuesto para ASE correspondía a la traducción, en especial de los sistemas del PCT y de Madrid.  La OMPI siguió reforzando el uso de diversas herramientas de traducción automática, gracias a lo cual el gasto total en materia de ASE se situó en 22,5 millones de francos suizos;  1,5 millones de francos suizos por debajo del presupuesto aprobado.  Esto fue posible pese a haberse incrementado el volumen de textos a traducir. </w:t>
      </w:r>
    </w:p>
    <w:p w:rsidR="00014897" w:rsidRPr="00A34388" w:rsidRDefault="00014897" w:rsidP="00014897">
      <w:pPr>
        <w:jc w:val="both"/>
        <w:rPr>
          <w:rFonts w:eastAsiaTheme="minorHAnsi" w:cs="Arial"/>
          <w:szCs w:val="20"/>
          <w:lang w:val="es-ES_tradnl"/>
        </w:rPr>
      </w:pPr>
    </w:p>
    <w:p w:rsidR="00014897" w:rsidRPr="00332758" w:rsidRDefault="00014897" w:rsidP="00014897">
      <w:pPr>
        <w:jc w:val="both"/>
        <w:rPr>
          <w:rFonts w:eastAsiaTheme="minorHAnsi" w:cs="Arial"/>
          <w:szCs w:val="20"/>
          <w:lang w:val="es-ES_tradnl"/>
        </w:rPr>
      </w:pPr>
      <w:r w:rsidRPr="00332758">
        <w:rPr>
          <w:rFonts w:eastAsiaTheme="minorHAnsi" w:cs="Arial"/>
          <w:szCs w:val="20"/>
          <w:lang w:val="es-ES_tradnl"/>
        </w:rPr>
        <w:t xml:space="preserve">En 2013, el Auditor Externo recomendó que la OMPI “conciba y aplique una estrategia de fomento de la eficacia en función de los costos en relación con los gastos en materia de ASE”, señalando que entre los elementos principales de dicha estrategia podría estar la atribución de contratos por medio de concursos </w:t>
      </w:r>
      <w:r w:rsidRPr="00332758">
        <w:rPr>
          <w:rFonts w:eastAsiaTheme="minorHAnsi" w:cs="Arial"/>
          <w:szCs w:val="20"/>
          <w:lang w:val="es-ES_tradnl"/>
        </w:rPr>
        <w:lastRenderedPageBreak/>
        <w:t xml:space="preserve">y una certificación del director de programa de que se trate, en el sentido de que la tarea no entraña funciones atribuidas, o que se prevea atribuir al, personal de plantilla.  </w:t>
      </w:r>
    </w:p>
    <w:p w:rsidR="00014897" w:rsidRPr="00332758" w:rsidRDefault="00014897" w:rsidP="008018CA">
      <w:pPr>
        <w:jc w:val="both"/>
        <w:rPr>
          <w:rFonts w:eastAsiaTheme="minorHAnsi" w:cs="Arial"/>
          <w:szCs w:val="20"/>
          <w:lang w:val="es-ES_tradnl"/>
        </w:rPr>
      </w:pPr>
    </w:p>
    <w:p w:rsidR="00014897" w:rsidRPr="00A34388" w:rsidRDefault="00014897" w:rsidP="008018CA">
      <w:pPr>
        <w:spacing w:after="200"/>
        <w:jc w:val="both"/>
        <w:rPr>
          <w:rFonts w:eastAsiaTheme="minorHAnsi" w:cs="Arial"/>
          <w:szCs w:val="20"/>
          <w:lang w:val="es-ES_tradnl"/>
        </w:rPr>
      </w:pPr>
      <w:r w:rsidRPr="00A34388">
        <w:rPr>
          <w:rFonts w:eastAsiaTheme="minorHAnsi" w:cs="Arial"/>
          <w:szCs w:val="20"/>
          <w:lang w:val="es-ES_tradnl"/>
        </w:rPr>
        <w:t>En respuesta a la recomendación del Auditor Externo, y a los fines de fortalecer los controles y procesos internos relacionados con el uso de servicios contractuales individuales para una mejor consecución de los resultados previstos, a finales de 2013 se elaboró y promulgó una nueva política marco relativa a los servicios contractuales individuales (Orden de servicio 45/2013).  Este nuevo marco sustituye a los anteriores ASE y otros tipos de contrato no relativos al personal.  El uso de servicios contractuales individuales se limita a tareas y funciones de naturaleza no continua.  Los principios generales por los que se rige el recurso a ese tipo de contratos son</w:t>
      </w:r>
      <w:proofErr w:type="gramStart"/>
      <w:r w:rsidRPr="00A34388">
        <w:rPr>
          <w:rFonts w:eastAsiaTheme="minorHAnsi" w:cs="Arial"/>
          <w:szCs w:val="20"/>
          <w:lang w:val="es-ES_tradnl"/>
        </w:rPr>
        <w:t>:  i</w:t>
      </w:r>
      <w:proofErr w:type="gramEnd"/>
      <w:r w:rsidRPr="00A34388">
        <w:rPr>
          <w:rFonts w:eastAsiaTheme="minorHAnsi" w:cs="Arial"/>
          <w:szCs w:val="20"/>
          <w:lang w:val="es-ES_tradnl"/>
        </w:rPr>
        <w:t xml:space="preserve">) procedimientos de selección competitivos y eficaces;  ii) una prestación efectiva de servicios a la Organización;  iii) relación óptima entre precio y calidad;  iv) integridad, confidencialidad y transparencia en la aplicación;  v) defensa de los intereses de la OMPI;  y vi) prudencia en las prácticas de contratación.  Se espera asimismo que los nuevos procesos establecidos propicien un mejor control del uso de dichos recursos, así como de los costos conexos. </w:t>
      </w:r>
    </w:p>
    <w:p w:rsidR="00014897" w:rsidRPr="00332758" w:rsidRDefault="00014897" w:rsidP="008018CA">
      <w:pPr>
        <w:spacing w:after="200"/>
        <w:jc w:val="both"/>
        <w:rPr>
          <w:rFonts w:eastAsiaTheme="minorHAnsi" w:cs="Arial"/>
          <w:b/>
          <w:i/>
          <w:szCs w:val="20"/>
          <w:lang w:val="es-ES_tradnl"/>
        </w:rPr>
      </w:pPr>
      <w:r w:rsidRPr="00332758">
        <w:rPr>
          <w:rFonts w:eastAsiaTheme="minorHAnsi" w:cs="Arial"/>
          <w:b/>
          <w:i/>
          <w:szCs w:val="20"/>
          <w:lang w:val="es-ES_tradnl"/>
        </w:rPr>
        <w:t>Procesos de funcionamiento y cultura del gasto</w:t>
      </w:r>
    </w:p>
    <w:p w:rsidR="00014897" w:rsidRPr="00A34388" w:rsidRDefault="00014897" w:rsidP="00014897">
      <w:pPr>
        <w:autoSpaceDE w:val="0"/>
        <w:autoSpaceDN w:val="0"/>
        <w:adjustRightInd w:val="0"/>
        <w:jc w:val="both"/>
        <w:rPr>
          <w:rFonts w:eastAsia="SimSun" w:cs="Arial"/>
          <w:bCs/>
          <w:color w:val="000000"/>
          <w:szCs w:val="20"/>
          <w:lang w:val="es-ES_tradnl" w:eastAsia="zh-CN"/>
        </w:rPr>
      </w:pPr>
      <w:r w:rsidRPr="00A34388">
        <w:rPr>
          <w:rFonts w:eastAsiaTheme="minorHAnsi" w:cs="Arial"/>
          <w:szCs w:val="20"/>
          <w:lang w:val="es-ES_tradnl"/>
        </w:rPr>
        <w:t xml:space="preserve">La puesta en marcha de iniciativas de reforma en el marco del Programa de Alineación Estratégica (PAE) quedó completada a finales de 2012.  El PAE tenía por objeto racionalizar las estructuras y sistemas de la Organización, así como profesionalizarla mediante procedimientos operativos basados en prácticas óptimas.  El PAE aportó un nuevo enfoque a la cultura y los valores de la Secretaría, una mayor eficiencia de sus procedimientos operativos y una mayor alineación de los programas, la estructura y los recursos con las metas estratégicas de la Organización.  En 2013, la Organización inició una fase de “mejoras continuas” con el objetivo de mantener los logros obtenidos en el marco del PAE y aprovecharlos para seguir </w:t>
      </w:r>
      <w:r w:rsidR="00054EC8">
        <w:rPr>
          <w:rFonts w:eastAsiaTheme="minorHAnsi" w:cs="Arial"/>
          <w:szCs w:val="20"/>
          <w:lang w:val="es-ES_tradnl"/>
        </w:rPr>
        <w:t>mejorando.</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b/>
          <w:i/>
          <w:iCs/>
          <w:caps/>
          <w:szCs w:val="20"/>
          <w:lang w:val="es-ES_tradnl"/>
        </w:rPr>
      </w:pPr>
      <w:r w:rsidRPr="00332758">
        <w:rPr>
          <w:rFonts w:eastAsiaTheme="minorHAnsi" w:cs="Arial"/>
          <w:szCs w:val="20"/>
          <w:lang w:val="es-ES_tradnl"/>
        </w:rPr>
        <w:t>Para los ejercicios de planificación anual de 2012 y 2013 se ha utilizado una herramienta de primera generación para la planificación del trabajo proporcionada en el marco del proyecto de Planificación de los Recursos Institucionales (PRI) y se ha tratado primordialmente de reducir la duplicación de trabajo entre programas y fomentar una mayor eficacia en función de los costos.</w:t>
      </w:r>
      <w:r w:rsidRPr="00A34388">
        <w:rPr>
          <w:rFonts w:eastAsiaTheme="minorHAnsi" w:cs="Arial"/>
          <w:szCs w:val="20"/>
          <w:lang w:val="es-ES_tradnl"/>
        </w:rPr>
        <w:t xml:space="preserve"> Las herramientas de planificación del trabajo fueron objeto de nuevas mejoras de cara al inicio del bienio 2014/15.</w:t>
      </w:r>
    </w:p>
    <w:p w:rsidR="00014897" w:rsidRPr="008018CA" w:rsidRDefault="00014897" w:rsidP="00014897">
      <w:pPr>
        <w:jc w:val="both"/>
        <w:rPr>
          <w:rFonts w:eastAsiaTheme="minorHAnsi" w:cs="Arial"/>
          <w:i/>
          <w:iCs/>
          <w:caps/>
          <w:szCs w:val="20"/>
          <w:lang w:val="es-ES_tradnl"/>
        </w:rPr>
      </w:pPr>
    </w:p>
    <w:p w:rsidR="00014897" w:rsidRPr="00A34388" w:rsidRDefault="00014897" w:rsidP="00014897">
      <w:pPr>
        <w:jc w:val="both"/>
        <w:rPr>
          <w:rFonts w:eastAsiaTheme="minorHAnsi" w:cs="Arial"/>
          <w:b/>
          <w:i/>
          <w:iCs/>
          <w:caps/>
          <w:szCs w:val="20"/>
          <w:lang w:val="es-ES_tradnl"/>
        </w:rPr>
      </w:pPr>
      <w:r w:rsidRPr="00A34388">
        <w:rPr>
          <w:rFonts w:eastAsiaTheme="minorHAnsi" w:cs="Arial"/>
          <w:szCs w:val="20"/>
          <w:lang w:val="es-ES_tradnl"/>
        </w:rPr>
        <w:t>La puesta en marcha de la PRI seguirá permitiendo que la Organización normalice sus procesos, comprenda mejor sus estructuras de costos, descubra eficiencias no aprovechadas, logrando con ello reducir los costos y proporcionar visibilidad al</w:t>
      </w:r>
      <w:r w:rsidR="00054EC8">
        <w:rPr>
          <w:rFonts w:eastAsiaTheme="minorHAnsi" w:cs="Arial"/>
          <w:szCs w:val="20"/>
          <w:lang w:val="es-ES_tradnl"/>
        </w:rPr>
        <w:t xml:space="preserve"> personal directivo</w:t>
      </w:r>
      <w:r w:rsidRPr="00A34388">
        <w:rPr>
          <w:rFonts w:eastAsiaTheme="minorHAnsi" w:cs="Arial"/>
          <w:szCs w:val="20"/>
          <w:lang w:val="es-ES_tradnl"/>
        </w:rPr>
        <w:t xml:space="preserve"> para fundamentar la toma de decisiones.  El módulo de recursos humanos </w:t>
      </w:r>
      <w:proofErr w:type="spellStart"/>
      <w:r w:rsidRPr="00A34388">
        <w:rPr>
          <w:rFonts w:eastAsiaTheme="minorHAnsi" w:cs="Arial"/>
          <w:szCs w:val="20"/>
          <w:lang w:val="es-ES_tradnl"/>
        </w:rPr>
        <w:t>PeopleSoft</w:t>
      </w:r>
      <w:proofErr w:type="spellEnd"/>
      <w:r w:rsidRPr="00A34388">
        <w:rPr>
          <w:rFonts w:eastAsiaTheme="minorHAnsi" w:cs="Arial"/>
          <w:szCs w:val="20"/>
          <w:lang w:val="es-ES_tradnl"/>
        </w:rPr>
        <w:t xml:space="preserve">, operativo desde comienzos de 2014, automatiza muchas de las tareas administrativas que atañen a los recursos humanos y se espera que mejore la eficiencia de los procedimientos en este ámbito, incremente la productividad del personal y reduzca los costos administrativos.  </w:t>
      </w:r>
    </w:p>
    <w:p w:rsidR="00014897" w:rsidRPr="008018CA" w:rsidRDefault="00014897" w:rsidP="00014897">
      <w:pPr>
        <w:jc w:val="both"/>
        <w:rPr>
          <w:rFonts w:eastAsiaTheme="minorHAnsi" w:cs="Arial"/>
          <w:iCs/>
          <w:caps/>
          <w:szCs w:val="20"/>
          <w:lang w:val="es-ES_tradnl"/>
        </w:rPr>
      </w:pPr>
    </w:p>
    <w:p w:rsidR="00014897" w:rsidRPr="00A34388" w:rsidRDefault="00014897" w:rsidP="008018CA">
      <w:pPr>
        <w:spacing w:after="200"/>
        <w:jc w:val="both"/>
        <w:rPr>
          <w:rFonts w:eastAsiaTheme="minorHAnsi" w:cs="Arial"/>
          <w:b/>
          <w:i/>
          <w:szCs w:val="20"/>
          <w:lang w:val="es-ES_tradnl"/>
        </w:rPr>
      </w:pPr>
      <w:r w:rsidRPr="00A34388">
        <w:rPr>
          <w:rFonts w:eastAsiaTheme="minorHAnsi" w:cs="Arial"/>
          <w:b/>
          <w:i/>
          <w:szCs w:val="20"/>
          <w:lang w:val="es-ES_tradnl"/>
        </w:rPr>
        <w:t xml:space="preserve">Mejoras de la eficiencia </w:t>
      </w:r>
      <w:r w:rsidR="00054EC8">
        <w:rPr>
          <w:rFonts w:eastAsiaTheme="minorHAnsi" w:cs="Arial"/>
          <w:b/>
          <w:i/>
          <w:szCs w:val="20"/>
          <w:lang w:val="es-ES_tradnl"/>
        </w:rPr>
        <w:t>en el marco de</w:t>
      </w:r>
      <w:r w:rsidRPr="00A34388">
        <w:rPr>
          <w:rFonts w:eastAsiaTheme="minorHAnsi" w:cs="Arial"/>
          <w:b/>
          <w:i/>
          <w:szCs w:val="20"/>
          <w:lang w:val="es-ES_tradnl"/>
        </w:rPr>
        <w:t xml:space="preserve"> los </w:t>
      </w:r>
      <w:r w:rsidR="00054EC8" w:rsidRPr="00A34388">
        <w:rPr>
          <w:rFonts w:eastAsiaTheme="minorHAnsi" w:cs="Arial"/>
          <w:b/>
          <w:i/>
          <w:szCs w:val="20"/>
          <w:lang w:val="es-ES_tradnl"/>
        </w:rPr>
        <w:t xml:space="preserve">sistemas </w:t>
      </w:r>
      <w:r w:rsidRPr="00A34388">
        <w:rPr>
          <w:rFonts w:eastAsiaTheme="minorHAnsi" w:cs="Arial"/>
          <w:b/>
          <w:i/>
          <w:szCs w:val="20"/>
          <w:lang w:val="es-ES_tradnl"/>
        </w:rPr>
        <w:t xml:space="preserve">de </w:t>
      </w:r>
      <w:r w:rsidR="00054EC8" w:rsidRPr="00A34388">
        <w:rPr>
          <w:rFonts w:eastAsiaTheme="minorHAnsi" w:cs="Arial"/>
          <w:b/>
          <w:i/>
          <w:szCs w:val="20"/>
          <w:lang w:val="es-ES_tradnl"/>
        </w:rPr>
        <w:t xml:space="preserve">registro internacional </w:t>
      </w:r>
      <w:r w:rsidRPr="00A34388">
        <w:rPr>
          <w:rFonts w:eastAsiaTheme="minorHAnsi" w:cs="Arial"/>
          <w:b/>
          <w:i/>
          <w:szCs w:val="20"/>
          <w:lang w:val="es-ES_tradnl"/>
        </w:rPr>
        <w:t>(PCT, Madrid y La Haya)</w:t>
      </w:r>
    </w:p>
    <w:p w:rsidR="00014897" w:rsidRPr="00A34388" w:rsidRDefault="00014897" w:rsidP="008018CA">
      <w:pPr>
        <w:jc w:val="both"/>
        <w:rPr>
          <w:rFonts w:eastAsiaTheme="minorHAnsi" w:cs="Arial"/>
          <w:szCs w:val="20"/>
          <w:lang w:val="es-ES_tradnl"/>
        </w:rPr>
      </w:pPr>
      <w:r w:rsidRPr="00A34388">
        <w:rPr>
          <w:rFonts w:eastAsiaTheme="minorHAnsi" w:cs="Arial"/>
          <w:szCs w:val="20"/>
          <w:lang w:val="es-ES_tradnl"/>
        </w:rPr>
        <w:t xml:space="preserve">En el bienio 2012/13 se </w:t>
      </w:r>
      <w:r w:rsidR="00054EC8">
        <w:rPr>
          <w:rFonts w:eastAsiaTheme="minorHAnsi" w:cs="Arial"/>
          <w:szCs w:val="20"/>
          <w:lang w:val="es-ES_tradnl"/>
        </w:rPr>
        <w:t>produjo</w:t>
      </w:r>
      <w:r w:rsidRPr="00A34388">
        <w:rPr>
          <w:rFonts w:eastAsiaTheme="minorHAnsi" w:cs="Arial"/>
          <w:szCs w:val="20"/>
          <w:lang w:val="es-ES_tradnl"/>
        </w:rPr>
        <w:t xml:space="preserve"> un considerable aumento de las actividades de registro </w:t>
      </w:r>
      <w:r w:rsidR="00054EC8">
        <w:rPr>
          <w:rFonts w:eastAsiaTheme="minorHAnsi" w:cs="Arial"/>
          <w:szCs w:val="20"/>
          <w:lang w:val="es-ES_tradnl"/>
        </w:rPr>
        <w:t>en el marco de</w:t>
      </w:r>
      <w:r w:rsidRPr="00A34388">
        <w:rPr>
          <w:rFonts w:eastAsiaTheme="minorHAnsi" w:cs="Arial"/>
          <w:szCs w:val="20"/>
          <w:lang w:val="es-ES_tradnl"/>
        </w:rPr>
        <w:t xml:space="preserve"> los sistemas del PCT, </w:t>
      </w:r>
      <w:r w:rsidR="00054EC8">
        <w:rPr>
          <w:rFonts w:eastAsiaTheme="minorHAnsi" w:cs="Arial"/>
          <w:szCs w:val="20"/>
          <w:lang w:val="es-ES_tradnl"/>
        </w:rPr>
        <w:t xml:space="preserve">de </w:t>
      </w:r>
      <w:r w:rsidRPr="00A34388">
        <w:rPr>
          <w:rFonts w:eastAsiaTheme="minorHAnsi" w:cs="Arial"/>
          <w:szCs w:val="20"/>
          <w:lang w:val="es-ES_tradnl"/>
        </w:rPr>
        <w:t xml:space="preserve">Madrid y </w:t>
      </w:r>
      <w:r w:rsidR="00054EC8">
        <w:rPr>
          <w:rFonts w:eastAsiaTheme="minorHAnsi" w:cs="Arial"/>
          <w:szCs w:val="20"/>
          <w:lang w:val="es-ES_tradnl"/>
        </w:rPr>
        <w:t xml:space="preserve">de </w:t>
      </w:r>
      <w:r w:rsidRPr="00A34388">
        <w:rPr>
          <w:rFonts w:eastAsiaTheme="minorHAnsi" w:cs="Arial"/>
          <w:szCs w:val="20"/>
          <w:lang w:val="es-ES_tradnl"/>
        </w:rPr>
        <w:t xml:space="preserve">La Haya.  Al mismo tiempo, </w:t>
      </w:r>
      <w:r w:rsidRPr="00332758">
        <w:rPr>
          <w:rFonts w:eastAsiaTheme="minorHAnsi" w:cs="Arial"/>
          <w:szCs w:val="20"/>
          <w:lang w:val="es-ES_tradnl"/>
        </w:rPr>
        <w:t xml:space="preserve">la Oficina Internacional </w:t>
      </w:r>
      <w:r w:rsidRPr="00A34388">
        <w:rPr>
          <w:rFonts w:eastAsiaTheme="minorHAnsi" w:cs="Arial"/>
          <w:szCs w:val="20"/>
          <w:lang w:val="es-ES_tradnl"/>
        </w:rPr>
        <w:t xml:space="preserve">siguió prestando servicios de calidad a sus usuarios, al tiempo que mejoraba su productividad y eficacia en función de los costos.  Varias de las iniciativas en materia de tecnologías de la información y las comunicaciones que permitieron un incremento de la automatización desempeñaron también un importante papel en las mejoras en la productividad y eficacia en función de los costos, de acuerdo con el documento WO/PBC/21/19. </w:t>
      </w:r>
    </w:p>
    <w:p w:rsidR="00014897" w:rsidRPr="00A34388" w:rsidRDefault="00014897" w:rsidP="008018CA">
      <w:pPr>
        <w:jc w:val="both"/>
        <w:rPr>
          <w:rFonts w:eastAsiaTheme="minorHAnsi" w:cs="Arial"/>
          <w:szCs w:val="20"/>
          <w:lang w:val="es-ES_tradnl"/>
        </w:rPr>
      </w:pPr>
    </w:p>
    <w:p w:rsidR="00014897" w:rsidRPr="00332758" w:rsidRDefault="00014897" w:rsidP="00014897">
      <w:pPr>
        <w:spacing w:after="200"/>
        <w:jc w:val="both"/>
        <w:rPr>
          <w:rFonts w:eastAsiaTheme="minorHAnsi" w:cs="Arial"/>
          <w:i/>
          <w:szCs w:val="20"/>
          <w:lang w:val="es-ES_tradnl"/>
        </w:rPr>
      </w:pPr>
      <w:r w:rsidRPr="00332758">
        <w:rPr>
          <w:rFonts w:eastAsiaTheme="minorHAnsi" w:cs="Arial"/>
          <w:i/>
          <w:szCs w:val="20"/>
          <w:lang w:val="es-ES_tradnl"/>
        </w:rPr>
        <w:t>Sistema del Tratado de Cooperación en materia de Patentes (PCT)</w:t>
      </w:r>
    </w:p>
    <w:p w:rsidR="00014897" w:rsidRPr="00332758" w:rsidRDefault="00014897" w:rsidP="00014897">
      <w:pPr>
        <w:jc w:val="both"/>
        <w:rPr>
          <w:rFonts w:eastAsiaTheme="minorHAnsi" w:cs="Arial"/>
          <w:szCs w:val="20"/>
          <w:lang w:val="es-ES_tradnl"/>
        </w:rPr>
      </w:pPr>
      <w:r w:rsidRPr="00A34388">
        <w:rPr>
          <w:rFonts w:eastAsiaTheme="minorHAnsi" w:cs="Arial"/>
          <w:szCs w:val="20"/>
          <w:lang w:val="es-ES_tradnl"/>
        </w:rPr>
        <w:t xml:space="preserve">La Oficina Internacional recibió aproximadamente 196.200 y 202.700 ejemplares en 2012 y 2013, respectivamente, lo que representa sendos incrementos del 9% y 3% respecto de los años anteriores.  La productividad de los exámenes de forma mejoró en un 10% entre </w:t>
      </w:r>
      <w:r w:rsidR="008018CA">
        <w:rPr>
          <w:rFonts w:eastAsiaTheme="minorHAnsi" w:cs="Arial"/>
          <w:szCs w:val="20"/>
          <w:lang w:val="es-ES_tradnl"/>
        </w:rPr>
        <w:t>2011 y 2012, y en otro 8% entre </w:t>
      </w:r>
      <w:r w:rsidRPr="00A34388">
        <w:rPr>
          <w:rFonts w:eastAsiaTheme="minorHAnsi" w:cs="Arial"/>
          <w:szCs w:val="20"/>
          <w:lang w:val="es-ES_tradnl"/>
        </w:rPr>
        <w:t xml:space="preserve">2012 y 2013.  Esto se debe principalmente a los notables avances en la automatización de ciertos procesos relacionados con los exámenes de forma, que permitieron la tramitación, con el mismo personal, de cargas de trabajo </w:t>
      </w:r>
      <w:proofErr w:type="gramStart"/>
      <w:r w:rsidRPr="00A34388">
        <w:rPr>
          <w:rFonts w:eastAsiaTheme="minorHAnsi" w:cs="Arial"/>
          <w:szCs w:val="20"/>
          <w:lang w:val="es-ES_tradnl"/>
        </w:rPr>
        <w:t>mucho</w:t>
      </w:r>
      <w:proofErr w:type="gramEnd"/>
      <w:r w:rsidRPr="00A34388">
        <w:rPr>
          <w:rFonts w:eastAsiaTheme="minorHAnsi" w:cs="Arial"/>
          <w:szCs w:val="20"/>
          <w:lang w:val="es-ES_tradnl"/>
        </w:rPr>
        <w:t xml:space="preserve"> mayores</w:t>
      </w:r>
      <w:r w:rsidRPr="00332758">
        <w:rPr>
          <w:rFonts w:eastAsiaTheme="minorHAnsi" w:cs="Arial"/>
          <w:szCs w:val="20"/>
          <w:lang w:val="es-ES_tradnl"/>
        </w:rPr>
        <w:t xml:space="preserve">.  Se entiende que la productividad del examen de forma consiste en la relación entre el número de publicaciones PCT y el número de miembros del personal disponibles para el examen de forma.  </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332758">
        <w:rPr>
          <w:rFonts w:eastAsiaTheme="minorHAnsi" w:cs="Arial"/>
          <w:szCs w:val="20"/>
          <w:lang w:val="es-ES_tradnl"/>
        </w:rPr>
        <w:lastRenderedPageBreak/>
        <w:t xml:space="preserve">El porcentaje de solicitudes presentadas íntegramente por medios electrónicos siguió aumentando en 2012/13 y representó el 89% del total de solicitudes presentadas en 2013.  </w:t>
      </w:r>
      <w:r w:rsidRPr="00A34388">
        <w:rPr>
          <w:rFonts w:eastAsiaTheme="minorHAnsi" w:cs="Arial"/>
          <w:szCs w:val="20"/>
          <w:lang w:val="es-ES_tradnl"/>
        </w:rPr>
        <w:t xml:space="preserve">Se continuó fomentando el intercambio electrónico de documentos y datos entre la Oficina Internacional y las oficinas, lo que supuso que en 2012 y 2013, un 92% y 93%, respectivamente, de los documentos que la Oficina recibió de las oficinas estuviera en formato electrónico.  El sistema </w:t>
      </w:r>
      <w:proofErr w:type="spellStart"/>
      <w:r w:rsidRPr="00A34388">
        <w:rPr>
          <w:rFonts w:eastAsiaTheme="minorHAnsi" w:cs="Arial"/>
          <w:szCs w:val="20"/>
          <w:lang w:val="es-ES_tradnl"/>
        </w:rPr>
        <w:t>ePCT</w:t>
      </w:r>
      <w:proofErr w:type="spellEnd"/>
      <w:r w:rsidRPr="00A34388">
        <w:rPr>
          <w:rFonts w:eastAsiaTheme="minorHAnsi" w:cs="Arial"/>
          <w:szCs w:val="20"/>
          <w:lang w:val="es-ES_tradnl"/>
        </w:rPr>
        <w:t xml:space="preserve"> fue puesto a disposición de las oficinas y de los solicitantes, y añadió una amplia gama de nuevas funciones.  El uso de los nuevos servicios contribuyó a una mayor puntualidad y coherencia en la tramitación en la fase internacional, reduciéndose el riesgo de errores.  En 2013 la puntualidad real de los exámenes de forma en el marco de las solicitudes internacionales del PCT mejoró significativamente gracias a la aut</w:t>
      </w:r>
      <w:r w:rsidR="00054EC8">
        <w:rPr>
          <w:rFonts w:eastAsiaTheme="minorHAnsi" w:cs="Arial"/>
          <w:szCs w:val="20"/>
          <w:lang w:val="es-ES_tradnl"/>
        </w:rPr>
        <w:t>omatización, quedando completado</w:t>
      </w:r>
      <w:r w:rsidRPr="00A34388">
        <w:rPr>
          <w:rFonts w:eastAsiaTheme="minorHAnsi" w:cs="Arial"/>
          <w:szCs w:val="20"/>
          <w:lang w:val="es-ES_tradnl"/>
        </w:rPr>
        <w:t xml:space="preserve">s en ese año el 82,58% de </w:t>
      </w:r>
      <w:r w:rsidR="00054EC8">
        <w:rPr>
          <w:rFonts w:eastAsiaTheme="minorHAnsi" w:cs="Arial"/>
          <w:szCs w:val="20"/>
          <w:lang w:val="es-ES_tradnl"/>
        </w:rPr>
        <w:t>los exámenes</w:t>
      </w:r>
      <w:r w:rsidRPr="00A34388">
        <w:rPr>
          <w:rFonts w:eastAsiaTheme="minorHAnsi" w:cs="Arial"/>
          <w:szCs w:val="20"/>
          <w:lang w:val="es-ES_tradnl"/>
        </w:rPr>
        <w:t xml:space="preserve"> en un plazo de tres semanas desde </w:t>
      </w:r>
      <w:r w:rsidR="00054EC8">
        <w:rPr>
          <w:rFonts w:eastAsiaTheme="minorHAnsi" w:cs="Arial"/>
          <w:szCs w:val="20"/>
          <w:lang w:val="es-ES_tradnl"/>
        </w:rPr>
        <w:t>la</w:t>
      </w:r>
      <w:r w:rsidRPr="00A34388">
        <w:rPr>
          <w:rFonts w:eastAsiaTheme="minorHAnsi" w:cs="Arial"/>
          <w:szCs w:val="20"/>
          <w:lang w:val="es-ES_tradnl"/>
        </w:rPr>
        <w:t xml:space="preserve"> recepción</w:t>
      </w:r>
      <w:r w:rsidR="00054EC8">
        <w:rPr>
          <w:rFonts w:eastAsiaTheme="minorHAnsi" w:cs="Arial"/>
          <w:szCs w:val="20"/>
          <w:lang w:val="es-ES_tradnl"/>
        </w:rPr>
        <w:t xml:space="preserve"> de la solicitud</w:t>
      </w:r>
      <w:r w:rsidRPr="00A34388">
        <w:rPr>
          <w:rFonts w:eastAsiaTheme="minorHAnsi" w:cs="Arial"/>
          <w:szCs w:val="20"/>
          <w:lang w:val="es-ES_tradnl"/>
        </w:rPr>
        <w:t xml:space="preserve">, frente al 69,46% de 2012 y al 71,37% de 2011.   </w:t>
      </w:r>
    </w:p>
    <w:p w:rsidR="00014897" w:rsidRPr="00A34388" w:rsidRDefault="00014897" w:rsidP="00014897">
      <w:pPr>
        <w:jc w:val="both"/>
        <w:rPr>
          <w:rFonts w:eastAsiaTheme="minorHAnsi" w:cs="Arial"/>
          <w:szCs w:val="20"/>
          <w:lang w:val="es-ES_tradnl"/>
        </w:rPr>
      </w:pP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 xml:space="preserve">La Secretaría logró asimismo avances en su propósito de dotar de una mayor flexibilidad a la gestión del flujo de traducciones mediante la introducción del sistema de gestión de la traducción </w:t>
      </w:r>
      <w:proofErr w:type="spellStart"/>
      <w:r w:rsidRPr="00A34388">
        <w:rPr>
          <w:rFonts w:eastAsiaTheme="minorHAnsi" w:cs="Arial"/>
          <w:szCs w:val="20"/>
          <w:lang w:val="es-ES_tradnl"/>
        </w:rPr>
        <w:t>World</w:t>
      </w:r>
      <w:proofErr w:type="spellEnd"/>
      <w:r w:rsidRPr="00A34388">
        <w:rPr>
          <w:rFonts w:eastAsiaTheme="minorHAnsi" w:cs="Arial"/>
          <w:szCs w:val="20"/>
          <w:lang w:val="es-ES_tradnl"/>
        </w:rPr>
        <w:t xml:space="preserve"> Server, con el fin de </w:t>
      </w:r>
      <w:proofErr w:type="spellStart"/>
      <w:r w:rsidRPr="00A34388">
        <w:rPr>
          <w:rFonts w:eastAsiaTheme="minorHAnsi" w:cs="Arial"/>
          <w:szCs w:val="20"/>
          <w:lang w:val="es-ES_tradnl"/>
        </w:rPr>
        <w:t>semiautomatizar</w:t>
      </w:r>
      <w:proofErr w:type="spellEnd"/>
      <w:r w:rsidRPr="00A34388">
        <w:rPr>
          <w:rFonts w:eastAsiaTheme="minorHAnsi" w:cs="Arial"/>
          <w:szCs w:val="20"/>
          <w:lang w:val="es-ES_tradnl"/>
        </w:rPr>
        <w:t xml:space="preserve"> los procesos de asignación y distribución de las traducciones.  La satisfactoria expansión del programa de becas posibilitó mayores ahorros de costos gracias a la conversión de graduados del programa en traductores externos con tarifas menores a las que se abonaban anteriormente a las agencias de traducción.  Los esfuerzos en materia de licitaciones públicas a lo largo de 2013 sentaron igualmente las bases para lograr mayores ahorros en el futuro.  </w:t>
      </w: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La renegociación del contrato suscrito con un agente externo para el archivo físico y transporte de expedientes PCT a espacios de almacenamiento generó importantes ahorros de costos, pasando este capítulo de suponer un total de 217.000 francos suizos al año a 37.500 (documento WO/PBC/21/19).  </w:t>
      </w:r>
      <w:r w:rsidRPr="00332758">
        <w:rPr>
          <w:rFonts w:eastAsiaTheme="minorHAnsi" w:cs="Arial"/>
          <w:szCs w:val="20"/>
          <w:lang w:val="es-ES_tradnl"/>
        </w:rPr>
        <w:t>Eso se ha conseguido reduciendo considerablemente el número de intervenciones por parte del contratista y con la reorganización del espacio interno de almacenamiento.</w:t>
      </w:r>
      <w:r w:rsidRPr="00A34388">
        <w:rPr>
          <w:rFonts w:eastAsiaTheme="minorHAnsi" w:cs="Arial"/>
          <w:szCs w:val="20"/>
          <w:lang w:val="es-ES_tradnl"/>
        </w:rPr>
        <w:t xml:space="preserve">  Se espera conseguir mayores ahorros en el futuro tras la puesta en práctica de los actuales planes de escaneado y almacenamiento electrónico de los expedientes de solicitudes PCT antigu</w:t>
      </w:r>
      <w:r w:rsidR="00054EC8">
        <w:rPr>
          <w:rFonts w:eastAsiaTheme="minorHAnsi" w:cs="Arial"/>
          <w:szCs w:val="20"/>
          <w:lang w:val="es-ES_tradnl"/>
        </w:rPr>
        <w:t>a</w:t>
      </w:r>
      <w:r w:rsidRPr="00A34388">
        <w:rPr>
          <w:rFonts w:eastAsiaTheme="minorHAnsi" w:cs="Arial"/>
          <w:szCs w:val="20"/>
          <w:lang w:val="es-ES_tradnl"/>
        </w:rPr>
        <w:t xml:space="preserve">s. </w:t>
      </w:r>
    </w:p>
    <w:p w:rsidR="00014897" w:rsidRPr="00A34388" w:rsidRDefault="00014897" w:rsidP="00014897">
      <w:pPr>
        <w:jc w:val="both"/>
        <w:rPr>
          <w:rFonts w:eastAsiaTheme="minorHAnsi" w:cs="Arial"/>
          <w:szCs w:val="20"/>
          <w:lang w:val="es-ES_tradnl"/>
        </w:rPr>
      </w:pPr>
    </w:p>
    <w:p w:rsidR="00014897" w:rsidRPr="00332758" w:rsidRDefault="00014897" w:rsidP="00014897">
      <w:pPr>
        <w:spacing w:after="200"/>
        <w:jc w:val="both"/>
        <w:rPr>
          <w:rFonts w:eastAsiaTheme="minorHAnsi" w:cs="Arial"/>
          <w:i/>
          <w:szCs w:val="20"/>
          <w:lang w:val="es-ES_tradnl"/>
        </w:rPr>
      </w:pPr>
      <w:r w:rsidRPr="00332758">
        <w:rPr>
          <w:rFonts w:eastAsiaTheme="minorHAnsi" w:cs="Arial"/>
          <w:i/>
          <w:szCs w:val="20"/>
          <w:lang w:val="es-ES_tradnl"/>
        </w:rPr>
        <w:t>Sistema de Madrid</w:t>
      </w: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En el bienio 2012/13, las operaciones del sistema de Madrid siguieron centrándose en aumentar su eficiencia, </w:t>
      </w:r>
      <w:r w:rsidR="00054EC8">
        <w:rPr>
          <w:rFonts w:eastAsiaTheme="minorHAnsi" w:cs="Arial"/>
          <w:szCs w:val="20"/>
          <w:lang w:val="es-ES_tradnl"/>
        </w:rPr>
        <w:t>eficacia</w:t>
      </w:r>
      <w:r w:rsidRPr="00A34388">
        <w:rPr>
          <w:rFonts w:eastAsiaTheme="minorHAnsi" w:cs="Arial"/>
          <w:szCs w:val="20"/>
          <w:lang w:val="es-ES_tradnl"/>
        </w:rPr>
        <w:t xml:space="preserve"> y productividad generales.  Se produjo un notable aumento de la carga de trabajo, recibiéndose en 2013 un total de 574.761 peticiones (de adquisición y mantenimiento de derechos;  decisiones de las Partes Contratantes designadas y modificaciones en el Registro Internacional), lo que representa un aumento del 7,9% respecto de 2012.  El incremento registrado entre 2011</w:t>
      </w:r>
      <w:r w:rsidR="008018CA">
        <w:rPr>
          <w:rFonts w:eastAsiaTheme="minorHAnsi" w:cs="Arial"/>
          <w:szCs w:val="20"/>
          <w:lang w:val="es-ES_tradnl"/>
        </w:rPr>
        <w:t xml:space="preserve"> y 2012 fue del </w:t>
      </w:r>
      <w:r w:rsidRPr="00A34388">
        <w:rPr>
          <w:rFonts w:eastAsiaTheme="minorHAnsi" w:cs="Arial"/>
          <w:szCs w:val="20"/>
          <w:lang w:val="es-ES_tradnl"/>
        </w:rPr>
        <w:t>3%.</w:t>
      </w:r>
    </w:p>
    <w:p w:rsidR="00014897" w:rsidRPr="00A34388" w:rsidRDefault="00014897" w:rsidP="00014897">
      <w:pPr>
        <w:jc w:val="both"/>
        <w:rPr>
          <w:rFonts w:eastAsiaTheme="minorHAnsi" w:cs="Arial"/>
          <w:szCs w:val="20"/>
          <w:lang w:val="es-ES_tradnl"/>
        </w:rPr>
      </w:pPr>
    </w:p>
    <w:p w:rsidR="00014897" w:rsidRPr="00A34388" w:rsidRDefault="00014897" w:rsidP="00014897">
      <w:pPr>
        <w:jc w:val="both"/>
        <w:rPr>
          <w:rFonts w:eastAsiaTheme="minorHAnsi" w:cs="Arial"/>
          <w:szCs w:val="20"/>
          <w:lang w:val="es-ES_tradnl"/>
        </w:rPr>
      </w:pPr>
      <w:r w:rsidRPr="00A34388">
        <w:rPr>
          <w:rFonts w:eastAsiaTheme="minorHAnsi" w:cs="Arial"/>
          <w:szCs w:val="20"/>
          <w:lang w:val="es-ES_tradnl"/>
        </w:rPr>
        <w:t xml:space="preserve">El mayor aumento de la eficacia </w:t>
      </w:r>
      <w:r w:rsidR="00054EC8">
        <w:rPr>
          <w:rFonts w:eastAsiaTheme="minorHAnsi" w:cs="Arial"/>
          <w:szCs w:val="20"/>
          <w:lang w:val="es-ES_tradnl"/>
        </w:rPr>
        <w:t>observado</w:t>
      </w:r>
      <w:r w:rsidRPr="00A34388">
        <w:rPr>
          <w:rFonts w:eastAsiaTheme="minorHAnsi" w:cs="Arial"/>
          <w:szCs w:val="20"/>
          <w:lang w:val="es-ES_tradnl"/>
        </w:rPr>
        <w:t xml:space="preserve"> durante el bienio en las operaciones del sistema de Madrid corresponde a la automatización, principalmente en el ámbito de la traducción.  Entre 2012 y 2013, el descenso del costo unitario por solicitud fue del 7,4%.  </w:t>
      </w:r>
    </w:p>
    <w:p w:rsidR="00014897" w:rsidRPr="00A34388" w:rsidRDefault="00014897" w:rsidP="00014897">
      <w:pPr>
        <w:jc w:val="both"/>
        <w:rPr>
          <w:rFonts w:eastAsiaTheme="minorHAnsi" w:cs="Arial"/>
          <w:szCs w:val="20"/>
          <w:lang w:val="es-ES_tradnl"/>
        </w:rPr>
      </w:pPr>
    </w:p>
    <w:p w:rsidR="00014897" w:rsidRPr="00332758" w:rsidRDefault="00014897" w:rsidP="00014897">
      <w:pPr>
        <w:jc w:val="both"/>
        <w:rPr>
          <w:rFonts w:eastAsiaTheme="minorHAnsi" w:cs="Arial"/>
          <w:szCs w:val="20"/>
          <w:lang w:val="es-ES_tradnl"/>
        </w:rPr>
      </w:pPr>
      <w:r w:rsidRPr="00A34388">
        <w:rPr>
          <w:rFonts w:eastAsiaTheme="minorHAnsi" w:cs="Arial"/>
          <w:szCs w:val="20"/>
          <w:lang w:val="es-ES_tradnl"/>
        </w:rPr>
        <w:t>El mayor uso de las comunicaciones electrónicas, junto con cambios en la política de correos y publicaciones, supusieron un descenso de los costos de correo.  El porcentaje de archivos electrónicos continuó creciendo durante el bienio 2012/13, recibiéndose en formato electrónico un 65% de documentos en 2012 y un 67% en 2013</w:t>
      </w:r>
      <w:r w:rsidRPr="00332758">
        <w:rPr>
          <w:rFonts w:eastAsiaTheme="minorHAnsi" w:cs="Arial"/>
          <w:szCs w:val="20"/>
          <w:lang w:val="es-ES_tradnl"/>
        </w:rPr>
        <w:t>.  La Organización se esfuerza por aumentar ese porcentaje y facilitar así una mayor tramitación electrónica.</w:t>
      </w:r>
    </w:p>
    <w:p w:rsidR="00014897" w:rsidRPr="00A34388" w:rsidRDefault="00014897" w:rsidP="00014897">
      <w:pPr>
        <w:jc w:val="both"/>
        <w:rPr>
          <w:rFonts w:eastAsiaTheme="minorHAnsi" w:cs="Arial"/>
          <w:szCs w:val="20"/>
          <w:lang w:val="es-ES_tradnl"/>
        </w:rPr>
      </w:pPr>
    </w:p>
    <w:p w:rsidR="00014897" w:rsidRPr="00A34388" w:rsidRDefault="00014897" w:rsidP="00014897">
      <w:pPr>
        <w:spacing w:after="200"/>
        <w:jc w:val="both"/>
        <w:rPr>
          <w:rFonts w:eastAsiaTheme="minorHAnsi" w:cs="Arial"/>
          <w:i/>
          <w:szCs w:val="20"/>
          <w:lang w:val="es-ES_tradnl"/>
        </w:rPr>
      </w:pPr>
      <w:r w:rsidRPr="00332758">
        <w:rPr>
          <w:rFonts w:eastAsiaTheme="minorHAnsi" w:cs="Arial"/>
          <w:i/>
          <w:szCs w:val="20"/>
          <w:lang w:val="es-ES_tradnl"/>
        </w:rPr>
        <w:t>Sistema de La Haya</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Continuaron los esfuerzos para mejorar la eficiencia de las actividades de promoción y divulgación del sistema de La Haya, de acuerdo con el documento WO/PBC/21/19.  Entre estas medidas se incluyen</w:t>
      </w:r>
      <w:proofErr w:type="gramStart"/>
      <w:r w:rsidRPr="00A34388">
        <w:rPr>
          <w:rFonts w:eastAsiaTheme="minorHAnsi" w:cs="Arial"/>
          <w:szCs w:val="20"/>
          <w:lang w:val="es-ES_tradnl"/>
        </w:rPr>
        <w:t>:  un</w:t>
      </w:r>
      <w:proofErr w:type="gramEnd"/>
      <w:r w:rsidRPr="00A34388">
        <w:rPr>
          <w:rFonts w:eastAsiaTheme="minorHAnsi" w:cs="Arial"/>
          <w:szCs w:val="20"/>
          <w:lang w:val="es-ES_tradnl"/>
        </w:rPr>
        <w:t xml:space="preserve"> mejor aprovechamiento de las sinergias entre las actividades de los sistemas de Madrid y La Haya;  una mejora del uso de consultores regionales para desarrollar los planes de adhesión a los sistemas de Madrid y La Haya;  la ampliación del uso de las herramientas de videoconferencia;  y la sustitución de la documentación en papel por dispositivos electrónicos, como memorias USB.  </w:t>
      </w:r>
    </w:p>
    <w:p w:rsidR="00014897" w:rsidRPr="00A34388" w:rsidRDefault="00014897" w:rsidP="00014897">
      <w:pPr>
        <w:spacing w:after="200"/>
        <w:jc w:val="both"/>
        <w:rPr>
          <w:rFonts w:eastAsiaTheme="minorHAnsi" w:cs="Arial"/>
          <w:szCs w:val="20"/>
          <w:lang w:val="es-ES_tradnl"/>
        </w:rPr>
      </w:pPr>
      <w:r w:rsidRPr="00332758">
        <w:rPr>
          <w:rFonts w:eastAsiaTheme="minorHAnsi" w:cs="Arial"/>
          <w:szCs w:val="20"/>
          <w:lang w:val="es-ES_tradnl"/>
        </w:rPr>
        <w:t xml:space="preserve">La nueva herramienta de presentación electrónica, que empezó a funcionar en junio de 2013, ofrece varias medidas de precaución de modo que los solicitantes eviten errores de forma, alentándose así la presentación de solicitudes por medios electrónicos.  En 2013, las solicitudes electrónicas representaban el 86% del número total de solicitudes presentadas, en comparación con el 85% en 2012.  Además, la herramienta </w:t>
      </w:r>
      <w:proofErr w:type="spellStart"/>
      <w:r w:rsidRPr="00332758">
        <w:rPr>
          <w:rFonts w:eastAsiaTheme="minorHAnsi" w:cs="Arial"/>
          <w:i/>
          <w:szCs w:val="20"/>
          <w:lang w:val="es-ES_tradnl"/>
        </w:rPr>
        <w:t>Hague</w:t>
      </w:r>
      <w:proofErr w:type="spellEnd"/>
      <w:r w:rsidRPr="00332758">
        <w:rPr>
          <w:rFonts w:eastAsiaTheme="minorHAnsi" w:cs="Arial"/>
          <w:i/>
          <w:szCs w:val="20"/>
          <w:lang w:val="es-ES_tradnl"/>
        </w:rPr>
        <w:t xml:space="preserve"> Portfolio Manager</w:t>
      </w:r>
      <w:r w:rsidRPr="00332758">
        <w:rPr>
          <w:rFonts w:eastAsiaTheme="minorHAnsi" w:cs="Arial"/>
          <w:szCs w:val="20"/>
          <w:lang w:val="es-ES_tradnl"/>
        </w:rPr>
        <w:t xml:space="preserve"> vendrá a añadir otras interfaces electrónicas.  Cabe prever que todas las comunicaciones que tengan lugar entre el solicitante/titular/representante y la Oficina Internacional se realicen mediante dicha herramienta.  </w:t>
      </w:r>
      <w:r w:rsidRPr="00A34388">
        <w:rPr>
          <w:rFonts w:eastAsiaTheme="minorHAnsi" w:cs="Arial"/>
          <w:szCs w:val="20"/>
          <w:lang w:val="es-ES_tradnl"/>
        </w:rPr>
        <w:t xml:space="preserve">Se espera que estas iniciativas permitan reducir el </w:t>
      </w:r>
      <w:r w:rsidRPr="00A34388">
        <w:rPr>
          <w:rFonts w:eastAsiaTheme="minorHAnsi" w:cs="Arial"/>
          <w:szCs w:val="20"/>
          <w:lang w:val="es-ES_tradnl"/>
        </w:rPr>
        <w:lastRenderedPageBreak/>
        <w:t>número de solicitudes en papel, con los ahorros en costos de correo que ello conlleva</w:t>
      </w:r>
      <w:r w:rsidRPr="00332758">
        <w:rPr>
          <w:rFonts w:eastAsiaTheme="minorHAnsi" w:cs="Arial"/>
          <w:szCs w:val="20"/>
          <w:lang w:val="es-ES_tradnl"/>
        </w:rPr>
        <w:t>.</w:t>
      </w:r>
      <w:r w:rsidRPr="00A34388">
        <w:rPr>
          <w:rFonts w:eastAsiaTheme="minorHAnsi" w:cs="Arial"/>
          <w:szCs w:val="20"/>
          <w:lang w:val="es-ES_tradnl"/>
        </w:rPr>
        <w:t xml:space="preserve">  Por último, desde mediados de 2013, las operaciones del sistema de La Haya comenzaron a beneficiarse de algunas de las herramientas automáticas de traducción desarrolladas para el sistema de Madrid.</w:t>
      </w:r>
    </w:p>
    <w:p w:rsidR="00014897" w:rsidRPr="00A34388" w:rsidRDefault="00014897" w:rsidP="00014897">
      <w:pPr>
        <w:spacing w:after="200"/>
        <w:jc w:val="both"/>
        <w:rPr>
          <w:rFonts w:eastAsiaTheme="minorHAnsi" w:cs="Arial"/>
          <w:szCs w:val="20"/>
          <w:lang w:val="es-ES_tradnl"/>
        </w:rPr>
      </w:pPr>
      <w:r w:rsidRPr="00A34388">
        <w:rPr>
          <w:rFonts w:eastAsiaTheme="minorHAnsi" w:cs="Arial"/>
          <w:szCs w:val="20"/>
          <w:lang w:val="es-ES_tradnl"/>
        </w:rPr>
        <w:t>En el siguiente cuadro se resumen los ahorros y/o aumentos de la eficacia conseguidos con la las otras medidas aplicadas, esto es, en los ámbitos de los contratos de adquisición, las TIC, el servicio de despacho del correo, los costos de personal, los ASE y los procesos de funcionamiento y cultura del gasto, así como las mejoras en la eficacia conseguidas en los sistemas de registro internaciona</w:t>
      </w:r>
      <w:r w:rsidR="008018CA">
        <w:rPr>
          <w:rFonts w:eastAsiaTheme="minorHAnsi" w:cs="Arial"/>
          <w:szCs w:val="20"/>
          <w:lang w:val="es-ES_tradnl"/>
        </w:rPr>
        <w:t>l (el PCT, Madrid y La Haya).</w:t>
      </w:r>
    </w:p>
    <w:p w:rsidR="008018CA" w:rsidRDefault="008018CA" w:rsidP="00014897">
      <w:pPr>
        <w:rPr>
          <w:rFonts w:eastAsiaTheme="minorHAnsi"/>
          <w:lang w:val="es-ES_tradnl"/>
        </w:rPr>
      </w:pPr>
    </w:p>
    <w:tbl>
      <w:tblPr>
        <w:tblStyle w:val="TableGrid1"/>
        <w:tblW w:w="0" w:type="auto"/>
        <w:tblInd w:w="108" w:type="dxa"/>
        <w:tblLook w:val="04A0" w:firstRow="1" w:lastRow="0" w:firstColumn="1" w:lastColumn="0" w:noHBand="0" w:noVBand="1"/>
      </w:tblPr>
      <w:tblGrid>
        <w:gridCol w:w="4272"/>
        <w:gridCol w:w="4340"/>
      </w:tblGrid>
      <w:tr w:rsidR="00014897" w:rsidRPr="00E94BEA" w:rsidTr="00D6763F">
        <w:trPr>
          <w:trHeight w:val="476"/>
        </w:trPr>
        <w:tc>
          <w:tcPr>
            <w:tcW w:w="4272" w:type="dxa"/>
          </w:tcPr>
          <w:p w:rsidR="00014897" w:rsidRPr="00A34388" w:rsidRDefault="00014897" w:rsidP="00D6763F">
            <w:pPr>
              <w:jc w:val="center"/>
              <w:rPr>
                <w:rFonts w:cs="Arial"/>
                <w:b/>
                <w:sz w:val="18"/>
                <w:szCs w:val="18"/>
                <w:lang w:val="es-ES_tradnl"/>
              </w:rPr>
            </w:pPr>
            <w:r w:rsidRPr="00332758">
              <w:rPr>
                <w:rFonts w:cs="Arial"/>
                <w:b/>
                <w:sz w:val="18"/>
                <w:szCs w:val="18"/>
                <w:lang w:val="es-ES_tradnl"/>
              </w:rPr>
              <w:t>Descripción</w:t>
            </w:r>
          </w:p>
        </w:tc>
        <w:tc>
          <w:tcPr>
            <w:tcW w:w="4340" w:type="dxa"/>
          </w:tcPr>
          <w:p w:rsidR="00014897" w:rsidRPr="00A34388" w:rsidRDefault="00014897" w:rsidP="00CB0549">
            <w:pPr>
              <w:jc w:val="center"/>
              <w:rPr>
                <w:rFonts w:cs="Arial"/>
                <w:b/>
                <w:sz w:val="18"/>
                <w:szCs w:val="18"/>
                <w:lang w:val="es-ES_tradnl"/>
              </w:rPr>
            </w:pPr>
            <w:r w:rsidRPr="00332758">
              <w:rPr>
                <w:rFonts w:cs="Arial"/>
                <w:b/>
                <w:sz w:val="18"/>
                <w:szCs w:val="18"/>
                <w:lang w:val="es-ES_tradnl"/>
              </w:rPr>
              <w:t xml:space="preserve">Ahorro </w:t>
            </w:r>
            <w:r w:rsidR="00CB0549">
              <w:rPr>
                <w:rFonts w:cs="Arial"/>
                <w:b/>
                <w:sz w:val="18"/>
                <w:szCs w:val="18"/>
                <w:lang w:val="es-ES_tradnl"/>
              </w:rPr>
              <w:t>de</w:t>
            </w:r>
            <w:r w:rsidRPr="00332758">
              <w:rPr>
                <w:rFonts w:cs="Arial"/>
                <w:b/>
                <w:sz w:val="18"/>
                <w:szCs w:val="18"/>
                <w:lang w:val="es-ES_tradnl"/>
              </w:rPr>
              <w:t xml:space="preserve"> costos / Aumento de la eficacia</w:t>
            </w:r>
          </w:p>
        </w:tc>
      </w:tr>
      <w:tr w:rsidR="00014897" w:rsidRPr="00E94BEA" w:rsidTr="00D6763F">
        <w:trPr>
          <w:trHeight w:val="849"/>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Ahorros de costos derivados de la renegociación de contratos y/o convocación de nuevas licitaciones, así como de una colaboración activa con otras organizaciones de las NN.UU., en especial a través del CPAG</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1,9 millones de francos suizos en 2012/13</w:t>
            </w:r>
          </w:p>
        </w:tc>
      </w:tr>
      <w:tr w:rsidR="00014897" w:rsidRPr="00E94BEA" w:rsidTr="00D6763F">
        <w:trPr>
          <w:trHeight w:val="953"/>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Aumentos de la eficacia derivados de la mejora de los procesos de adquisición </w:t>
            </w:r>
          </w:p>
        </w:tc>
        <w:tc>
          <w:tcPr>
            <w:tcW w:w="4340" w:type="dxa"/>
          </w:tcPr>
          <w:p w:rsidR="00014897" w:rsidRPr="00A34388" w:rsidRDefault="00014897" w:rsidP="00014897">
            <w:pPr>
              <w:numPr>
                <w:ilvl w:val="0"/>
                <w:numId w:val="77"/>
              </w:numPr>
              <w:contextualSpacing/>
              <w:rPr>
                <w:rFonts w:cs="Arial"/>
                <w:sz w:val="16"/>
                <w:szCs w:val="16"/>
                <w:lang w:val="es-ES_tradnl"/>
              </w:rPr>
            </w:pPr>
            <w:r w:rsidRPr="00A34388">
              <w:rPr>
                <w:rFonts w:cs="Arial"/>
                <w:sz w:val="16"/>
                <w:szCs w:val="16"/>
                <w:lang w:val="es-ES_tradnl"/>
              </w:rPr>
              <w:t>reducción de un 50% entre 2011 y 2013 del tiempo necesario para la tramitación de peticiones;</w:t>
            </w:r>
          </w:p>
          <w:p w:rsidR="00014897" w:rsidRPr="00A34388" w:rsidRDefault="00014897" w:rsidP="00014897">
            <w:pPr>
              <w:numPr>
                <w:ilvl w:val="0"/>
                <w:numId w:val="77"/>
              </w:numPr>
              <w:contextualSpacing/>
              <w:rPr>
                <w:rFonts w:cs="Arial"/>
                <w:sz w:val="16"/>
                <w:szCs w:val="16"/>
                <w:lang w:val="es-ES_tradnl"/>
              </w:rPr>
            </w:pPr>
            <w:r w:rsidRPr="00A34388">
              <w:rPr>
                <w:rFonts w:cs="Arial"/>
                <w:sz w:val="16"/>
                <w:szCs w:val="16"/>
                <w:lang w:val="es-ES_tradnl"/>
              </w:rPr>
              <w:t>descenso de la tasa de cancelación de pedidos, de un 14% en 2010 a un 6,7% en 2013.</w:t>
            </w:r>
          </w:p>
        </w:tc>
      </w:tr>
      <w:tr w:rsidR="00014897" w:rsidRPr="00E94BEA" w:rsidTr="00D6763F">
        <w:trPr>
          <w:trHeight w:val="930"/>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Ahorros de costos derivados de:  i) el uso de tecnologías de virtualización de servidores, ii) la racionalización del procedimiento de gestión de cuentas de correo electrónico, y iii) la introducción de la política de “computadora portátil como computadora de escritorio” </w:t>
            </w:r>
          </w:p>
        </w:tc>
        <w:tc>
          <w:tcPr>
            <w:tcW w:w="4340" w:type="dxa"/>
          </w:tcPr>
          <w:p w:rsidR="00014897" w:rsidRPr="00A34388" w:rsidRDefault="00014897" w:rsidP="00014897">
            <w:pPr>
              <w:numPr>
                <w:ilvl w:val="0"/>
                <w:numId w:val="78"/>
              </w:numPr>
              <w:contextualSpacing/>
              <w:rPr>
                <w:rFonts w:cs="Arial"/>
                <w:sz w:val="16"/>
                <w:szCs w:val="16"/>
                <w:lang w:val="es-ES_tradnl"/>
              </w:rPr>
            </w:pPr>
            <w:r w:rsidRPr="00A34388">
              <w:rPr>
                <w:rFonts w:cs="Arial"/>
                <w:sz w:val="16"/>
                <w:szCs w:val="16"/>
                <w:lang w:val="es-ES_tradnl"/>
              </w:rPr>
              <w:t>150.000 francos suizos al año</w:t>
            </w:r>
          </w:p>
          <w:p w:rsidR="00014897" w:rsidRPr="00A34388" w:rsidRDefault="00014897" w:rsidP="00014897">
            <w:pPr>
              <w:numPr>
                <w:ilvl w:val="0"/>
                <w:numId w:val="78"/>
              </w:numPr>
              <w:contextualSpacing/>
              <w:rPr>
                <w:rFonts w:cs="Arial"/>
                <w:sz w:val="16"/>
                <w:szCs w:val="16"/>
                <w:lang w:val="es-ES_tradnl"/>
              </w:rPr>
            </w:pPr>
            <w:r w:rsidRPr="00A34388">
              <w:rPr>
                <w:rFonts w:cs="Arial"/>
                <w:sz w:val="16"/>
                <w:szCs w:val="16"/>
                <w:lang w:val="es-ES_tradnl"/>
              </w:rPr>
              <w:t>alrededor 100.000 francos suizos al año</w:t>
            </w:r>
          </w:p>
          <w:p w:rsidR="00014897" w:rsidRPr="00A34388" w:rsidRDefault="00014897" w:rsidP="00014897">
            <w:pPr>
              <w:numPr>
                <w:ilvl w:val="0"/>
                <w:numId w:val="78"/>
              </w:numPr>
              <w:contextualSpacing/>
              <w:rPr>
                <w:rFonts w:cs="Arial"/>
                <w:sz w:val="16"/>
                <w:szCs w:val="16"/>
                <w:lang w:val="es-ES_tradnl"/>
              </w:rPr>
            </w:pPr>
            <w:r w:rsidRPr="00A34388">
              <w:rPr>
                <w:rFonts w:cs="Arial"/>
                <w:sz w:val="16"/>
                <w:szCs w:val="16"/>
                <w:lang w:val="es-ES_tradnl"/>
              </w:rPr>
              <w:t>alrededor de 50.000 francos suizos en 2013</w:t>
            </w:r>
          </w:p>
        </w:tc>
      </w:tr>
      <w:tr w:rsidR="00014897" w:rsidRPr="00E94BEA" w:rsidTr="00D6763F">
        <w:trPr>
          <w:trHeight w:val="440"/>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Reducción de los costos anuales de impresión en red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Ahorro de 100.000 francos suizos en 2013</w:t>
            </w:r>
          </w:p>
        </w:tc>
      </w:tr>
      <w:tr w:rsidR="00014897" w:rsidRPr="00E94BEA" w:rsidTr="00D6763F">
        <w:trPr>
          <w:trHeight w:val="543"/>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Reducción de los costos totales de envíos postales gracias a negociaciones con colaboradores externos y la mejora de las metodologías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Reducción en un 23% de los costos totales de envíos postales  </w:t>
            </w:r>
          </w:p>
        </w:tc>
      </w:tr>
      <w:tr w:rsidR="00014897" w:rsidRPr="00A34388" w:rsidTr="00D6763F">
        <w:trPr>
          <w:trHeight w:val="480"/>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Reducción del gasto real en pasantes gracias a la racionalización del programa de pasantías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305.000 francos suizos en 2012/13</w:t>
            </w:r>
          </w:p>
        </w:tc>
      </w:tr>
      <w:tr w:rsidR="00014897" w:rsidRPr="00E94BEA" w:rsidTr="00D6763F">
        <w:trPr>
          <w:trHeight w:val="732"/>
        </w:trPr>
        <w:tc>
          <w:tcPr>
            <w:tcW w:w="4272" w:type="dxa"/>
          </w:tcPr>
          <w:p w:rsidR="00014897" w:rsidRPr="00A34388" w:rsidRDefault="00014897" w:rsidP="00147C6A">
            <w:pPr>
              <w:rPr>
                <w:rFonts w:cs="Arial"/>
                <w:sz w:val="16"/>
                <w:szCs w:val="16"/>
                <w:lang w:val="es-ES_tradnl"/>
              </w:rPr>
            </w:pPr>
            <w:r w:rsidRPr="00A34388">
              <w:rPr>
                <w:rFonts w:cs="Arial"/>
                <w:sz w:val="16"/>
                <w:szCs w:val="16"/>
                <w:lang w:val="es-ES_tradnl"/>
              </w:rPr>
              <w:t xml:space="preserve">Reducción del gasto real en ASE mediante una mayor utilización de herramientas de traducción </w:t>
            </w:r>
            <w:r w:rsidR="00147C6A" w:rsidRPr="00A34388">
              <w:rPr>
                <w:rFonts w:cs="Arial"/>
                <w:sz w:val="16"/>
                <w:szCs w:val="16"/>
                <w:lang w:val="es-ES_tradnl"/>
              </w:rPr>
              <w:t>automática</w:t>
            </w:r>
            <w:r w:rsidRPr="00A34388">
              <w:rPr>
                <w:rFonts w:cs="Arial"/>
                <w:sz w:val="16"/>
                <w:szCs w:val="16"/>
                <w:lang w:val="es-ES_tradnl"/>
              </w:rPr>
              <w:t xml:space="preserve">, en especial en los sistemas del PCT y de Madrid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1,5 millones de francos suizos en 2012/13</w:t>
            </w:r>
          </w:p>
        </w:tc>
      </w:tr>
      <w:tr w:rsidR="00014897" w:rsidRPr="00E94BEA" w:rsidTr="00D6763F">
        <w:trPr>
          <w:trHeight w:val="525"/>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 xml:space="preserve">Mejora de la productividad del examen de forma (la relación entre el número de publicaciones PCT y el número de miembros del personal disponible para el examen de forma) mediante la automatización de ciertos procesos </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Incremento de un 10% entre 2011 y 2012, y del 8% entre 2012 y 2013</w:t>
            </w:r>
          </w:p>
        </w:tc>
      </w:tr>
      <w:tr w:rsidR="00014897" w:rsidRPr="00E94BEA" w:rsidTr="00D6763F">
        <w:trPr>
          <w:trHeight w:val="525"/>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Mejora en la puntualidad de los exámenes de forma en las solicitudes internacionales de PCT</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Tasa de finalización del 82,58% en tres semanas desde la recepción en 2013, frente al 69,46% de 2012</w:t>
            </w:r>
          </w:p>
        </w:tc>
      </w:tr>
      <w:tr w:rsidR="00014897" w:rsidRPr="00E94BEA" w:rsidTr="00D6763F">
        <w:trPr>
          <w:trHeight w:val="516"/>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Reducción de los costos merced a la renegociación de contratos para el archivo físico y el transporte de expedientes PCT</w:t>
            </w:r>
          </w:p>
        </w:tc>
        <w:tc>
          <w:tcPr>
            <w:tcW w:w="4340" w:type="dxa"/>
          </w:tcPr>
          <w:p w:rsidR="00014897" w:rsidRPr="00A34388" w:rsidRDefault="00014897" w:rsidP="00D6763F">
            <w:pPr>
              <w:rPr>
                <w:rFonts w:cs="Arial"/>
                <w:sz w:val="16"/>
                <w:szCs w:val="16"/>
                <w:lang w:val="es-ES_tradnl"/>
              </w:rPr>
            </w:pPr>
            <w:r w:rsidRPr="00A34388">
              <w:rPr>
                <w:rFonts w:cs="Arial"/>
                <w:sz w:val="16"/>
                <w:szCs w:val="16"/>
                <w:lang w:val="es-ES_tradnl"/>
              </w:rPr>
              <w:t>Entre 217.000 y 37.500.000 francos suizos anuales</w:t>
            </w:r>
          </w:p>
        </w:tc>
      </w:tr>
      <w:tr w:rsidR="00014897" w:rsidRPr="00E94BEA" w:rsidTr="00D6763F">
        <w:trPr>
          <w:trHeight w:val="660"/>
        </w:trPr>
        <w:tc>
          <w:tcPr>
            <w:tcW w:w="4272" w:type="dxa"/>
          </w:tcPr>
          <w:p w:rsidR="00014897" w:rsidRPr="00A34388" w:rsidRDefault="00014897" w:rsidP="00D6763F">
            <w:pPr>
              <w:rPr>
                <w:rFonts w:cs="Arial"/>
                <w:sz w:val="16"/>
                <w:szCs w:val="16"/>
                <w:lang w:val="es-ES_tradnl"/>
              </w:rPr>
            </w:pPr>
            <w:r w:rsidRPr="00A34388">
              <w:rPr>
                <w:rFonts w:cs="Arial"/>
                <w:sz w:val="16"/>
                <w:szCs w:val="16"/>
                <w:lang w:val="es-ES_tradnl"/>
              </w:rPr>
              <w:t>Ahorros de costos derivados de la automatización de la traducción en las operaciones del sistema de Madrid</w:t>
            </w:r>
          </w:p>
        </w:tc>
        <w:tc>
          <w:tcPr>
            <w:tcW w:w="4340" w:type="dxa"/>
          </w:tcPr>
          <w:p w:rsidR="00014897" w:rsidRPr="00A34388" w:rsidRDefault="00014897" w:rsidP="00B10441">
            <w:pPr>
              <w:rPr>
                <w:rFonts w:cs="Arial"/>
                <w:sz w:val="16"/>
                <w:szCs w:val="16"/>
                <w:lang w:val="es-ES_tradnl"/>
              </w:rPr>
            </w:pPr>
            <w:r w:rsidRPr="00A34388">
              <w:rPr>
                <w:rFonts w:cs="Arial"/>
                <w:sz w:val="16"/>
                <w:szCs w:val="16"/>
                <w:lang w:val="es-ES_tradnl"/>
              </w:rPr>
              <w:t>Disminución del 7,4% del cost</w:t>
            </w:r>
            <w:r w:rsidR="00B10441" w:rsidRPr="00A34388">
              <w:rPr>
                <w:rFonts w:cs="Arial"/>
                <w:sz w:val="16"/>
                <w:szCs w:val="16"/>
                <w:lang w:val="es-ES_tradnl"/>
              </w:rPr>
              <w:t>o</w:t>
            </w:r>
            <w:r w:rsidRPr="00A34388">
              <w:rPr>
                <w:rFonts w:cs="Arial"/>
                <w:sz w:val="16"/>
                <w:szCs w:val="16"/>
                <w:lang w:val="es-ES_tradnl"/>
              </w:rPr>
              <w:t xml:space="preserve"> unitario por solicitud entre 2012 y 2013</w:t>
            </w:r>
          </w:p>
        </w:tc>
      </w:tr>
    </w:tbl>
    <w:p w:rsidR="00014897" w:rsidRPr="00A34388" w:rsidRDefault="00014897" w:rsidP="00014897">
      <w:pPr>
        <w:rPr>
          <w:rFonts w:eastAsiaTheme="minorHAnsi" w:cs="Arial"/>
          <w:sz w:val="22"/>
          <w:szCs w:val="22"/>
          <w:lang w:val="es-ES_tradnl"/>
        </w:rPr>
      </w:pPr>
    </w:p>
    <w:p w:rsidR="00014897" w:rsidRPr="00A34388" w:rsidRDefault="00014897" w:rsidP="00014897">
      <w:pPr>
        <w:rPr>
          <w:lang w:val="es-ES_tradnl"/>
        </w:rPr>
      </w:pPr>
    </w:p>
    <w:p w:rsidR="00197073" w:rsidRPr="00A34388" w:rsidRDefault="00197073" w:rsidP="005678D5">
      <w:pPr>
        <w:jc w:val="both"/>
        <w:rPr>
          <w:lang w:val="es-ES_tradnl"/>
        </w:rPr>
      </w:pPr>
      <w:r w:rsidRPr="00A34388">
        <w:rPr>
          <w:lang w:val="es-ES_tradnl"/>
        </w:rPr>
        <w:br w:type="page"/>
      </w:r>
    </w:p>
    <w:bookmarkEnd w:id="4"/>
    <w:p w:rsidR="00525604" w:rsidRPr="00A34388" w:rsidRDefault="00525604" w:rsidP="00525604">
      <w:pPr>
        <w:rPr>
          <w:lang w:val="es-ES_tradnl"/>
        </w:rPr>
      </w:pPr>
    </w:p>
    <w:p w:rsidR="00525604" w:rsidRPr="00332758" w:rsidRDefault="00525604" w:rsidP="008018CA">
      <w:pPr>
        <w:pStyle w:val="Heading1"/>
        <w:keepNext w:val="0"/>
        <w:rPr>
          <w:lang w:val="es-ES_tradnl"/>
        </w:rPr>
      </w:pPr>
      <w:bookmarkStart w:id="22" w:name="_Toc395277592"/>
      <w:bookmarkStart w:id="23" w:name="_Toc395279650"/>
      <w:bookmarkStart w:id="24" w:name="_Toc301357240"/>
      <w:r w:rsidRPr="00332758">
        <w:rPr>
          <w:lang w:val="es-ES_tradnl"/>
        </w:rPr>
        <w:t>LOGROS DE LOS PROGRAMAS, POR META ESTRATÉGICA</w:t>
      </w:r>
      <w:bookmarkEnd w:id="22"/>
      <w:bookmarkEnd w:id="23"/>
    </w:p>
    <w:p w:rsidR="00525604" w:rsidRPr="00332758" w:rsidRDefault="00525604" w:rsidP="008018CA">
      <w:pPr>
        <w:rPr>
          <w:lang w:val="es-ES_tradnl"/>
        </w:rPr>
      </w:pPr>
    </w:p>
    <w:p w:rsidR="00391D6B" w:rsidRPr="00332758" w:rsidRDefault="00391D6B" w:rsidP="00391D6B">
      <w:pPr>
        <w:pStyle w:val="Heading2"/>
        <w:keepNext w:val="0"/>
        <w:rPr>
          <w:lang w:val="es-ES_tradnl"/>
        </w:rPr>
      </w:pPr>
      <w:bookmarkStart w:id="25" w:name="_Toc395279651"/>
      <w:bookmarkEnd w:id="24"/>
      <w:r w:rsidRPr="00332758">
        <w:rPr>
          <w:b w:val="0"/>
          <w:caps w:val="0"/>
          <w:lang w:val="es-ES_tradnl"/>
        </w:rPr>
        <w:t>META ESTRATÉGICA I</w:t>
      </w:r>
      <w:r w:rsidRPr="00332758">
        <w:rPr>
          <w:b w:val="0"/>
          <w:lang w:val="es-ES_tradnl"/>
        </w:rPr>
        <w:br/>
      </w:r>
      <w:r w:rsidRPr="00332758">
        <w:rPr>
          <w:lang w:val="es-ES_tradnl"/>
        </w:rPr>
        <w:t>Evolución equilibrada del marco normativo internacional de P.I.</w:t>
      </w:r>
      <w:bookmarkEnd w:id="25"/>
    </w:p>
    <w:p w:rsidR="00525604" w:rsidRPr="00A34388" w:rsidRDefault="00525604" w:rsidP="008018CA">
      <w:pPr>
        <w:rPr>
          <w:lang w:val="es-ES_tradnl"/>
        </w:rPr>
      </w:pPr>
    </w:p>
    <w:p w:rsidR="00525604" w:rsidRPr="00A34388" w:rsidRDefault="00525604" w:rsidP="00525604">
      <w:pPr>
        <w:jc w:val="center"/>
        <w:rPr>
          <w:lang w:val="es-ES_tradnl"/>
        </w:rPr>
      </w:pPr>
    </w:p>
    <w:p w:rsidR="00525604" w:rsidRPr="00A34388" w:rsidRDefault="00525604" w:rsidP="00525604">
      <w:pPr>
        <w:jc w:val="center"/>
        <w:rPr>
          <w:lang w:val="es-ES_tradnl"/>
        </w:rPr>
      </w:pPr>
    </w:p>
    <w:p w:rsidR="00525604" w:rsidRPr="00A34388" w:rsidRDefault="00525604" w:rsidP="00525604">
      <w:pPr>
        <w:jc w:val="center"/>
        <w:rPr>
          <w:lang w:val="es-ES_tradnl"/>
        </w:rPr>
      </w:pPr>
      <w:r w:rsidRPr="00332758">
        <w:rPr>
          <w:lang w:val="es-ES_tradnl"/>
        </w:rPr>
        <w:t>CUADRO SOBRE EL RENDIMIENTO BIENAL</w:t>
      </w:r>
    </w:p>
    <w:p w:rsidR="00525604" w:rsidRPr="00A34388" w:rsidRDefault="00525604" w:rsidP="00525604">
      <w:pPr>
        <w:jc w:val="center"/>
        <w:rPr>
          <w:lang w:val="es-ES_tradnl"/>
        </w:rPr>
      </w:pPr>
    </w:p>
    <w:p w:rsidR="00334BCF" w:rsidRPr="00A34388" w:rsidRDefault="00334BCF" w:rsidP="00334BCF">
      <w:pPr>
        <w:autoSpaceDE w:val="0"/>
        <w:autoSpaceDN w:val="0"/>
        <w:adjustRightInd w:val="0"/>
        <w:jc w:val="both"/>
        <w:rPr>
          <w:i/>
          <w:iCs/>
          <w:lang w:val="es-ES_tradnl"/>
        </w:rPr>
      </w:pPr>
      <w:r w:rsidRPr="00A34388">
        <w:rPr>
          <w:rFonts w:cs="Arial"/>
          <w:lang w:val="es-ES_tradnl"/>
        </w:rPr>
        <w:t xml:space="preserve">En el siguiente </w:t>
      </w:r>
      <w:r w:rsidR="00AB3B16" w:rsidRPr="00A34388">
        <w:rPr>
          <w:rFonts w:cs="Arial"/>
          <w:lang w:val="es-ES_tradnl"/>
        </w:rPr>
        <w:t xml:space="preserve">cuadro </w:t>
      </w:r>
      <w:r w:rsidRPr="00A34388">
        <w:rPr>
          <w:rFonts w:cs="Arial"/>
          <w:lang w:val="es-ES_tradnl"/>
        </w:rPr>
        <w:t>se incluye un</w:t>
      </w:r>
      <w:r w:rsidR="00AB3B16" w:rsidRPr="00A34388">
        <w:rPr>
          <w:rFonts w:cs="Arial"/>
          <w:lang w:val="es-ES_tradnl"/>
        </w:rPr>
        <w:t>a reseña general</w:t>
      </w:r>
      <w:r w:rsidRPr="00A34388">
        <w:rPr>
          <w:rFonts w:cs="Arial"/>
          <w:lang w:val="es-ES_tradnl"/>
        </w:rPr>
        <w:t xml:space="preserve"> de la consecución de los resultados previstos en el bienio 2012/13 medidos por los indicadores relativos a los programas que contribuyen a esta meta estratégica.  </w:t>
      </w:r>
    </w:p>
    <w:p w:rsidR="00334BCF" w:rsidRPr="00A34388" w:rsidRDefault="00334BCF" w:rsidP="00525604">
      <w:pPr>
        <w:autoSpaceDE w:val="0"/>
        <w:autoSpaceDN w:val="0"/>
        <w:adjustRightInd w:val="0"/>
        <w:jc w:val="both"/>
        <w:rPr>
          <w:rFonts w:cs="Arial"/>
          <w:lang w:val="es-ES_tradnl"/>
        </w:rPr>
      </w:pPr>
    </w:p>
    <w:p w:rsidR="00334BCF" w:rsidRPr="00A34388" w:rsidRDefault="00902C5C" w:rsidP="00902C5C">
      <w:pPr>
        <w:autoSpaceDE w:val="0"/>
        <w:autoSpaceDN w:val="0"/>
        <w:adjustRightInd w:val="0"/>
        <w:jc w:val="center"/>
        <w:rPr>
          <w:rFonts w:cs="Arial"/>
          <w:lang w:val="es-ES_tradnl"/>
        </w:rPr>
      </w:pPr>
      <w:r>
        <w:rPr>
          <w:rFonts w:cs="Arial"/>
          <w:noProof/>
        </w:rPr>
        <w:drawing>
          <wp:inline distT="0" distB="0" distL="0" distR="0" wp14:anchorId="45AE13A6" wp14:editId="42349408">
            <wp:extent cx="4803032" cy="2494483"/>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2947" cy="2494439"/>
                    </a:xfrm>
                    <a:prstGeom prst="rect">
                      <a:avLst/>
                    </a:prstGeom>
                    <a:noFill/>
                  </pic:spPr>
                </pic:pic>
              </a:graphicData>
            </a:graphic>
          </wp:inline>
        </w:drawing>
      </w:r>
    </w:p>
    <w:p w:rsidR="00525604" w:rsidRPr="00A34388" w:rsidRDefault="00525604" w:rsidP="00525604">
      <w:pPr>
        <w:autoSpaceDE w:val="0"/>
        <w:autoSpaceDN w:val="0"/>
        <w:adjustRightInd w:val="0"/>
        <w:jc w:val="both"/>
        <w:rPr>
          <w:rFonts w:cs="Arial"/>
          <w:lang w:val="es-ES_tradnl"/>
        </w:rPr>
      </w:pPr>
    </w:p>
    <w:p w:rsidR="00525604" w:rsidRPr="00A34388" w:rsidRDefault="00525604" w:rsidP="00525604">
      <w:pPr>
        <w:autoSpaceDE w:val="0"/>
        <w:autoSpaceDN w:val="0"/>
        <w:adjustRightInd w:val="0"/>
        <w:jc w:val="center"/>
        <w:rPr>
          <w:rFonts w:cs="Arial"/>
          <w:lang w:val="es-ES_tradnl"/>
        </w:rPr>
      </w:pPr>
    </w:p>
    <w:p w:rsidR="00525604" w:rsidRPr="00A34388" w:rsidRDefault="00525604" w:rsidP="00525604">
      <w:pPr>
        <w:tabs>
          <w:tab w:val="left" w:pos="0"/>
        </w:tabs>
        <w:rPr>
          <w:rFonts w:cs="Arial"/>
          <w:i/>
          <w:sz w:val="22"/>
          <w:szCs w:val="22"/>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525604" w:rsidRPr="008018CA" w:rsidTr="00853209">
        <w:trPr>
          <w:tblHeader/>
        </w:trPr>
        <w:tc>
          <w:tcPr>
            <w:tcW w:w="3399" w:type="dxa"/>
            <w:tcBorders>
              <w:top w:val="single" w:sz="4" w:space="0" w:color="auto"/>
              <w:bottom w:val="single" w:sz="4" w:space="0" w:color="auto"/>
            </w:tcBorders>
            <w:shd w:val="clear" w:color="auto" w:fill="CCFFFF"/>
            <w:vAlign w:val="center"/>
          </w:tcPr>
          <w:p w:rsidR="00525604" w:rsidRPr="008018CA" w:rsidRDefault="00525604" w:rsidP="00853209">
            <w:pPr>
              <w:spacing w:before="120" w:after="120"/>
              <w:rPr>
                <w:rFonts w:cs="Arial"/>
                <w:b/>
                <w:bCs/>
                <w:sz w:val="14"/>
                <w:szCs w:val="14"/>
                <w:lang w:val="es-ES_tradnl"/>
              </w:rPr>
            </w:pPr>
            <w:r w:rsidRPr="008018CA">
              <w:rPr>
                <w:b/>
                <w:sz w:val="14"/>
                <w:lang w:val="es-ES_tradnl"/>
              </w:rPr>
              <w:t>Resultados previstos</w:t>
            </w:r>
          </w:p>
        </w:tc>
        <w:tc>
          <w:tcPr>
            <w:tcW w:w="3284" w:type="dxa"/>
            <w:tcBorders>
              <w:top w:val="single" w:sz="4" w:space="0" w:color="auto"/>
              <w:bottom w:val="single" w:sz="4" w:space="0" w:color="auto"/>
            </w:tcBorders>
            <w:shd w:val="clear" w:color="auto" w:fill="CCFFFF"/>
            <w:vAlign w:val="center"/>
          </w:tcPr>
          <w:p w:rsidR="00525604" w:rsidRPr="008018CA" w:rsidRDefault="00525604" w:rsidP="00853209">
            <w:pPr>
              <w:spacing w:before="120" w:after="120"/>
              <w:rPr>
                <w:rFonts w:cs="Arial"/>
                <w:b/>
                <w:bCs/>
                <w:sz w:val="14"/>
                <w:szCs w:val="14"/>
                <w:lang w:val="es-ES_tradnl"/>
              </w:rPr>
            </w:pPr>
            <w:r w:rsidRPr="008018CA">
              <w:rPr>
                <w:b/>
                <w:sz w:val="14"/>
                <w:lang w:val="es-ES_tradnl"/>
              </w:rPr>
              <w:t>Indicadores de rendimiento</w:t>
            </w:r>
          </w:p>
        </w:tc>
        <w:tc>
          <w:tcPr>
            <w:tcW w:w="1238" w:type="dxa"/>
            <w:tcBorders>
              <w:top w:val="single" w:sz="4" w:space="0" w:color="auto"/>
              <w:bottom w:val="single" w:sz="4" w:space="0" w:color="auto"/>
            </w:tcBorders>
            <w:shd w:val="clear" w:color="auto" w:fill="CCFFFF"/>
            <w:vAlign w:val="center"/>
          </w:tcPr>
          <w:p w:rsidR="00525604" w:rsidRPr="008018CA" w:rsidRDefault="00525604" w:rsidP="00853209">
            <w:pPr>
              <w:spacing w:before="120" w:after="120"/>
              <w:jc w:val="center"/>
              <w:rPr>
                <w:rFonts w:cs="Arial"/>
                <w:b/>
                <w:bCs/>
                <w:sz w:val="14"/>
                <w:szCs w:val="14"/>
                <w:lang w:val="es-ES_tradnl"/>
              </w:rPr>
            </w:pPr>
            <w:r w:rsidRPr="008018CA">
              <w:rPr>
                <w:b/>
                <w:sz w:val="14"/>
                <w:lang w:val="es-ES_tradnl"/>
              </w:rPr>
              <w:t>Programas responsables</w:t>
            </w:r>
          </w:p>
        </w:tc>
        <w:tc>
          <w:tcPr>
            <w:tcW w:w="1445" w:type="dxa"/>
            <w:tcBorders>
              <w:top w:val="single" w:sz="4" w:space="0" w:color="auto"/>
              <w:bottom w:val="single" w:sz="4" w:space="0" w:color="auto"/>
            </w:tcBorders>
            <w:shd w:val="clear" w:color="auto" w:fill="CCFFFF"/>
            <w:vAlign w:val="center"/>
          </w:tcPr>
          <w:p w:rsidR="00525604" w:rsidRPr="008018CA" w:rsidRDefault="00525604" w:rsidP="00853209">
            <w:pPr>
              <w:spacing w:before="120" w:after="120"/>
              <w:jc w:val="center"/>
              <w:rPr>
                <w:rFonts w:cs="Arial"/>
                <w:b/>
                <w:bCs/>
                <w:sz w:val="14"/>
                <w:szCs w:val="14"/>
                <w:lang w:val="es-ES_tradnl"/>
              </w:rPr>
            </w:pPr>
            <w:r w:rsidRPr="008018CA">
              <w:rPr>
                <w:b/>
                <w:sz w:val="14"/>
                <w:lang w:val="es-ES_tradnl"/>
              </w:rPr>
              <w:t>Clave de colores</w:t>
            </w:r>
          </w:p>
        </w:tc>
      </w:tr>
      <w:tr w:rsidR="00525604" w:rsidRPr="00A34388" w:rsidTr="00853209">
        <w:tc>
          <w:tcPr>
            <w:tcW w:w="3399" w:type="dxa"/>
            <w:vMerge w:val="restart"/>
            <w:tcBorders>
              <w:top w:val="single" w:sz="4" w:space="0" w:color="auto"/>
            </w:tcBorders>
            <w:shd w:val="clear" w:color="auto" w:fill="auto"/>
            <w:tcMar>
              <w:top w:w="113" w:type="dxa"/>
            </w:tcMar>
          </w:tcPr>
          <w:p w:rsidR="00525604" w:rsidRPr="00A34388" w:rsidRDefault="00525604" w:rsidP="00853209">
            <w:pPr>
              <w:spacing w:before="80"/>
              <w:rPr>
                <w:rFonts w:cs="Arial"/>
                <w:color w:val="FF00FF"/>
                <w:sz w:val="14"/>
                <w:szCs w:val="14"/>
                <w:lang w:val="es-ES_tradnl"/>
              </w:rPr>
            </w:pPr>
            <w:r w:rsidRPr="00332758">
              <w:rPr>
                <w:sz w:val="14"/>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3284" w:type="dxa"/>
            <w:tcBorders>
              <w:top w:val="single" w:sz="4" w:space="0" w:color="auto"/>
            </w:tcBorders>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Progresos en la puesta en práctica de medidas/planes concertados por el SCP.</w:t>
            </w:r>
          </w:p>
        </w:tc>
        <w:tc>
          <w:tcPr>
            <w:tcW w:w="1238" w:type="dxa"/>
            <w:tcBorders>
              <w:top w:val="single" w:sz="4" w:space="0" w:color="auto"/>
            </w:tcBorders>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1</w:t>
            </w:r>
          </w:p>
        </w:tc>
        <w:tc>
          <w:tcPr>
            <w:tcW w:w="1445" w:type="dxa"/>
            <w:tcBorders>
              <w:top w:val="single" w:sz="4" w:space="0" w:color="auto"/>
            </w:tcBorders>
          </w:tcPr>
          <w:p w:rsidR="00525604" w:rsidRPr="00A34388" w:rsidRDefault="00525604" w:rsidP="00853209">
            <w:pPr>
              <w:spacing w:before="20"/>
              <w:jc w:val="center"/>
              <w:rPr>
                <w:rFonts w:cs="Arial"/>
                <w:b/>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399"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Acuerdo internacional sobre un marco normativo para los dibujos y modelos industriales.</w:t>
            </w:r>
            <w:r w:rsidRPr="00A34388">
              <w:rPr>
                <w:sz w:val="14"/>
                <w:lang w:val="es-ES_tradnl"/>
              </w:rPr>
              <w:t xml:space="preserve"> </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b/>
                <w:color w:val="E36C0A" w:themeColor="accent6" w:themeShade="BF"/>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399"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Progresos en pos de un acuerdo relativo a las cuestiones que están en el orden del día del SCT.</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b/>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Conclusiones de los Estados miembros en cada sesión del SCCR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spacing w:before="20"/>
              <w:jc w:val="center"/>
              <w:rPr>
                <w:rFonts w:cs="Arial"/>
                <w:b/>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Progresos en pos de un acuerdo relativo a las cuestiones que están en el orden del día del SCCR.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spacing w:before="20"/>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 en las negociaciones del CIG para la elaboración de uno o varios instrumentos jurídicos internacionales.</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4</w:t>
            </w:r>
          </w:p>
        </w:tc>
        <w:tc>
          <w:tcPr>
            <w:tcW w:w="1445" w:type="dxa"/>
          </w:tcPr>
          <w:p w:rsidR="00525604" w:rsidRPr="00A34388" w:rsidRDefault="00525604" w:rsidP="00853209">
            <w:pPr>
              <w:spacing w:before="20"/>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Labor iniciada por el SCT sobre las indicaciones geográficas.</w:t>
            </w:r>
            <w:r w:rsidRPr="00A34388">
              <w:rPr>
                <w:sz w:val="14"/>
                <w:lang w:val="es-ES_tradnl"/>
              </w:rPr>
              <w:t xml:space="preserve">  </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ratificaciones/adhesiones al Tratado de Singapur.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399"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Aumento de la protección de los emblemas de Estado y de los nombres y emblemas de organizaciones intergubernamentales internacionales.</w:t>
            </w: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solicitudes de comunicaciones en virtud del Artículo 6ter Convenio de París a las que se ha respondido.</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signos publicados en la base de datos sobre el Artículo 6ter.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rPr>
                <w:rFonts w:cs="Arial"/>
                <w:color w:val="000000"/>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Directrices exhaustivas para la aplicación del Artículo 6</w:t>
            </w:r>
            <w:r w:rsidRPr="00332758">
              <w:rPr>
                <w:i/>
                <w:sz w:val="14"/>
                <w:lang w:val="es-ES_tradnl"/>
              </w:rPr>
              <w:t>te</w:t>
            </w:r>
            <w:r w:rsidRPr="00332758">
              <w:rPr>
                <w:sz w:val="14"/>
                <w:lang w:val="es-ES_tradnl"/>
              </w:rPr>
              <w:t>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2</w:t>
            </w:r>
          </w:p>
        </w:tc>
        <w:tc>
          <w:tcPr>
            <w:tcW w:w="1445" w:type="dxa"/>
          </w:tcPr>
          <w:p w:rsidR="00525604" w:rsidRPr="00A34388" w:rsidRDefault="00525604" w:rsidP="00853209">
            <w:pPr>
              <w:spacing w:before="20"/>
              <w:jc w:val="center"/>
              <w:rPr>
                <w:rFonts w:cs="Arial"/>
                <w:sz w:val="22"/>
                <w:szCs w:val="22"/>
                <w:lang w:val="es-ES_tradnl"/>
              </w:rPr>
            </w:pPr>
            <w:r w:rsidRPr="00A34388">
              <w:rPr>
                <w:rFonts w:cs="Arial"/>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Decisión fundamentada sobre cuestiones de derecho de autor.</w:t>
            </w:r>
          </w:p>
        </w:tc>
        <w:tc>
          <w:tcPr>
            <w:tcW w:w="3284"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solicitudes de realización de estudios específicos o de formulación de orientaciones sobre actividades que contribuyen a decisiones de política.</w:t>
            </w:r>
            <w:r w:rsidRPr="00A34388">
              <w:rPr>
                <w:color w:val="000000"/>
                <w:sz w:val="14"/>
                <w:lang w:val="es-ES_tradnl"/>
              </w:rPr>
              <w:t xml:space="preserve"> </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países que utilizan los estudios de la OMPI en el marco de sus industrias creativas a los fines de formular estrategias en relación con ese sector.</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descargas y solicitudes y distribución de herramientas de la OMPI para la gestión del derecho de autor en industrias creativas específicas.</w:t>
            </w:r>
            <w:r w:rsidRPr="00A34388">
              <w:rPr>
                <w:color w:val="000000"/>
                <w:sz w:val="14"/>
                <w:lang w:val="es-ES_tradnl"/>
              </w:rPr>
              <w:t xml:space="preserve"> </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3E63B6">
        <w:tc>
          <w:tcPr>
            <w:tcW w:w="3399"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Marcos de P.I. adaptados y equilibrados en el ámbito legislativo, reglamentario y de política.</w:t>
            </w:r>
            <w:r w:rsidRPr="00A34388">
              <w:rPr>
                <w:sz w:val="14"/>
                <w:lang w:val="es-ES_tradnl"/>
              </w:rPr>
              <w:t xml:space="preserve">  </w:t>
            </w: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países que han iniciado reformas legislativas en la esfera del derecho de autor y los derechos conexos.</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3</w:t>
            </w:r>
          </w:p>
        </w:tc>
        <w:tc>
          <w:tcPr>
            <w:tcW w:w="1445" w:type="dxa"/>
            <w:tcBorders>
              <w:bottom w:val="nil"/>
            </w:tcBorders>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3E63B6">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Índole y número de veces que se prestó asesoramiento en el ámbito legislativo a los Estados miembros en relación con las patentes, los modelos de utilidad, los secretos comerciales y los circuitos integrados.</w:t>
            </w:r>
          </w:p>
        </w:tc>
        <w:tc>
          <w:tcPr>
            <w:tcW w:w="1238" w:type="dxa"/>
            <w:shd w:val="clear" w:color="auto" w:fill="auto"/>
            <w:tcMar>
              <w:top w:w="113" w:type="dxa"/>
            </w:tcMar>
          </w:tcPr>
          <w:p w:rsidR="00525604" w:rsidRPr="00A34388" w:rsidRDefault="00525604" w:rsidP="00853209">
            <w:pPr>
              <w:spacing w:before="80"/>
              <w:ind w:left="176"/>
              <w:rPr>
                <w:rFonts w:cs="Arial"/>
                <w:sz w:val="14"/>
                <w:szCs w:val="14"/>
                <w:lang w:val="es-ES_tradnl"/>
              </w:rPr>
            </w:pPr>
            <w:r w:rsidRPr="00332758">
              <w:rPr>
                <w:sz w:val="14"/>
                <w:lang w:val="es-ES_tradnl"/>
              </w:rPr>
              <w:t>Programa 1</w:t>
            </w:r>
          </w:p>
          <w:p w:rsidR="00525604" w:rsidRPr="00A34388" w:rsidRDefault="00525604" w:rsidP="00853209">
            <w:pPr>
              <w:spacing w:before="120"/>
              <w:ind w:left="176"/>
              <w:rPr>
                <w:rFonts w:cs="Arial"/>
                <w:sz w:val="14"/>
                <w:szCs w:val="14"/>
                <w:lang w:val="es-ES_tradnl"/>
              </w:rPr>
            </w:pPr>
            <w:r w:rsidRPr="00332758">
              <w:rPr>
                <w:sz w:val="14"/>
                <w:lang w:val="es-ES_tradnl"/>
              </w:rPr>
              <w:t>Programa 9</w:t>
            </w:r>
          </w:p>
          <w:p w:rsidR="00525604" w:rsidRPr="00A34388" w:rsidRDefault="00525604" w:rsidP="00853209">
            <w:pPr>
              <w:spacing w:before="120"/>
              <w:ind w:left="176"/>
              <w:rPr>
                <w:rFonts w:cs="Arial"/>
                <w:sz w:val="14"/>
                <w:szCs w:val="14"/>
                <w:lang w:val="es-ES_tradnl"/>
              </w:rPr>
            </w:pPr>
            <w:r w:rsidRPr="00332758">
              <w:rPr>
                <w:sz w:val="14"/>
                <w:lang w:val="es-ES_tradnl"/>
              </w:rPr>
              <w:t>Programa 10</w:t>
            </w:r>
          </w:p>
        </w:tc>
        <w:tc>
          <w:tcPr>
            <w:tcW w:w="1445" w:type="dxa"/>
            <w:tcBorders>
              <w:top w:val="nil"/>
              <w:bottom w:val="nil"/>
            </w:tcBorders>
            <w:shd w:val="clear" w:color="auto" w:fill="auto"/>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006600"/>
                <w:sz w:val="22"/>
                <w:szCs w:val="22"/>
                <w:lang w:val="es-ES_tradnl"/>
              </w:rPr>
            </w:pPr>
            <w:r w:rsidRPr="003E63B6">
              <w:rPr>
                <w:rFonts w:cs="Arial"/>
                <w:color w:val="A6A6A6" w:themeColor="background1" w:themeShade="A6"/>
                <w:sz w:val="22"/>
                <w:szCs w:val="22"/>
                <w:lang w:val="es-ES_tradnl"/>
              </w:rPr>
              <w:sym w:font="Wingdings" w:char="F06C"/>
            </w:r>
          </w:p>
        </w:tc>
      </w:tr>
      <w:tr w:rsidR="00525604" w:rsidRPr="00A34388" w:rsidTr="00800175">
        <w:tc>
          <w:tcPr>
            <w:tcW w:w="3399" w:type="dxa"/>
            <w:shd w:val="clear" w:color="auto" w:fill="auto"/>
            <w:tcMar>
              <w:top w:w="113" w:type="dxa"/>
            </w:tcMar>
          </w:tcPr>
          <w:p w:rsidR="00525604" w:rsidRPr="00A34388" w:rsidRDefault="00525604" w:rsidP="00853209">
            <w:pPr>
              <w:keepNext/>
              <w:keepLines/>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keepNext/>
              <w:keepLines/>
              <w:spacing w:before="60"/>
              <w:rPr>
                <w:rFonts w:cs="Arial"/>
                <w:sz w:val="14"/>
                <w:szCs w:val="14"/>
                <w:lang w:val="es-ES_tradnl"/>
              </w:rPr>
            </w:pPr>
            <w:r w:rsidRPr="00332758">
              <w:rPr>
                <w:sz w:val="14"/>
                <w:lang w:val="es-ES_tradnl"/>
              </w:rPr>
              <w:t>Porcentaje de países que consideraron útil el asesoramiento en materia legislativa relacionado con las patentes, los modelos de utilidad, los secretos comerciales y los circuitos integrados.</w:t>
            </w:r>
          </w:p>
        </w:tc>
        <w:tc>
          <w:tcPr>
            <w:tcW w:w="1238" w:type="dxa"/>
            <w:shd w:val="clear" w:color="auto" w:fill="auto"/>
            <w:tcMar>
              <w:top w:w="113" w:type="dxa"/>
            </w:tcMar>
          </w:tcPr>
          <w:p w:rsidR="00525604" w:rsidRPr="00A34388" w:rsidRDefault="00525604" w:rsidP="00853209">
            <w:pPr>
              <w:keepNext/>
              <w:keepLines/>
              <w:spacing w:before="80"/>
              <w:ind w:left="176"/>
              <w:rPr>
                <w:rFonts w:cs="Arial"/>
                <w:sz w:val="14"/>
                <w:szCs w:val="14"/>
                <w:lang w:val="es-ES_tradnl"/>
              </w:rPr>
            </w:pPr>
            <w:r w:rsidRPr="00332758">
              <w:rPr>
                <w:sz w:val="14"/>
                <w:lang w:val="es-ES_tradnl"/>
              </w:rPr>
              <w:t>Programa 1</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9</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10</w:t>
            </w:r>
          </w:p>
        </w:tc>
        <w:tc>
          <w:tcPr>
            <w:tcW w:w="1445" w:type="dxa"/>
            <w:tcBorders>
              <w:top w:val="nil"/>
            </w:tcBorders>
          </w:tcPr>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keepNext/>
              <w:keepLines/>
              <w:spacing w:before="60"/>
              <w:rPr>
                <w:rFonts w:cs="Arial"/>
                <w:sz w:val="14"/>
                <w:szCs w:val="14"/>
                <w:lang w:val="es-ES_tradnl"/>
              </w:rPr>
            </w:pPr>
            <w:r w:rsidRPr="00332758">
              <w:rPr>
                <w:sz w:val="14"/>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1238" w:type="dxa"/>
            <w:shd w:val="clear" w:color="auto" w:fill="auto"/>
            <w:tcMar>
              <w:top w:w="113" w:type="dxa"/>
            </w:tcMar>
          </w:tcPr>
          <w:p w:rsidR="00525604" w:rsidRPr="00A34388" w:rsidRDefault="00525604" w:rsidP="00853209">
            <w:pPr>
              <w:keepNext/>
              <w:keepLines/>
              <w:spacing w:before="60"/>
              <w:ind w:left="176"/>
              <w:rPr>
                <w:rFonts w:cs="Arial"/>
                <w:sz w:val="14"/>
                <w:szCs w:val="14"/>
                <w:lang w:val="es-ES_tradnl"/>
              </w:rPr>
            </w:pPr>
            <w:r w:rsidRPr="00332758">
              <w:rPr>
                <w:sz w:val="14"/>
                <w:lang w:val="es-ES_tradnl"/>
              </w:rPr>
              <w:t>Programa 1</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9</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10</w:t>
            </w:r>
          </w:p>
        </w:tc>
        <w:tc>
          <w:tcPr>
            <w:tcW w:w="1445" w:type="dxa"/>
          </w:tcPr>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keepNext/>
              <w:keepLines/>
              <w:spacing w:before="60"/>
              <w:rPr>
                <w:rFonts w:cs="Arial"/>
                <w:sz w:val="14"/>
                <w:szCs w:val="14"/>
                <w:lang w:val="es-ES_tradnl"/>
              </w:rPr>
            </w:pPr>
            <w:r w:rsidRPr="00332758">
              <w:rPr>
                <w:sz w:val="14"/>
                <w:lang w:val="es-ES_tradnl"/>
              </w:rPr>
              <w:t>Porcentaje de participantes en talleres/seminarios sobre cuestiones específicas relacionadas con las patentes que expresaron satisfacción al respecto.</w:t>
            </w:r>
            <w:r w:rsidRPr="00A34388">
              <w:rPr>
                <w:sz w:val="14"/>
                <w:lang w:val="es-ES_tradnl"/>
              </w:rPr>
              <w:t xml:space="preserve"> </w:t>
            </w:r>
          </w:p>
        </w:tc>
        <w:tc>
          <w:tcPr>
            <w:tcW w:w="1238" w:type="dxa"/>
            <w:shd w:val="clear" w:color="auto" w:fill="auto"/>
            <w:tcMar>
              <w:top w:w="113" w:type="dxa"/>
            </w:tcMar>
          </w:tcPr>
          <w:p w:rsidR="00525604" w:rsidRPr="00A34388" w:rsidRDefault="00525604" w:rsidP="00853209">
            <w:pPr>
              <w:keepNext/>
              <w:keepLines/>
              <w:spacing w:before="60"/>
              <w:ind w:left="176"/>
              <w:rPr>
                <w:rFonts w:cs="Arial"/>
                <w:sz w:val="14"/>
                <w:szCs w:val="14"/>
                <w:lang w:val="es-ES_tradnl"/>
              </w:rPr>
            </w:pPr>
            <w:r w:rsidRPr="00332758">
              <w:rPr>
                <w:sz w:val="14"/>
                <w:lang w:val="es-ES_tradnl"/>
              </w:rPr>
              <w:t>Programa 1</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9</w:t>
            </w:r>
          </w:p>
          <w:p w:rsidR="00525604" w:rsidRPr="00A34388" w:rsidRDefault="00525604" w:rsidP="00853209">
            <w:pPr>
              <w:keepNext/>
              <w:keepLines/>
              <w:spacing w:before="120"/>
              <w:ind w:left="176"/>
              <w:rPr>
                <w:rFonts w:cs="Arial"/>
                <w:sz w:val="14"/>
                <w:szCs w:val="14"/>
                <w:lang w:val="es-ES_tradnl"/>
              </w:rPr>
            </w:pPr>
            <w:r w:rsidRPr="00332758">
              <w:rPr>
                <w:sz w:val="14"/>
                <w:lang w:val="es-ES_tradnl"/>
              </w:rPr>
              <w:t>Programa 10</w:t>
            </w:r>
          </w:p>
        </w:tc>
        <w:tc>
          <w:tcPr>
            <w:tcW w:w="1445" w:type="dxa"/>
          </w:tcPr>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keepNext/>
              <w:keepLines/>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60"/>
              <w:rPr>
                <w:rFonts w:cs="Arial"/>
                <w:color w:val="000000"/>
                <w:sz w:val="14"/>
                <w:szCs w:val="14"/>
                <w:lang w:val="es-ES_tradnl"/>
              </w:rPr>
            </w:pPr>
            <w:r w:rsidRPr="00332758">
              <w:rPr>
                <w:sz w:val="14"/>
                <w:lang w:val="es-ES_tradnl"/>
              </w:rPr>
              <w:t>Número de Estados miembros que recibieron asesoramiento en materia legislativa en la esfera de las marcas, los dibujos y modelos industriales y las indicaciones geográficas.</w:t>
            </w:r>
            <w:r w:rsidRPr="00A34388">
              <w:rPr>
                <w:color w:val="000000"/>
                <w:sz w:val="14"/>
                <w:lang w:val="es-ES_tradnl"/>
              </w:rPr>
              <w:t xml:space="preserve"> </w:t>
            </w:r>
          </w:p>
        </w:tc>
        <w:tc>
          <w:tcPr>
            <w:tcW w:w="1238" w:type="dxa"/>
            <w:shd w:val="clear" w:color="auto" w:fill="auto"/>
            <w:tcMar>
              <w:top w:w="113" w:type="dxa"/>
            </w:tcMar>
          </w:tcPr>
          <w:p w:rsidR="00525604" w:rsidRPr="00A34388" w:rsidRDefault="00525604" w:rsidP="00853209">
            <w:pPr>
              <w:spacing w:before="60"/>
              <w:ind w:left="176"/>
              <w:rPr>
                <w:rFonts w:cs="Arial"/>
                <w:sz w:val="14"/>
                <w:szCs w:val="14"/>
                <w:lang w:val="es-ES_tradnl"/>
              </w:rPr>
            </w:pPr>
            <w:r w:rsidRPr="00332758">
              <w:rPr>
                <w:sz w:val="14"/>
                <w:lang w:val="es-ES_tradnl"/>
              </w:rPr>
              <w:t>Programa 2</w:t>
            </w:r>
          </w:p>
          <w:p w:rsidR="00525604" w:rsidRPr="00A34388" w:rsidRDefault="00525604" w:rsidP="00853209">
            <w:pPr>
              <w:spacing w:before="120"/>
              <w:ind w:left="176"/>
              <w:rPr>
                <w:rFonts w:cs="Arial"/>
                <w:sz w:val="14"/>
                <w:szCs w:val="14"/>
                <w:lang w:val="es-ES_tradnl"/>
              </w:rPr>
            </w:pPr>
            <w:r w:rsidRPr="00332758">
              <w:rPr>
                <w:sz w:val="14"/>
                <w:lang w:val="es-ES_tradnl"/>
              </w:rPr>
              <w:t>Programa 9</w:t>
            </w:r>
          </w:p>
          <w:p w:rsidR="00525604" w:rsidRPr="00A34388" w:rsidRDefault="00525604" w:rsidP="00853209">
            <w:pPr>
              <w:spacing w:before="120"/>
              <w:ind w:left="176"/>
              <w:rPr>
                <w:rFonts w:cs="Arial"/>
                <w:sz w:val="14"/>
                <w:szCs w:val="14"/>
                <w:lang w:val="es-ES_tradnl"/>
              </w:rPr>
            </w:pPr>
            <w:r w:rsidRPr="00332758">
              <w:rPr>
                <w:sz w:val="14"/>
                <w:lang w:val="es-ES_tradnl"/>
              </w:rPr>
              <w:t>Programa 10</w:t>
            </w:r>
          </w:p>
        </w:tc>
        <w:tc>
          <w:tcPr>
            <w:tcW w:w="1445" w:type="dxa"/>
          </w:tcPr>
          <w:p w:rsidR="00525604" w:rsidRPr="00A34388" w:rsidRDefault="00525604" w:rsidP="00853209">
            <w:pPr>
              <w:jc w:val="center"/>
              <w:rPr>
                <w:rFonts w:cs="Arial"/>
                <w:color w:val="E36C0A" w:themeColor="accent6" w:themeShade="BF"/>
                <w:sz w:val="22"/>
                <w:szCs w:val="22"/>
                <w:lang w:val="es-ES_tradnl"/>
              </w:rPr>
            </w:pPr>
            <w:r w:rsidRPr="00A34388">
              <w:rPr>
                <w:rFonts w:cs="Arial"/>
                <w:color w:val="E36C0A" w:themeColor="accent6" w:themeShade="BF"/>
                <w:sz w:val="22"/>
                <w:szCs w:val="22"/>
                <w:lang w:val="es-ES_tradnl"/>
              </w:rPr>
              <w:sym w:font="Wingdings" w:char="F06C"/>
            </w:r>
          </w:p>
          <w:p w:rsidR="00525604" w:rsidRPr="00A34388" w:rsidRDefault="00525604" w:rsidP="00853209">
            <w:pPr>
              <w:jc w:val="center"/>
              <w:rPr>
                <w:rFonts w:cs="Arial"/>
                <w:color w:val="E36C0A" w:themeColor="accent6" w:themeShade="BF"/>
                <w:sz w:val="22"/>
                <w:szCs w:val="22"/>
                <w:lang w:val="es-ES_tradnl"/>
              </w:rPr>
            </w:pPr>
            <w:r w:rsidRPr="00A34388">
              <w:rPr>
                <w:rFonts w:cs="Arial"/>
                <w:color w:val="E36C0A" w:themeColor="accent6" w:themeShade="BF"/>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60"/>
              <w:rPr>
                <w:rFonts w:cs="Arial"/>
                <w:color w:val="000000"/>
                <w:sz w:val="14"/>
                <w:szCs w:val="14"/>
                <w:lang w:val="es-ES_tradnl"/>
              </w:rPr>
            </w:pPr>
            <w:r w:rsidRPr="00332758">
              <w:rPr>
                <w:sz w:val="14"/>
                <w:lang w:val="es-ES_tradnl"/>
              </w:rPr>
              <w:t>Número de países que presentaron comentarios positivos sobre la utilidad del asesoramiento proporcionado en materia legislativa en la esfera de las marcas, los dibujos y modelos industriales y las indicaciones geográficas.</w:t>
            </w:r>
            <w:r w:rsidRPr="00A34388">
              <w:rPr>
                <w:color w:val="000000"/>
                <w:sz w:val="14"/>
                <w:lang w:val="es-ES_tradnl"/>
              </w:rPr>
              <w:t xml:space="preserve"> </w:t>
            </w:r>
          </w:p>
        </w:tc>
        <w:tc>
          <w:tcPr>
            <w:tcW w:w="1238" w:type="dxa"/>
            <w:shd w:val="clear" w:color="auto" w:fill="auto"/>
            <w:tcMar>
              <w:top w:w="113" w:type="dxa"/>
            </w:tcMar>
          </w:tcPr>
          <w:p w:rsidR="00525604" w:rsidRPr="00A34388" w:rsidRDefault="00525604" w:rsidP="00853209">
            <w:pPr>
              <w:spacing w:before="60"/>
              <w:ind w:left="176"/>
              <w:rPr>
                <w:rFonts w:cs="Arial"/>
                <w:sz w:val="14"/>
                <w:szCs w:val="14"/>
                <w:lang w:val="es-ES_tradnl"/>
              </w:rPr>
            </w:pPr>
            <w:r w:rsidRPr="00332758">
              <w:rPr>
                <w:sz w:val="14"/>
                <w:lang w:val="es-ES_tradnl"/>
              </w:rPr>
              <w:t>Programa 2</w:t>
            </w:r>
          </w:p>
          <w:p w:rsidR="00525604" w:rsidRPr="00A34388" w:rsidRDefault="00525604" w:rsidP="00853209">
            <w:pPr>
              <w:spacing w:before="120"/>
              <w:ind w:left="176"/>
              <w:rPr>
                <w:rFonts w:cs="Arial"/>
                <w:sz w:val="14"/>
                <w:szCs w:val="14"/>
                <w:lang w:val="es-ES_tradnl"/>
              </w:rPr>
            </w:pPr>
            <w:r w:rsidRPr="00332758">
              <w:rPr>
                <w:sz w:val="14"/>
                <w:lang w:val="es-ES_tradnl"/>
              </w:rPr>
              <w:t>Programa 9</w:t>
            </w:r>
          </w:p>
          <w:p w:rsidR="00525604" w:rsidRPr="00A34388" w:rsidRDefault="00525604" w:rsidP="00853209">
            <w:pPr>
              <w:spacing w:before="120"/>
              <w:ind w:left="176"/>
              <w:rPr>
                <w:rFonts w:cs="Arial"/>
                <w:sz w:val="14"/>
                <w:szCs w:val="14"/>
                <w:lang w:val="es-ES_tradnl"/>
              </w:rPr>
            </w:pPr>
            <w:r w:rsidRPr="00332758">
              <w:rPr>
                <w:sz w:val="14"/>
                <w:lang w:val="es-ES_tradnl"/>
              </w:rPr>
              <w:t>Programa 10</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399"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284" w:type="dxa"/>
            <w:shd w:val="clear" w:color="auto" w:fill="auto"/>
            <w:tcMar>
              <w:top w:w="113" w:type="dxa"/>
            </w:tcMar>
          </w:tcPr>
          <w:p w:rsidR="00525604" w:rsidRPr="00A34388" w:rsidRDefault="00525604" w:rsidP="00853209">
            <w:pPr>
              <w:spacing w:before="60"/>
              <w:rPr>
                <w:sz w:val="14"/>
                <w:szCs w:val="14"/>
                <w:lang w:val="es-ES_tradnl"/>
              </w:rPr>
            </w:pPr>
            <w:r w:rsidRPr="00332758">
              <w:rPr>
                <w:sz w:val="14"/>
                <w:lang w:val="es-ES_tradnl"/>
              </w:rPr>
              <w:t>Número de países que han recibido asistencia técnica sobre marcos legislativos nuevos o actualizados de observancia de los derechos en los que se tienen en cuenta las flexibilidades previstas en la Parte III del Acuerdo sobre los ADPIC.</w:t>
            </w:r>
          </w:p>
          <w:p w:rsidR="00525604" w:rsidRPr="00A34388" w:rsidRDefault="00525604" w:rsidP="00853209">
            <w:pPr>
              <w:spacing w:before="60"/>
              <w:rPr>
                <w:rFonts w:cs="Arial"/>
                <w:color w:val="000000"/>
                <w:sz w:val="14"/>
                <w:szCs w:val="14"/>
                <w:lang w:val="es-ES_tradnl"/>
              </w:rPr>
            </w:pPr>
          </w:p>
        </w:tc>
        <w:tc>
          <w:tcPr>
            <w:tcW w:w="1238" w:type="dxa"/>
            <w:shd w:val="clear" w:color="auto" w:fill="auto"/>
            <w:tcMar>
              <w:top w:w="113" w:type="dxa"/>
            </w:tcMar>
          </w:tcPr>
          <w:p w:rsidR="00525604" w:rsidRPr="00A34388" w:rsidRDefault="00525604" w:rsidP="00853209">
            <w:pPr>
              <w:spacing w:before="60"/>
              <w:ind w:left="176"/>
              <w:rPr>
                <w:rFonts w:cs="Arial"/>
                <w:sz w:val="14"/>
                <w:szCs w:val="14"/>
                <w:lang w:val="es-ES_tradnl"/>
              </w:rPr>
            </w:pPr>
            <w:r w:rsidRPr="00332758">
              <w:rPr>
                <w:sz w:val="14"/>
                <w:lang w:val="es-ES_tradnl"/>
              </w:rPr>
              <w:t>Programa 17</w:t>
            </w:r>
          </w:p>
          <w:p w:rsidR="00525604" w:rsidRPr="00A34388" w:rsidRDefault="00525604" w:rsidP="00853209">
            <w:pPr>
              <w:spacing w:before="120"/>
              <w:ind w:left="176"/>
              <w:rPr>
                <w:rFonts w:cs="Arial"/>
                <w:sz w:val="14"/>
                <w:szCs w:val="14"/>
                <w:lang w:val="es-ES_tradnl"/>
              </w:rPr>
            </w:pPr>
            <w:r w:rsidRPr="00332758">
              <w:rPr>
                <w:sz w:val="14"/>
                <w:lang w:val="es-ES_tradnl"/>
              </w:rPr>
              <w:t>Programa 9</w:t>
            </w:r>
          </w:p>
        </w:tc>
        <w:tc>
          <w:tcPr>
            <w:tcW w:w="1445"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bl>
    <w:p w:rsidR="00525604" w:rsidRPr="00A34388" w:rsidRDefault="00525604" w:rsidP="00525604">
      <w:pPr>
        <w:tabs>
          <w:tab w:val="left" w:pos="0"/>
        </w:tabs>
        <w:rPr>
          <w:rFonts w:cs="Arial"/>
          <w:iCs/>
          <w:sz w:val="21"/>
          <w:szCs w:val="21"/>
          <w:lang w:val="es-ES_tradnl"/>
        </w:rPr>
      </w:pPr>
    </w:p>
    <w:p w:rsidR="00525604" w:rsidRPr="00A34388" w:rsidRDefault="00525604" w:rsidP="00525604">
      <w:pPr>
        <w:tabs>
          <w:tab w:val="left" w:pos="0"/>
        </w:tabs>
        <w:rPr>
          <w:b/>
          <w:iCs/>
          <w:lang w:val="es-ES_tradnl"/>
        </w:rPr>
      </w:pPr>
    </w:p>
    <w:p w:rsidR="00525604" w:rsidRPr="00A34388" w:rsidRDefault="00525604" w:rsidP="00525604">
      <w:pPr>
        <w:jc w:val="center"/>
        <w:rPr>
          <w:rFonts w:ascii="Arial Bold" w:hAnsi="Arial Bold" w:cs="Arial"/>
          <w:b/>
          <w:bCs/>
          <w:iCs/>
          <w:caps/>
          <w:sz w:val="22"/>
          <w:szCs w:val="28"/>
          <w:lang w:val="es-ES_tradnl"/>
        </w:rPr>
      </w:pPr>
      <w:r w:rsidRPr="00A34388">
        <w:rPr>
          <w:lang w:val="es-ES_tradnl"/>
        </w:rPr>
        <w:br w:type="page"/>
      </w:r>
    </w:p>
    <w:p w:rsidR="00391D6B" w:rsidRPr="003934C8" w:rsidRDefault="00391D6B" w:rsidP="00391D6B">
      <w:pPr>
        <w:pStyle w:val="Heading3"/>
        <w:rPr>
          <w:rFonts w:hint="eastAsia"/>
          <w:lang w:val="es-ES"/>
        </w:rPr>
      </w:pPr>
      <w:bookmarkStart w:id="26" w:name="_Toc395279652"/>
      <w:r w:rsidRPr="003934C8">
        <w:rPr>
          <w:lang w:val="es-ES"/>
        </w:rPr>
        <w:lastRenderedPageBreak/>
        <w:t>Programa 1</w:t>
      </w:r>
      <w:r w:rsidRPr="003934C8">
        <w:rPr>
          <w:lang w:val="es-ES"/>
        </w:rPr>
        <w:tab/>
        <w:t>Derecho de patentes</w:t>
      </w:r>
      <w:bookmarkEnd w:id="26"/>
    </w:p>
    <w:p w:rsidR="00391D6B" w:rsidRPr="00332758" w:rsidRDefault="00391D6B" w:rsidP="00391D6B">
      <w:pPr>
        <w:rPr>
          <w:szCs w:val="20"/>
          <w:lang w:val="es-ES_tradnl"/>
        </w:rPr>
      </w:pPr>
    </w:p>
    <w:p w:rsidR="00391D6B" w:rsidRPr="00332758" w:rsidRDefault="00391D6B" w:rsidP="00391D6B">
      <w:pPr>
        <w:tabs>
          <w:tab w:val="left" w:pos="2694"/>
        </w:tabs>
        <w:rPr>
          <w:b/>
          <w:sz w:val="22"/>
          <w:szCs w:val="22"/>
          <w:lang w:val="es-ES_tradnl"/>
        </w:rPr>
      </w:pPr>
      <w:r w:rsidRPr="00332758">
        <w:rPr>
          <w:b/>
          <w:sz w:val="22"/>
          <w:lang w:val="es-ES_tradnl"/>
        </w:rPr>
        <w:t>Director de Programa</w:t>
      </w:r>
      <w:r w:rsidRPr="00A34388">
        <w:rPr>
          <w:lang w:val="es-ES_tradnl"/>
        </w:rPr>
        <w:tab/>
      </w:r>
      <w:r w:rsidRPr="00332758">
        <w:rPr>
          <w:b/>
          <w:sz w:val="22"/>
          <w:lang w:val="es-ES_tradnl"/>
        </w:rPr>
        <w:t xml:space="preserve">Sr. J. </w:t>
      </w:r>
      <w:proofErr w:type="spellStart"/>
      <w:r w:rsidRPr="00332758">
        <w:rPr>
          <w:b/>
          <w:sz w:val="22"/>
          <w:lang w:val="es-ES_tradnl"/>
        </w:rPr>
        <w:t>Pooley</w:t>
      </w:r>
      <w:proofErr w:type="spellEnd"/>
    </w:p>
    <w:p w:rsidR="00525604" w:rsidRPr="00A34388" w:rsidRDefault="00525604" w:rsidP="00525604">
      <w:pPr>
        <w:rPr>
          <w:szCs w:val="20"/>
          <w:lang w:val="es-ES_tradnl"/>
        </w:rPr>
      </w:pPr>
    </w:p>
    <w:p w:rsidR="00525604" w:rsidRPr="00A34388" w:rsidRDefault="00525604" w:rsidP="00525604">
      <w:pPr>
        <w:rPr>
          <w:szCs w:val="20"/>
          <w:lang w:val="es-ES_tradnl"/>
        </w:rPr>
      </w:pPr>
    </w:p>
    <w:p w:rsidR="00525604" w:rsidRPr="00A34388" w:rsidRDefault="003E3F45" w:rsidP="00525604">
      <w:pPr>
        <w:rPr>
          <w:bCs/>
          <w:sz w:val="22"/>
          <w:szCs w:val="22"/>
          <w:lang w:val="es-ES_tradnl"/>
        </w:rPr>
      </w:pPr>
      <w:r>
        <w:rPr>
          <w:sz w:val="22"/>
          <w:lang w:val="es-ES_tradnl"/>
        </w:rPr>
        <w:t>AVANCES LOGRADOS EN EL BIENIO 2012/13</w:t>
      </w:r>
    </w:p>
    <w:p w:rsidR="00525604" w:rsidRPr="00A34388" w:rsidRDefault="00525604" w:rsidP="00525604">
      <w:pPr>
        <w:rPr>
          <w:szCs w:val="20"/>
          <w:lang w:val="es-ES_tradnl"/>
        </w:rPr>
      </w:pP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r w:rsidRPr="00332758">
        <w:rPr>
          <w:lang w:val="es-ES_tradnl"/>
        </w:rPr>
        <w:t>1</w:t>
      </w:r>
      <w:r w:rsidR="00835784" w:rsidRPr="00332758">
        <w:rPr>
          <w:lang w:val="es-ES_tradnl"/>
        </w:rPr>
        <w:t>.</w:t>
      </w:r>
      <w:r w:rsidRPr="00332758">
        <w:rPr>
          <w:lang w:val="es-ES_tradnl"/>
        </w:rPr>
        <w:t>1.</w:t>
      </w:r>
      <w:r w:rsidRPr="00A34388">
        <w:rPr>
          <w:lang w:val="es-ES_tradnl"/>
        </w:rPr>
        <w:tab/>
      </w:r>
      <w:r w:rsidRPr="00332758">
        <w:rPr>
          <w:lang w:val="es-ES_tradnl"/>
        </w:rPr>
        <w:t>Con el fin de mejorar la cooperación entre los Estados miembros en lo que atañe a seguir elaborando marcos normativos y de política equilibrados para el sistema internacional de patentes, en mayo de 2012 y en febrero de 2013 se celebraron la 18ª y la 19ª sesiones del Comité Permanente sobre el Derecho de Patentes (SCP).  El SCP continuó prestando atención a cinco cuestiones en su orden del día, a saber</w:t>
      </w:r>
      <w:proofErr w:type="gramStart"/>
      <w:r w:rsidRPr="00332758">
        <w:rPr>
          <w:lang w:val="es-ES_tradnl"/>
        </w:rPr>
        <w:t>:  i</w:t>
      </w:r>
      <w:proofErr w:type="gramEnd"/>
      <w:r w:rsidRPr="00332758">
        <w:rPr>
          <w:lang w:val="es-ES_tradnl"/>
        </w:rPr>
        <w:t>) excepciones y limitaciones a los derechos de patente;  ii) calidad de las patentes, incluidos los procedimientos de oposición;  iii) patentes y salud;  iv) confidencialidad de las comunicaciones entre asesores de patente y sus clientes;  y v) transferencia de tecnología.</w:t>
      </w: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r w:rsidRPr="00A34388">
        <w:rPr>
          <w:lang w:val="es-ES_tradnl"/>
        </w:rPr>
        <w:t>1.2.</w:t>
      </w:r>
      <w:r w:rsidRPr="00A34388">
        <w:rPr>
          <w:lang w:val="es-ES_tradnl"/>
        </w:rPr>
        <w:tab/>
      </w:r>
      <w:r w:rsidRPr="00A34388">
        <w:rPr>
          <w:color w:val="000000"/>
          <w:lang w:val="es-ES_tradnl"/>
        </w:rPr>
        <w:t xml:space="preserve">El examen de estudios sustantivos permitió al SCP revisar el actual sistema internacional de patentes de manera integral, teniendo en cuenta las necesidades y los intereses de los Estados miembros y los sectores interesados.  El empleo de un enfoque por etapas amplió la base común desde la que el Comité podría desarrollar sus debates.  Por otra parte, diversas metodologías empleadas por el Comité, entre las que se incluyen la preparación de estudios de base y el intercambio de información sobre la aplicación nacional del </w:t>
      </w:r>
      <w:r w:rsidR="004F7424" w:rsidRPr="00A34388">
        <w:rPr>
          <w:color w:val="000000"/>
          <w:lang w:val="es-ES_tradnl"/>
        </w:rPr>
        <w:t xml:space="preserve">Derecho </w:t>
      </w:r>
      <w:r w:rsidRPr="00A34388">
        <w:rPr>
          <w:color w:val="000000"/>
          <w:lang w:val="es-ES_tradnl"/>
        </w:rPr>
        <w:t>de patentes y los desafíos y experiencias en este ámbito, contribuyeron al avance de los debates sobre cuestiones de interés comú</w:t>
      </w:r>
      <w:r w:rsidR="008018CA">
        <w:rPr>
          <w:color w:val="000000"/>
          <w:lang w:val="es-ES_tradnl"/>
        </w:rPr>
        <w:t>n en el SCP.  Durante el bienio </w:t>
      </w:r>
      <w:r w:rsidRPr="00A34388">
        <w:rPr>
          <w:color w:val="000000"/>
          <w:lang w:val="es-ES_tradnl"/>
        </w:rPr>
        <w:t>2012/13, los Estados miembros presentaron varias propuestas sobre las cuestiones anteriores, lo que demuestra su compromiso por lo que respecta al proceso del SCP.  Gracias a la participación activa de los Estados miembros, los debates del Comité permitieron una concretización gradual de sus actividades.</w:t>
      </w: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r w:rsidRPr="00A34388">
        <w:rPr>
          <w:color w:val="000000"/>
          <w:lang w:val="es-ES_tradnl"/>
        </w:rPr>
        <w:t>1.3.</w:t>
      </w:r>
      <w:r w:rsidRPr="00A34388">
        <w:rPr>
          <w:lang w:val="es-ES_tradnl"/>
        </w:rPr>
        <w:tab/>
      </w:r>
      <w:r w:rsidRPr="00A34388">
        <w:rPr>
          <w:color w:val="000000"/>
          <w:lang w:val="es-ES_tradnl"/>
        </w:rPr>
        <w:t xml:space="preserve">Por lo que respecta a los tratados administrados por la OMPI en materia de patentes, en el bienio 2012/13, Samoa se adhirió al Convenio de París; </w:t>
      </w:r>
      <w:r w:rsidR="00267DA6" w:rsidRPr="00A34388">
        <w:rPr>
          <w:color w:val="000000"/>
          <w:lang w:val="es-ES_tradnl"/>
        </w:rPr>
        <w:t xml:space="preserve"> </w:t>
      </w:r>
      <w:r w:rsidRPr="00A34388">
        <w:rPr>
          <w:color w:val="000000"/>
          <w:lang w:val="es-ES_tradnl"/>
        </w:rPr>
        <w:t xml:space="preserve">Armenia, Bosnia y Herzegovina, Irlanda, la Arabia Saudita, España y los Estados Unidos de América se adhirieron al Tratado sobre el Derecho de Patentes (PLT); </w:t>
      </w:r>
      <w:r w:rsidR="00267DA6" w:rsidRPr="00A34388">
        <w:rPr>
          <w:color w:val="000000"/>
          <w:lang w:val="es-ES_tradnl"/>
        </w:rPr>
        <w:t xml:space="preserve"> </w:t>
      </w:r>
      <w:r w:rsidRPr="00A34388">
        <w:rPr>
          <w:color w:val="000000"/>
          <w:lang w:val="es-ES_tradnl"/>
        </w:rPr>
        <w:t xml:space="preserve">y </w:t>
      </w:r>
      <w:proofErr w:type="spellStart"/>
      <w:r w:rsidRPr="00A34388">
        <w:rPr>
          <w:color w:val="000000"/>
          <w:lang w:val="es-ES_tradnl"/>
        </w:rPr>
        <w:t>Bahrein</w:t>
      </w:r>
      <w:proofErr w:type="spellEnd"/>
      <w:r w:rsidRPr="00A34388">
        <w:rPr>
          <w:color w:val="000000"/>
          <w:lang w:val="es-ES_tradnl"/>
        </w:rPr>
        <w:t>, Brunei Darussalam, Panamá y Qatar se adhirieron al Tratado de Budapest.</w:t>
      </w: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r w:rsidRPr="00332758">
        <w:rPr>
          <w:lang w:val="es-ES_tradnl"/>
        </w:rPr>
        <w:t>1.4.</w:t>
      </w:r>
      <w:r w:rsidRPr="00A34388">
        <w:rPr>
          <w:lang w:val="es-ES_tradnl"/>
        </w:rPr>
        <w:tab/>
      </w:r>
      <w:r w:rsidRPr="00332758">
        <w:rPr>
          <w:lang w:val="es-ES_tradnl"/>
        </w:rPr>
        <w:t xml:space="preserve">La asistencia legislativa y política que presta la OMPI se ha basado siempre en el marco jurídico multilateral.  </w:t>
      </w:r>
      <w:r w:rsidRPr="00A34388">
        <w:rPr>
          <w:color w:val="000000"/>
          <w:lang w:val="es-ES_tradnl"/>
        </w:rPr>
        <w:t xml:space="preserve">La actividad legislativa de los Estados miembros se ha intensificado, en particular debido a su participación en los procesos regionales de integración económica y en los acuerdos comerciales preferenciales.  Por otra parte, diversos Estados miembros están revisando su </w:t>
      </w:r>
      <w:r w:rsidR="004F7424" w:rsidRPr="00A34388">
        <w:rPr>
          <w:color w:val="000000"/>
          <w:lang w:val="es-ES_tradnl"/>
        </w:rPr>
        <w:t xml:space="preserve">Derecho </w:t>
      </w:r>
      <w:r w:rsidRPr="00A34388">
        <w:rPr>
          <w:color w:val="000000"/>
          <w:lang w:val="es-ES_tradnl"/>
        </w:rPr>
        <w:t>de patentes para dar cabida a las políticas públicas locales o como consecuencia de su adhesión a tratados multilaterales en materia de patentes, en concreto el PCT, el Tratado de Budapest y el PLT.  Huelga decir que los países que se adhieren a la OMC revisan sistemáticamente su marco jurídico.  Por tanto, las solicitudes de asesoramiento en materia legislativa siguen la misma tendencia.</w:t>
      </w:r>
    </w:p>
    <w:p w:rsidR="00525604" w:rsidRPr="00A34388" w:rsidRDefault="00525604" w:rsidP="00525604">
      <w:pPr>
        <w:tabs>
          <w:tab w:val="left" w:pos="709"/>
        </w:tabs>
        <w:autoSpaceDE w:val="0"/>
        <w:autoSpaceDN w:val="0"/>
        <w:adjustRightInd w:val="0"/>
        <w:jc w:val="both"/>
        <w:rPr>
          <w:rFonts w:eastAsia="SimSun" w:cs="Arial"/>
          <w:bCs/>
          <w:color w:val="000000"/>
          <w:szCs w:val="20"/>
          <w:lang w:val="es-ES_tradnl"/>
        </w:rPr>
      </w:pPr>
    </w:p>
    <w:p w:rsidR="00525604" w:rsidRPr="00332758" w:rsidRDefault="00525604" w:rsidP="00525604">
      <w:pPr>
        <w:pStyle w:val="ListParagraph"/>
        <w:tabs>
          <w:tab w:val="left" w:pos="709"/>
        </w:tabs>
        <w:autoSpaceDE w:val="0"/>
        <w:autoSpaceDN w:val="0"/>
        <w:adjustRightInd w:val="0"/>
        <w:ind w:left="0"/>
        <w:jc w:val="both"/>
        <w:rPr>
          <w:lang w:val="es-ES_tradnl"/>
        </w:rPr>
      </w:pPr>
      <w:r w:rsidRPr="00332758">
        <w:rPr>
          <w:lang w:val="es-ES_tradnl"/>
        </w:rPr>
        <w:t>1.5.</w:t>
      </w:r>
      <w:r w:rsidRPr="00A34388">
        <w:rPr>
          <w:lang w:val="es-ES_tradnl"/>
        </w:rPr>
        <w:tab/>
      </w:r>
      <w:r w:rsidRPr="00332758">
        <w:rPr>
          <w:lang w:val="es-ES_tradnl"/>
        </w:rPr>
        <w:t>Además, durante el bienio la Secretaría continuó contribuyendo a generar una mayor conciencia de los principios jurídicos y las prácticas del sistema de patentes mediante el suministro a organizaciones intergubernamentales (OIG), organismos de las Naciones Unidas, organizaciones no gubernamentales (ONG) y otras partes, de información relevante en relación con cuestiones relativas a este programa.</w:t>
      </w:r>
    </w:p>
    <w:p w:rsidR="00525604" w:rsidRPr="00A34388" w:rsidRDefault="00525604" w:rsidP="00525604">
      <w:pPr>
        <w:tabs>
          <w:tab w:val="left" w:pos="709"/>
        </w:tabs>
        <w:autoSpaceDE w:val="0"/>
        <w:autoSpaceDN w:val="0"/>
        <w:adjustRightInd w:val="0"/>
        <w:jc w:val="both"/>
        <w:rPr>
          <w:szCs w:val="20"/>
          <w:lang w:val="es-ES_tradnl"/>
        </w:rPr>
      </w:pPr>
    </w:p>
    <w:p w:rsidR="00525604" w:rsidRPr="00A34388" w:rsidRDefault="00525604" w:rsidP="00525604">
      <w:pPr>
        <w:rPr>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autoSpaceDE w:val="0"/>
        <w:autoSpaceDN w:val="0"/>
        <w:adjustRightInd w:val="0"/>
        <w:jc w:val="both"/>
        <w:rPr>
          <w:szCs w:val="20"/>
          <w:lang w:val="es-ES_tradnl"/>
        </w:rPr>
      </w:pPr>
    </w:p>
    <w:p w:rsidR="00525604" w:rsidRPr="00A34388" w:rsidRDefault="00525604" w:rsidP="00525604">
      <w:pPr>
        <w:pStyle w:val="ListParagraph"/>
        <w:autoSpaceDE w:val="0"/>
        <w:autoSpaceDN w:val="0"/>
        <w:adjustRightInd w:val="0"/>
        <w:ind w:left="0"/>
        <w:jc w:val="both"/>
        <w:rPr>
          <w:sz w:val="22"/>
          <w:szCs w:val="22"/>
          <w:lang w:val="es-ES_tradnl"/>
        </w:rPr>
      </w:pPr>
      <w:r w:rsidRPr="00332758">
        <w:rPr>
          <w:lang w:val="es-ES_tradnl"/>
        </w:rPr>
        <w:t>1.6.</w:t>
      </w:r>
      <w:r w:rsidRPr="00A34388">
        <w:rPr>
          <w:lang w:val="es-ES_tradnl"/>
        </w:rPr>
        <w:tab/>
      </w:r>
      <w:r w:rsidRPr="00332758">
        <w:rPr>
          <w:lang w:val="es-ES_tradnl"/>
        </w:rPr>
        <w:t>El diseño, la planificación y la ejecución de las actividades del programa 1 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w:t>
      </w:r>
      <w:r w:rsidRPr="00A34388">
        <w:rPr>
          <w:lang w:val="es-ES_tradnl"/>
        </w:rPr>
        <w:t xml:space="preserve">  </w:t>
      </w:r>
      <w:r w:rsidRPr="00332758">
        <w:rPr>
          <w:lang w:val="es-ES_tradnl"/>
        </w:rPr>
        <w:t>Asimismo, se tuvieron en cuenta las flexibilidades existentes en los acuerdos internacionales sobre P.I. (recomendación 17).  Las actividades del SCP se basaron en consultas abiertas y equilibradas (recomendaciones 21 y 42) y contribuyeron a los objetivos de desarrollo de las Naciones Unidas (recomendación 22)</w:t>
      </w:r>
      <w:r w:rsidR="00537926" w:rsidRPr="00332758">
        <w:rPr>
          <w:lang w:val="es-ES_tradnl"/>
        </w:rPr>
        <w:t xml:space="preserve">. </w:t>
      </w:r>
      <w:r w:rsidR="00537926" w:rsidRPr="00A34388">
        <w:rPr>
          <w:b/>
          <w:lang w:val="es-ES_tradnl"/>
        </w:rPr>
        <w:t xml:space="preserve"> </w:t>
      </w:r>
      <w:r w:rsidRPr="00A34388">
        <w:rPr>
          <w:lang w:val="es-ES_tradnl"/>
        </w:rPr>
        <w:t>En particular, de conformidad con la recomendación 22, los documentos de trabajo del SCP abordaron cuestiones como</w:t>
      </w:r>
      <w:proofErr w:type="gramStart"/>
      <w:r w:rsidRPr="00A34388">
        <w:rPr>
          <w:lang w:val="es-ES_tradnl"/>
        </w:rPr>
        <w:t>:  i</w:t>
      </w:r>
      <w:proofErr w:type="gramEnd"/>
      <w:r w:rsidRPr="00A34388">
        <w:rPr>
          <w:lang w:val="es-ES_tradnl"/>
        </w:rPr>
        <w:t xml:space="preserve">) </w:t>
      </w:r>
      <w:r w:rsidR="0078356F" w:rsidRPr="00A34388">
        <w:rPr>
          <w:lang w:val="es-ES_tradnl"/>
        </w:rPr>
        <w:t xml:space="preserve">la </w:t>
      </w:r>
      <w:r w:rsidRPr="00A34388">
        <w:rPr>
          <w:lang w:val="es-ES_tradnl"/>
        </w:rPr>
        <w:t xml:space="preserve">transferencia de tecnología relacionada con las patentes;  y ii) </w:t>
      </w:r>
      <w:r w:rsidR="0078356F" w:rsidRPr="00A34388">
        <w:rPr>
          <w:lang w:val="es-ES_tradnl"/>
        </w:rPr>
        <w:t xml:space="preserve">las </w:t>
      </w:r>
      <w:r w:rsidRPr="00A34388">
        <w:rPr>
          <w:lang w:val="es-ES_tradnl"/>
        </w:rPr>
        <w:t>potenciales flexibilidades, excepciones y limitaciones para los Estados miembros.</w:t>
      </w:r>
    </w:p>
    <w:p w:rsidR="00525604" w:rsidRPr="00A34388" w:rsidRDefault="00525604" w:rsidP="00525604">
      <w:pPr>
        <w:autoSpaceDE w:val="0"/>
        <w:autoSpaceDN w:val="0"/>
        <w:adjustRightInd w:val="0"/>
        <w:jc w:val="both"/>
        <w:rPr>
          <w:sz w:val="22"/>
          <w:szCs w:val="22"/>
          <w:lang w:val="es-ES_tradnl"/>
        </w:rPr>
      </w:pPr>
    </w:p>
    <w:p w:rsidR="00525604" w:rsidRPr="00332758" w:rsidRDefault="00525604" w:rsidP="00525604">
      <w:pPr>
        <w:tabs>
          <w:tab w:val="left" w:pos="709"/>
        </w:tabs>
        <w:autoSpaceDE w:val="0"/>
        <w:autoSpaceDN w:val="0"/>
        <w:adjustRightInd w:val="0"/>
        <w:jc w:val="both"/>
        <w:rPr>
          <w:szCs w:val="20"/>
          <w:lang w:val="es-ES_tradnl"/>
        </w:rPr>
      </w:pPr>
      <w:r w:rsidRPr="00332758">
        <w:rPr>
          <w:sz w:val="22"/>
          <w:lang w:val="es-ES_tradnl"/>
        </w:rPr>
        <w:lastRenderedPageBreak/>
        <w:t>1.7</w:t>
      </w:r>
      <w:r w:rsidRPr="00A34388">
        <w:rPr>
          <w:lang w:val="es-ES_tradnl"/>
        </w:rPr>
        <w:tab/>
      </w:r>
      <w:r w:rsidRPr="00332758">
        <w:rPr>
          <w:szCs w:val="20"/>
          <w:lang w:val="es-ES_tradnl"/>
        </w:rPr>
        <w:t>Las actividades del programa relativas al fortalecimiento de las capacidades y la asistencia legislativa y política estuvieron orientadas a potenciar el desarrollo, obedecieron a la demanda y se llevaron a cabo conforme al calendario previsto (recomendaciones 1, 13 y 14).</w:t>
      </w:r>
    </w:p>
    <w:p w:rsidR="00525604" w:rsidRPr="00A34388" w:rsidRDefault="00525604" w:rsidP="00525604">
      <w:pPr>
        <w:tabs>
          <w:tab w:val="left" w:pos="709"/>
        </w:tabs>
        <w:autoSpaceDE w:val="0"/>
        <w:autoSpaceDN w:val="0"/>
        <w:adjustRightInd w:val="0"/>
        <w:jc w:val="both"/>
        <w:rPr>
          <w:sz w:val="22"/>
          <w:szCs w:val="22"/>
          <w:lang w:val="es-ES_tradnl"/>
        </w:rPr>
      </w:pPr>
    </w:p>
    <w:p w:rsidR="00525604" w:rsidRPr="00A34388" w:rsidRDefault="00525604" w:rsidP="00525604">
      <w:pPr>
        <w:tabs>
          <w:tab w:val="left" w:pos="709"/>
        </w:tabs>
        <w:autoSpaceDE w:val="0"/>
        <w:autoSpaceDN w:val="0"/>
        <w:adjustRightInd w:val="0"/>
        <w:jc w:val="both"/>
        <w:rPr>
          <w:sz w:val="22"/>
          <w:szCs w:val="22"/>
          <w:lang w:val="es-ES_tradnl"/>
        </w:rPr>
      </w:pPr>
      <w:r w:rsidRPr="00A34388">
        <w:rPr>
          <w:lang w:val="es-ES_tradnl"/>
        </w:rPr>
        <w:t>1.8.</w:t>
      </w:r>
      <w:r w:rsidRPr="00A34388">
        <w:rPr>
          <w:lang w:val="es-ES_tradnl"/>
        </w:rPr>
        <w:tab/>
        <w:t xml:space="preserve">Por otra parte, de conformidad con las recomendaciones 16 y 20, el programa participó en la ejecución del proyecto de la Agenda para el Desarrollo “Las patentes y el dominio público".  A este respecto, en la duodécima sesión del CDIP se presentó un estudio sobre las patentes y el dominio público </w:t>
      </w:r>
      <w:r w:rsidR="004F7424">
        <w:rPr>
          <w:lang w:val="es-ES_tradnl"/>
        </w:rPr>
        <w:t>(II</w:t>
      </w:r>
      <w:r w:rsidR="009F4808" w:rsidRPr="00A34388">
        <w:rPr>
          <w:lang w:val="es-ES_tradnl"/>
        </w:rPr>
        <w:t>)</w:t>
      </w:r>
      <w:r w:rsidRPr="00A34388">
        <w:rPr>
          <w:lang w:val="es-ES_tradnl"/>
        </w:rPr>
        <w:t>.  El programa contribuyó asimismo a la evaluación de los proyectos sobre la P.I. y el dominio público y las patentes y el dominio público.</w:t>
      </w:r>
    </w:p>
    <w:p w:rsidR="00525604" w:rsidRPr="00A34388" w:rsidRDefault="00525604" w:rsidP="00525604">
      <w:pPr>
        <w:tabs>
          <w:tab w:val="num" w:pos="680"/>
        </w:tabs>
        <w:autoSpaceDE w:val="0"/>
        <w:autoSpaceDN w:val="0"/>
        <w:adjustRightInd w:val="0"/>
        <w:jc w:val="both"/>
        <w:rPr>
          <w:sz w:val="22"/>
          <w:szCs w:val="22"/>
          <w:lang w:val="es-ES_tradnl"/>
        </w:rPr>
      </w:pPr>
    </w:p>
    <w:p w:rsidR="00525604" w:rsidRPr="00A34388" w:rsidRDefault="00525604" w:rsidP="00525604">
      <w:pPr>
        <w:tabs>
          <w:tab w:val="left" w:pos="709"/>
        </w:tabs>
        <w:autoSpaceDE w:val="0"/>
        <w:autoSpaceDN w:val="0"/>
        <w:adjustRightInd w:val="0"/>
        <w:jc w:val="both"/>
        <w:rPr>
          <w:sz w:val="22"/>
          <w:szCs w:val="22"/>
          <w:lang w:val="es-ES_tradnl"/>
        </w:rPr>
      </w:pPr>
      <w:r w:rsidRPr="00A34388">
        <w:rPr>
          <w:lang w:val="es-ES_tradnl"/>
        </w:rPr>
        <w:t>1.9.</w:t>
      </w:r>
      <w:r w:rsidRPr="00A34388">
        <w:rPr>
          <w:lang w:val="es-ES_tradnl"/>
        </w:rPr>
        <w:tab/>
        <w:t>Además, el programa presentó en la novena sesión del CDIP un documento relativo al Programa de trabajo sobre las flexibilidades del sistema de propiedad intelectual – Nuevos elementos propuestos en la octava sesión del CDIP (CDIP/9/11)</w:t>
      </w:r>
      <w:r w:rsidR="00537926" w:rsidRPr="00A34388">
        <w:rPr>
          <w:lang w:val="es-ES_tradnl"/>
        </w:rPr>
        <w:t xml:space="preserve">. </w:t>
      </w:r>
      <w:r w:rsidRPr="00A34388">
        <w:rPr>
          <w:lang w:val="es-ES_tradnl"/>
        </w:rPr>
        <w:t xml:space="preserve"> El Comité elaboró y debatió, en su undécima y duodécima sesiones, documentos que contenían información sobre cuatro cuestiones relativas a las flexibilidades en materia de patentes (CDIP/10/11 y CDIP/10/11 </w:t>
      </w:r>
      <w:proofErr w:type="spellStart"/>
      <w:r w:rsidRPr="00A34388">
        <w:rPr>
          <w:lang w:val="es-ES_tradnl"/>
        </w:rPr>
        <w:t>Add</w:t>
      </w:r>
      <w:proofErr w:type="spellEnd"/>
      <w:r w:rsidRPr="00A34388">
        <w:rPr>
          <w:lang w:val="es-ES_tradnl"/>
        </w:rPr>
        <w:t>.).</w:t>
      </w:r>
    </w:p>
    <w:p w:rsidR="00525604" w:rsidRPr="00A34388" w:rsidRDefault="00525604" w:rsidP="00525604">
      <w:pPr>
        <w:tabs>
          <w:tab w:val="num" w:pos="680"/>
        </w:tabs>
        <w:autoSpaceDE w:val="0"/>
        <w:autoSpaceDN w:val="0"/>
        <w:adjustRightInd w:val="0"/>
        <w:jc w:val="both"/>
        <w:rPr>
          <w:sz w:val="22"/>
          <w:szCs w:val="22"/>
          <w:lang w:val="es-ES_tradnl"/>
        </w:rPr>
      </w:pPr>
    </w:p>
    <w:p w:rsidR="00525604" w:rsidRPr="00A34388" w:rsidRDefault="00525604" w:rsidP="00525604">
      <w:pPr>
        <w:tabs>
          <w:tab w:val="left" w:pos="709"/>
        </w:tabs>
        <w:autoSpaceDE w:val="0"/>
        <w:autoSpaceDN w:val="0"/>
        <w:adjustRightInd w:val="0"/>
        <w:jc w:val="both"/>
        <w:rPr>
          <w:sz w:val="22"/>
          <w:szCs w:val="22"/>
          <w:lang w:val="es-ES_tradnl"/>
        </w:rPr>
      </w:pPr>
      <w:r w:rsidRPr="00A34388">
        <w:rPr>
          <w:lang w:val="es-ES_tradnl"/>
        </w:rPr>
        <w:t>1.10.</w:t>
      </w:r>
      <w:r w:rsidRPr="00A34388">
        <w:rPr>
          <w:lang w:val="es-ES_tradnl"/>
        </w:rPr>
        <w:tab/>
        <w:t xml:space="preserve">El programa también realizó actividades orientadas a fomentar la </w:t>
      </w:r>
      <w:r w:rsidR="00284400" w:rsidRPr="00A34388">
        <w:rPr>
          <w:lang w:val="es-ES_tradnl"/>
        </w:rPr>
        <w:t>sensibilización</w:t>
      </w:r>
      <w:r w:rsidRPr="00A34388">
        <w:rPr>
          <w:lang w:val="es-ES_tradnl"/>
        </w:rPr>
        <w:t xml:space="preserve"> por lo que respecta a la aplicación práctica de las flexibilidades en el plano nacional</w:t>
      </w:r>
      <w:r w:rsidR="00537926" w:rsidRPr="00A34388">
        <w:rPr>
          <w:lang w:val="es-ES_tradnl"/>
        </w:rPr>
        <w:t xml:space="preserve">. </w:t>
      </w:r>
      <w:r w:rsidRPr="00A34388">
        <w:rPr>
          <w:lang w:val="es-ES_tradnl"/>
        </w:rPr>
        <w:t xml:space="preserve"> A este respecto, en 2013 se organizó el Seminario Regional de la OMPI para determinados Países de África sobre la Aplicación y Utilización de varias Flexibilidades relativas a las Patentes, celebrado en </w:t>
      </w:r>
      <w:proofErr w:type="spellStart"/>
      <w:r w:rsidRPr="00A34388">
        <w:rPr>
          <w:lang w:val="es-ES_tradnl"/>
        </w:rPr>
        <w:t>Durban</w:t>
      </w:r>
      <w:proofErr w:type="spellEnd"/>
      <w:r w:rsidRPr="00A34388">
        <w:rPr>
          <w:lang w:val="es-ES_tradnl"/>
        </w:rPr>
        <w:t xml:space="preserve"> (Sudáfrica), y el Seminario para determinados Países del Cáucaso, Asia Central y Europa Oriental</w:t>
      </w:r>
      <w:r w:rsidR="00824743" w:rsidRPr="00A34388">
        <w:rPr>
          <w:lang w:val="es-ES_tradnl"/>
        </w:rPr>
        <w:t>,</w:t>
      </w:r>
      <w:r w:rsidRPr="00A34388">
        <w:rPr>
          <w:lang w:val="es-ES_tradnl"/>
        </w:rPr>
        <w:t xml:space="preserve"> </w:t>
      </w:r>
      <w:r w:rsidR="00824743" w:rsidRPr="00A34388">
        <w:rPr>
          <w:lang w:val="es-ES_tradnl"/>
        </w:rPr>
        <w:t>y P</w:t>
      </w:r>
      <w:r w:rsidRPr="00A34388">
        <w:rPr>
          <w:lang w:val="es-ES_tradnl"/>
        </w:rPr>
        <w:t>aíses de Europa Central, el Báltico y el Mediterráneo sobre la Aplicación y Utilización de varias Flexibilidades relativas a las Patentes, celebrado en Astan</w:t>
      </w:r>
      <w:r w:rsidR="0078356F" w:rsidRPr="00A34388">
        <w:rPr>
          <w:lang w:val="es-ES_tradnl"/>
        </w:rPr>
        <w:t>á</w:t>
      </w:r>
      <w:r w:rsidRPr="00A34388">
        <w:rPr>
          <w:lang w:val="es-ES_tradnl"/>
        </w:rPr>
        <w:t>, Kazajstán.</w:t>
      </w:r>
    </w:p>
    <w:p w:rsidR="00525604" w:rsidRPr="00A34388" w:rsidRDefault="00525604" w:rsidP="00525604">
      <w:pPr>
        <w:rPr>
          <w:rFonts w:cs="Arial"/>
          <w:bCs/>
          <w:szCs w:val="20"/>
          <w:lang w:val="es-ES_tradnl"/>
        </w:rPr>
      </w:pPr>
    </w:p>
    <w:p w:rsidR="00525604" w:rsidRPr="00A34388" w:rsidRDefault="00525604" w:rsidP="00525604">
      <w:pPr>
        <w:jc w:val="both"/>
        <w:rPr>
          <w:rFonts w:cs="Arial"/>
          <w:szCs w:val="20"/>
          <w:lang w:val="es-ES_tradnl"/>
        </w:rPr>
      </w:pPr>
    </w:p>
    <w:p w:rsidR="00525604" w:rsidRPr="00A34388" w:rsidRDefault="00525604" w:rsidP="00525604">
      <w:pPr>
        <w:jc w:val="both"/>
        <w:rPr>
          <w:rFonts w:cs="Arial"/>
          <w:sz w:val="22"/>
          <w:szCs w:val="22"/>
          <w:lang w:val="es-ES_tradnl"/>
        </w:rPr>
      </w:pPr>
      <w:r w:rsidRPr="00332758">
        <w:rPr>
          <w:sz w:val="22"/>
          <w:lang w:val="es-ES_tradnl"/>
        </w:rPr>
        <w:t>DATOS SOBRE EL RENDIMIENTO</w:t>
      </w:r>
    </w:p>
    <w:p w:rsidR="00525604" w:rsidRPr="00A34388" w:rsidRDefault="00525604" w:rsidP="00525604">
      <w:pPr>
        <w:rPr>
          <w:b/>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0"/>
        <w:gridCol w:w="1763"/>
        <w:gridCol w:w="1583"/>
        <w:gridCol w:w="3391"/>
        <w:gridCol w:w="1070"/>
      </w:tblGrid>
      <w:tr w:rsidR="00525604" w:rsidRPr="00E94BEA"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525604" w:rsidRPr="00A34388" w:rsidTr="00853209">
        <w:tc>
          <w:tcPr>
            <w:tcW w:w="819"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59"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63"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829"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531"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sz w:val="16"/>
                <w:szCs w:val="16"/>
                <w:lang w:val="es-ES_tradnl"/>
              </w:rPr>
            </w:pPr>
            <w:r w:rsidRPr="00332758">
              <w:rPr>
                <w:b/>
                <w:sz w:val="16"/>
                <w:lang w:val="es-ES_tradnl"/>
              </w:rPr>
              <w:t>Clave de colores</w:t>
            </w:r>
          </w:p>
        </w:tc>
      </w:tr>
      <w:tr w:rsidR="00525604" w:rsidRPr="00A34388" w:rsidTr="00853209">
        <w:tc>
          <w:tcPr>
            <w:tcW w:w="819"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Progresos en la puesta en práctica de medidas/planes concertados por el SCP.</w:t>
            </w:r>
          </w:p>
        </w:tc>
        <w:tc>
          <w:tcPr>
            <w:tcW w:w="959" w:type="pct"/>
            <w:tcBorders>
              <w:bottom w:val="single" w:sz="4" w:space="0" w:color="auto"/>
            </w:tcBorders>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Referencia actualizada</w:t>
            </w:r>
            <w:r w:rsidRPr="00A34388">
              <w:rPr>
                <w:rFonts w:cs="Arial"/>
                <w:i/>
                <w:color w:val="002060"/>
                <w:sz w:val="16"/>
                <w:szCs w:val="16"/>
                <w:lang w:val="es-ES_tradnl"/>
              </w:rPr>
              <w:br/>
            </w:r>
            <w:r w:rsidRPr="00A34388">
              <w:rPr>
                <w:i/>
                <w:color w:val="002060"/>
                <w:sz w:val="16"/>
                <w:lang w:val="es-ES_tradnl"/>
              </w:rPr>
              <w:t xml:space="preserve">a finales de 2011:  </w:t>
            </w:r>
            <w:r w:rsidRPr="00A34388">
              <w:rPr>
                <w:color w:val="002060"/>
                <w:sz w:val="16"/>
                <w:lang w:val="es-ES_tradnl"/>
              </w:rPr>
              <w:t>En su decimoséptima sesión, el SCP convino en proseguir la labor en cinco ámbitos (diciembre de 2011)</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 xml:space="preserve">Referencia original </w:t>
            </w:r>
            <w:r w:rsidRPr="00A34388">
              <w:rPr>
                <w:rFonts w:cs="Arial"/>
                <w:i/>
                <w:sz w:val="16"/>
                <w:szCs w:val="16"/>
                <w:lang w:val="es-ES_tradnl"/>
              </w:rPr>
              <w:br/>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xml:space="preserve">. 2012/13: </w:t>
            </w:r>
            <w:r w:rsidR="007E4D96" w:rsidRPr="00A34388">
              <w:rPr>
                <w:i/>
                <w:sz w:val="16"/>
                <w:lang w:val="es-ES_tradnl"/>
              </w:rPr>
              <w:t xml:space="preserve"> </w:t>
            </w:r>
            <w:r w:rsidRPr="00A34388">
              <w:rPr>
                <w:sz w:val="16"/>
                <w:lang w:val="es-ES_tradnl"/>
              </w:rPr>
              <w:t xml:space="preserve">En su decimoquinta sesión, el SCP </w:t>
            </w:r>
            <w:r w:rsidR="0078356F" w:rsidRPr="00A34388">
              <w:rPr>
                <w:sz w:val="16"/>
                <w:lang w:val="es-ES_tradnl"/>
              </w:rPr>
              <w:t xml:space="preserve">acordó </w:t>
            </w:r>
            <w:r w:rsidRPr="00A34388">
              <w:rPr>
                <w:sz w:val="16"/>
                <w:lang w:val="es-ES_tradnl"/>
              </w:rPr>
              <w:t>su labor futura en cinco ámbitos (15 de octubre de 2010)</w:t>
            </w:r>
          </w:p>
          <w:p w:rsidR="00525604" w:rsidRPr="00A34388" w:rsidRDefault="00525604" w:rsidP="00853209">
            <w:pPr>
              <w:rPr>
                <w:rFonts w:cs="Arial"/>
                <w:sz w:val="16"/>
                <w:szCs w:val="16"/>
                <w:lang w:val="es-ES_tradnl"/>
              </w:rPr>
            </w:pPr>
          </w:p>
        </w:tc>
        <w:tc>
          <w:tcPr>
            <w:tcW w:w="863"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Progresos en</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cuestiones de interés</w:t>
            </w:r>
          </w:p>
          <w:p w:rsidR="00525604" w:rsidRPr="00A34388" w:rsidRDefault="00525604" w:rsidP="00853209">
            <w:pPr>
              <w:rPr>
                <w:rFonts w:cs="Arial"/>
                <w:i/>
                <w:sz w:val="16"/>
                <w:szCs w:val="16"/>
                <w:lang w:val="es-ES_tradnl"/>
              </w:rPr>
            </w:pPr>
            <w:r w:rsidRPr="00A34388">
              <w:rPr>
                <w:sz w:val="16"/>
                <w:lang w:val="es-ES_tradnl"/>
              </w:rPr>
              <w:t>común en el marco del SCP</w:t>
            </w:r>
          </w:p>
        </w:tc>
        <w:tc>
          <w:tcPr>
            <w:tcW w:w="1829" w:type="pct"/>
            <w:tcBorders>
              <w:bottom w:val="single" w:sz="4" w:space="0" w:color="auto"/>
            </w:tcBorders>
            <w:shd w:val="clear" w:color="auto" w:fill="FFFFFF"/>
            <w:tcMar>
              <w:top w:w="110" w:type="dxa"/>
            </w:tcMar>
          </w:tcPr>
          <w:p w:rsidR="00525604" w:rsidRPr="00A34388" w:rsidRDefault="00525604" w:rsidP="004F7424">
            <w:pPr>
              <w:rPr>
                <w:rFonts w:cs="Arial"/>
                <w:sz w:val="16"/>
                <w:szCs w:val="16"/>
                <w:lang w:val="es-ES_tradnl"/>
              </w:rPr>
            </w:pPr>
            <w:r w:rsidRPr="00A34388">
              <w:rPr>
                <w:sz w:val="16"/>
                <w:lang w:val="es-ES_tradnl"/>
              </w:rPr>
              <w:t xml:space="preserve">El SCP ha concentrado sus esfuerzos en avanzar en cinco cuestiones de su orden del día y ha conseguido progresar en sus debates, por ejemplo, gracias a la recopilación de información a través de un cuestionario, la elaboración de estudios y el intercambio </w:t>
            </w:r>
            <w:r w:rsidR="004F7424">
              <w:rPr>
                <w:sz w:val="16"/>
                <w:lang w:val="es-ES_tradnl"/>
              </w:rPr>
              <w:t xml:space="preserve">de </w:t>
            </w:r>
            <w:r w:rsidRPr="00A34388">
              <w:rPr>
                <w:sz w:val="16"/>
                <w:lang w:val="es-ES_tradnl"/>
              </w:rPr>
              <w:t>experiencias y prácticas nacionales entre los Estados miembros.</w:t>
            </w:r>
          </w:p>
        </w:tc>
        <w:tc>
          <w:tcPr>
            <w:tcW w:w="531" w:type="pct"/>
            <w:tcBorders>
              <w:bottom w:val="single" w:sz="4" w:space="0" w:color="auto"/>
            </w:tcBorders>
            <w:shd w:val="clear" w:color="auto" w:fill="auto"/>
            <w:tcMar>
              <w:top w:w="110" w:type="dxa"/>
            </w:tcMar>
          </w:tcPr>
          <w:p w:rsidR="00525604" w:rsidRPr="00A34388" w:rsidRDefault="00525604" w:rsidP="00853209">
            <w:pPr>
              <w:keepNext/>
              <w:keepLines/>
              <w:spacing w:after="240"/>
              <w:jc w:val="center"/>
              <w:rPr>
                <w:rFonts w:cs="Arial"/>
                <w:color w:val="10862C"/>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E94BEA"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Cs/>
                <w:sz w:val="16"/>
                <w:szCs w:val="16"/>
                <w:lang w:val="es-ES_tradnl"/>
              </w:rPr>
            </w:pPr>
            <w:r w:rsidRPr="00332758">
              <w:rPr>
                <w:b/>
                <w:sz w:val="16"/>
                <w:lang w:val="es-ES_tradnl"/>
              </w:rPr>
              <w:t>Resultado previsto</w:t>
            </w:r>
            <w:proofErr w:type="gramStart"/>
            <w:r w:rsidRPr="00332758">
              <w:rPr>
                <w:b/>
                <w:sz w:val="16"/>
                <w:lang w:val="es-ES_tradnl"/>
              </w:rPr>
              <w:t>:</w:t>
            </w:r>
            <w:r w:rsidRPr="00332758">
              <w:rPr>
                <w:sz w:val="16"/>
                <w:lang w:val="es-ES_tradnl"/>
              </w:rPr>
              <w:t xml:space="preserve">  Marcos</w:t>
            </w:r>
            <w:proofErr w:type="gramEnd"/>
            <w:r w:rsidRPr="00332758">
              <w:rPr>
                <w:sz w:val="16"/>
                <w:lang w:val="es-ES_tradnl"/>
              </w:rPr>
              <w:t xml:space="preserve"> de P.I. adaptados y equilibrados en el ámbito legislativo, reglamentario y de política.  </w:t>
            </w:r>
          </w:p>
        </w:tc>
      </w:tr>
      <w:tr w:rsidR="00525604" w:rsidRPr="00A34388" w:rsidTr="00853209">
        <w:tc>
          <w:tcPr>
            <w:tcW w:w="819"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59"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63"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829" w:type="pct"/>
            <w:tcBorders>
              <w:top w:val="single" w:sz="4" w:space="0" w:color="auto"/>
            </w:tcBorders>
            <w:shd w:val="clear" w:color="auto" w:fill="auto"/>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531"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sz w:val="16"/>
                <w:szCs w:val="16"/>
                <w:lang w:val="es-ES_tradnl"/>
              </w:rPr>
            </w:pPr>
            <w:r w:rsidRPr="00332758">
              <w:rPr>
                <w:b/>
                <w:sz w:val="16"/>
                <w:lang w:val="es-ES_tradnl"/>
              </w:rPr>
              <w:t>Clave de colores</w:t>
            </w:r>
          </w:p>
        </w:tc>
      </w:tr>
      <w:tr w:rsidR="00525604" w:rsidRPr="00A34388" w:rsidTr="00853209">
        <w:tc>
          <w:tcPr>
            <w:tcW w:w="819" w:type="pct"/>
            <w:shd w:val="clear" w:color="auto" w:fill="FFFFFF"/>
          </w:tcPr>
          <w:p w:rsidR="00525604" w:rsidRPr="00A34388" w:rsidRDefault="00525604" w:rsidP="00853209">
            <w:pPr>
              <w:rPr>
                <w:rFonts w:cs="Arial"/>
                <w:sz w:val="16"/>
                <w:szCs w:val="16"/>
                <w:lang w:val="es-ES_tradnl"/>
              </w:rPr>
            </w:pPr>
            <w:r w:rsidRPr="00332758">
              <w:rPr>
                <w:sz w:val="16"/>
                <w:lang w:val="es-ES_tradnl"/>
              </w:rPr>
              <w:t xml:space="preserve">Índole y número de veces que se prestó asesoramiento en el ámbito legislativo a los Estados miembros en relación con las patentes, los modelos de utilidad, los </w:t>
            </w:r>
            <w:r w:rsidRPr="00332758">
              <w:rPr>
                <w:sz w:val="16"/>
                <w:lang w:val="es-ES_tradnl"/>
              </w:rPr>
              <w:lastRenderedPageBreak/>
              <w:t>secretos comerciales y los circuitos integrados.</w:t>
            </w:r>
          </w:p>
        </w:tc>
        <w:tc>
          <w:tcPr>
            <w:tcW w:w="959"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lastRenderedPageBreak/>
              <w:t>Referencia actualizada</w:t>
            </w:r>
            <w:r w:rsidRPr="00A34388">
              <w:rPr>
                <w:rFonts w:cs="Arial"/>
                <w:i/>
                <w:color w:val="002060"/>
                <w:sz w:val="16"/>
                <w:szCs w:val="16"/>
                <w:lang w:val="es-ES_tradnl"/>
              </w:rPr>
              <w:br/>
            </w:r>
            <w:r w:rsidRPr="00A34388">
              <w:rPr>
                <w:i/>
                <w:color w:val="002060"/>
                <w:sz w:val="16"/>
                <w:lang w:val="es-ES_tradnl"/>
              </w:rPr>
              <w:t>a finales de 2011</w:t>
            </w:r>
            <w:proofErr w:type="gramStart"/>
            <w:r w:rsidRPr="00A34388">
              <w:rPr>
                <w:i/>
                <w:color w:val="002060"/>
                <w:sz w:val="16"/>
                <w:lang w:val="es-ES_tradnl"/>
              </w:rPr>
              <w:t xml:space="preserve">:  </w:t>
            </w:r>
            <w:r w:rsidRPr="00A34388">
              <w:rPr>
                <w:color w:val="002060"/>
                <w:sz w:val="16"/>
                <w:lang w:val="es-ES_tradnl"/>
              </w:rPr>
              <w:t>En</w:t>
            </w:r>
            <w:proofErr w:type="gramEnd"/>
            <w:r w:rsidRPr="00A34388">
              <w:rPr>
                <w:color w:val="002060"/>
                <w:sz w:val="16"/>
                <w:lang w:val="es-ES_tradnl"/>
              </w:rPr>
              <w:t xml:space="preserve"> 2011 se </w:t>
            </w:r>
            <w:r w:rsidR="00FB51F1" w:rsidRPr="00A34388">
              <w:rPr>
                <w:color w:val="002060"/>
                <w:sz w:val="16"/>
                <w:lang w:val="es-ES_tradnl"/>
              </w:rPr>
              <w:t xml:space="preserve">proporcionaron </w:t>
            </w:r>
            <w:r w:rsidRPr="00A34388">
              <w:rPr>
                <w:color w:val="002060"/>
                <w:sz w:val="16"/>
                <w:lang w:val="es-ES_tradnl"/>
              </w:rPr>
              <w:t>1</w:t>
            </w:r>
            <w:r w:rsidR="002A7E3D">
              <w:rPr>
                <w:color w:val="002060"/>
                <w:sz w:val="16"/>
                <w:lang w:val="es-ES_tradnl"/>
              </w:rPr>
              <w:t>0</w:t>
            </w:r>
            <w:r w:rsidRPr="00A34388">
              <w:rPr>
                <w:color w:val="002060"/>
                <w:sz w:val="16"/>
                <w:lang w:val="es-ES_tradnl"/>
              </w:rPr>
              <w:t xml:space="preserve"> comentarios </w:t>
            </w:r>
            <w:r w:rsidR="00FB51F1" w:rsidRPr="00A34388">
              <w:rPr>
                <w:color w:val="002060"/>
                <w:sz w:val="16"/>
                <w:lang w:val="es-ES_tradnl"/>
              </w:rPr>
              <w:t xml:space="preserve">por escrito </w:t>
            </w:r>
            <w:r w:rsidRPr="00A34388">
              <w:rPr>
                <w:color w:val="002060"/>
                <w:sz w:val="16"/>
                <w:lang w:val="es-ES_tradnl"/>
              </w:rPr>
              <w:t xml:space="preserve">a los Estados miembros. </w:t>
            </w:r>
            <w:r w:rsidR="00537926" w:rsidRPr="00A34388">
              <w:rPr>
                <w:color w:val="002060"/>
                <w:sz w:val="16"/>
                <w:lang w:val="es-ES_tradnl"/>
              </w:rPr>
              <w:t xml:space="preserve"> </w:t>
            </w:r>
            <w:r w:rsidRPr="00A34388">
              <w:rPr>
                <w:color w:val="002060"/>
                <w:sz w:val="16"/>
                <w:lang w:val="es-ES_tradnl"/>
              </w:rPr>
              <w:t xml:space="preserve">Además, se organizaron 8 </w:t>
            </w:r>
            <w:r w:rsidR="00FB51F1" w:rsidRPr="00A34388">
              <w:rPr>
                <w:color w:val="002060"/>
                <w:sz w:val="16"/>
                <w:lang w:val="es-ES_tradnl"/>
              </w:rPr>
              <w:t xml:space="preserve">actividades con el fin de </w:t>
            </w:r>
            <w:r w:rsidRPr="00A34388">
              <w:rPr>
                <w:color w:val="002060"/>
                <w:sz w:val="16"/>
                <w:lang w:val="es-ES_tradnl"/>
              </w:rPr>
              <w:t xml:space="preserve">debatir, revisar y </w:t>
            </w:r>
            <w:r w:rsidRPr="00334845">
              <w:rPr>
                <w:color w:val="002060"/>
                <w:sz w:val="16"/>
                <w:lang w:val="es-ES_tradnl"/>
              </w:rPr>
              <w:lastRenderedPageBreak/>
              <w:t xml:space="preserve">redactar </w:t>
            </w:r>
            <w:r w:rsidRPr="00A34388">
              <w:rPr>
                <w:color w:val="002060"/>
                <w:sz w:val="16"/>
                <w:lang w:val="es-ES_tradnl"/>
              </w:rPr>
              <w:t>textos jurídicos o analizar opciones de política.</w:t>
            </w:r>
            <w:r w:rsidRPr="00A34388">
              <w:rPr>
                <w:i/>
                <w:color w:val="002060"/>
                <w:sz w:val="16"/>
                <w:lang w:val="es-ES_tradnl"/>
              </w:rPr>
              <w:t xml:space="preserve"> </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 xml:space="preserve">Referencia original </w:t>
            </w:r>
            <w:r w:rsidRPr="00A34388">
              <w:rPr>
                <w:rFonts w:cs="Arial"/>
                <w:i/>
                <w:sz w:val="16"/>
                <w:szCs w:val="16"/>
                <w:lang w:val="es-ES_tradnl"/>
              </w:rPr>
              <w:br/>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roofErr w:type="gramStart"/>
            <w:r w:rsidRPr="00A34388">
              <w:rPr>
                <w:i/>
                <w:sz w:val="16"/>
                <w:lang w:val="es-ES_tradnl"/>
              </w:rPr>
              <w:t xml:space="preserve">: </w:t>
            </w:r>
            <w:r w:rsidR="00FB51F1" w:rsidRPr="00A34388">
              <w:rPr>
                <w:i/>
                <w:sz w:val="16"/>
                <w:lang w:val="es-ES_tradnl"/>
              </w:rPr>
              <w:t xml:space="preserve"> </w:t>
            </w:r>
            <w:r w:rsidRPr="00A34388">
              <w:rPr>
                <w:sz w:val="16"/>
                <w:lang w:val="es-ES_tradnl"/>
              </w:rPr>
              <w:t>En</w:t>
            </w:r>
            <w:proofErr w:type="gramEnd"/>
            <w:r w:rsidRPr="00A34388">
              <w:rPr>
                <w:sz w:val="16"/>
                <w:lang w:val="es-ES_tradnl"/>
              </w:rPr>
              <w:t xml:space="preserve"> 2010, se </w:t>
            </w:r>
            <w:r w:rsidR="00FB51F1" w:rsidRPr="00A34388">
              <w:rPr>
                <w:sz w:val="16"/>
                <w:lang w:val="es-ES_tradnl"/>
              </w:rPr>
              <w:t xml:space="preserve">proporcionaron </w:t>
            </w:r>
            <w:r w:rsidRPr="00A34388">
              <w:rPr>
                <w:sz w:val="16"/>
                <w:lang w:val="es-ES_tradnl"/>
              </w:rPr>
              <w:t>12 comentarios a los Estados miembros.</w:t>
            </w:r>
          </w:p>
          <w:p w:rsidR="00525604" w:rsidRPr="00A34388" w:rsidRDefault="00525604" w:rsidP="00853209">
            <w:pPr>
              <w:keepNext/>
              <w:keepLines/>
              <w:rPr>
                <w:rFonts w:cs="Arial"/>
                <w:sz w:val="16"/>
                <w:szCs w:val="16"/>
                <w:lang w:val="es-ES_tradnl"/>
              </w:rPr>
            </w:pPr>
          </w:p>
        </w:tc>
        <w:tc>
          <w:tcPr>
            <w:tcW w:w="863"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lastRenderedPageBreak/>
              <w:t xml:space="preserve">25 comentarios sobre proyectos preparados por los Estados miembros y 10 proyectos de ley redactados por la Secretaría </w:t>
            </w:r>
          </w:p>
        </w:tc>
        <w:tc>
          <w:tcPr>
            <w:tcW w:w="1829"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Se </w:t>
            </w:r>
            <w:r w:rsidR="00FB51F1" w:rsidRPr="00A34388">
              <w:rPr>
                <w:sz w:val="16"/>
                <w:lang w:val="es-ES_tradnl"/>
              </w:rPr>
              <w:t xml:space="preserve">proporcionaron </w:t>
            </w:r>
            <w:r w:rsidRPr="00A34388">
              <w:rPr>
                <w:sz w:val="16"/>
                <w:lang w:val="es-ES_tradnl"/>
              </w:rPr>
              <w:t>19 comentarios por escrito/proyectos de ley sobre patentes a los Estados miembros</w:t>
            </w:r>
          </w:p>
          <w:p w:rsidR="00525604" w:rsidRPr="00A34388" w:rsidRDefault="00525604" w:rsidP="00853209">
            <w:pPr>
              <w:rPr>
                <w:rFonts w:cs="Arial"/>
                <w:sz w:val="16"/>
                <w:szCs w:val="16"/>
                <w:lang w:val="es-ES_tradnl"/>
              </w:rPr>
            </w:pPr>
            <w:r w:rsidRPr="00A34388">
              <w:rPr>
                <w:sz w:val="16"/>
                <w:lang w:val="es-ES_tradnl"/>
              </w:rPr>
              <w:t xml:space="preserve">(África 3;  Asia y el Pacífico 9;  América Latina y el Caribe 6;  otros 1).  </w:t>
            </w:r>
          </w:p>
          <w:p w:rsidR="00525604" w:rsidRPr="00A34388" w:rsidRDefault="00525604" w:rsidP="00853209">
            <w:pPr>
              <w:rPr>
                <w:rFonts w:cs="Arial"/>
                <w:sz w:val="16"/>
                <w:szCs w:val="16"/>
                <w:lang w:val="es-ES_tradnl"/>
              </w:rPr>
            </w:pPr>
            <w:r w:rsidRPr="00A34388">
              <w:rPr>
                <w:sz w:val="16"/>
                <w:lang w:val="es-ES_tradnl"/>
              </w:rPr>
              <w:t>Además, con el fin de debatir, revisar y redactar textos jurídicos o analizar opciones de política, se organizó un creciente número de consultas con las autoridades y otros sectores interesados (África 4;  Asia y el Pacífico 9;  América Latina y el Caribe 7).</w:t>
            </w:r>
          </w:p>
        </w:tc>
        <w:tc>
          <w:tcPr>
            <w:tcW w:w="531" w:type="pct"/>
            <w:shd w:val="clear" w:color="auto" w:fill="auto"/>
            <w:tcMar>
              <w:top w:w="110" w:type="dxa"/>
            </w:tcMar>
          </w:tcPr>
          <w:p w:rsidR="00525604" w:rsidRPr="00A34388" w:rsidRDefault="00525604" w:rsidP="00853209">
            <w:pPr>
              <w:keepNext/>
              <w:keepLines/>
              <w:spacing w:after="240"/>
              <w:jc w:val="center"/>
              <w:rPr>
                <w:rFonts w:cs="Arial"/>
                <w:color w:val="00B05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E94BEA"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Cs/>
                <w:sz w:val="16"/>
                <w:szCs w:val="16"/>
                <w:lang w:val="es-ES_tradnl"/>
              </w:rPr>
            </w:pPr>
            <w:r w:rsidRPr="00332758">
              <w:rPr>
                <w:b/>
                <w:sz w:val="16"/>
                <w:lang w:val="es-ES_tradnl"/>
              </w:rPr>
              <w:lastRenderedPageBreak/>
              <w:t>Resultado previsto</w:t>
            </w:r>
            <w:proofErr w:type="gramStart"/>
            <w:r w:rsidRPr="00332758">
              <w:rPr>
                <w:b/>
                <w:sz w:val="16"/>
                <w:lang w:val="es-ES_tradnl"/>
              </w:rPr>
              <w:t>:</w:t>
            </w:r>
            <w:r w:rsidRPr="00332758">
              <w:rPr>
                <w:sz w:val="16"/>
                <w:lang w:val="es-ES_tradnl"/>
              </w:rPr>
              <w:t xml:space="preserve">  Marcos</w:t>
            </w:r>
            <w:proofErr w:type="gramEnd"/>
            <w:r w:rsidRPr="00332758">
              <w:rPr>
                <w:sz w:val="16"/>
                <w:lang w:val="es-ES_tradnl"/>
              </w:rPr>
              <w:t xml:space="preserve"> de P.I. adaptados y equilibrados en el ámbito legislativo, reglamentario y de política.  </w:t>
            </w:r>
          </w:p>
        </w:tc>
      </w:tr>
      <w:tr w:rsidR="00525604" w:rsidRPr="00A34388" w:rsidTr="00853209">
        <w:tc>
          <w:tcPr>
            <w:tcW w:w="819" w:type="pct"/>
            <w:tcBorders>
              <w:top w:val="single" w:sz="4" w:space="0" w:color="auto"/>
            </w:tcBorders>
            <w:shd w:val="clear" w:color="auto" w:fill="auto"/>
            <w:vAlign w:val="center"/>
          </w:tcPr>
          <w:p w:rsidR="00525604" w:rsidRPr="00A34388" w:rsidRDefault="00525604" w:rsidP="00853209">
            <w:pPr>
              <w:keepNext/>
              <w:keepLines/>
              <w:rPr>
                <w:rFonts w:cs="Arial"/>
                <w:sz w:val="16"/>
                <w:szCs w:val="16"/>
                <w:lang w:val="es-ES_tradnl"/>
              </w:rPr>
            </w:pPr>
            <w:r w:rsidRPr="00A34388">
              <w:rPr>
                <w:b/>
                <w:color w:val="000000"/>
                <w:sz w:val="16"/>
                <w:lang w:val="es-ES_tradnl"/>
              </w:rPr>
              <w:t>Indicadores de rendimiento</w:t>
            </w:r>
          </w:p>
        </w:tc>
        <w:tc>
          <w:tcPr>
            <w:tcW w:w="959" w:type="pct"/>
            <w:tcBorders>
              <w:top w:val="single" w:sz="4" w:space="0" w:color="auto"/>
            </w:tcBorders>
            <w:shd w:val="clear" w:color="auto" w:fill="auto"/>
            <w:vAlign w:val="center"/>
          </w:tcPr>
          <w:p w:rsidR="00525604" w:rsidRPr="00A34388" w:rsidRDefault="00525604" w:rsidP="00853209">
            <w:pPr>
              <w:keepNext/>
              <w:keepLines/>
              <w:rPr>
                <w:rFonts w:cs="Arial"/>
                <w:b/>
                <w:bCs/>
                <w:sz w:val="16"/>
                <w:szCs w:val="16"/>
                <w:lang w:val="es-ES_tradnl"/>
              </w:rPr>
            </w:pPr>
            <w:r w:rsidRPr="00A34388">
              <w:rPr>
                <w:b/>
                <w:color w:val="000000"/>
                <w:sz w:val="16"/>
                <w:lang w:val="es-ES_tradnl"/>
              </w:rPr>
              <w:t>Referencia</w:t>
            </w:r>
          </w:p>
        </w:tc>
        <w:tc>
          <w:tcPr>
            <w:tcW w:w="863"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b/>
                <w:sz w:val="16"/>
                <w:szCs w:val="16"/>
                <w:lang w:val="es-ES_tradnl"/>
              </w:rPr>
            </w:pPr>
            <w:r w:rsidRPr="00A34388">
              <w:rPr>
                <w:b/>
                <w:color w:val="000000"/>
                <w:sz w:val="16"/>
                <w:lang w:val="es-ES_tradnl"/>
              </w:rPr>
              <w:t>Objetivos</w:t>
            </w:r>
          </w:p>
        </w:tc>
        <w:tc>
          <w:tcPr>
            <w:tcW w:w="1829"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sz w:val="16"/>
                <w:szCs w:val="16"/>
                <w:lang w:val="es-ES_tradnl"/>
              </w:rPr>
            </w:pPr>
            <w:r w:rsidRPr="00A34388">
              <w:rPr>
                <w:b/>
                <w:color w:val="000000"/>
                <w:sz w:val="16"/>
                <w:lang w:val="es-ES_tradnl"/>
              </w:rPr>
              <w:t>Datos sobre el rendimiento</w:t>
            </w:r>
          </w:p>
        </w:tc>
        <w:tc>
          <w:tcPr>
            <w:tcW w:w="531" w:type="pct"/>
            <w:tcBorders>
              <w:top w:val="single" w:sz="4" w:space="0" w:color="auto"/>
            </w:tcBorders>
            <w:shd w:val="clear" w:color="auto" w:fill="auto"/>
            <w:tcMar>
              <w:top w:w="110" w:type="dxa"/>
            </w:tcMar>
            <w:vAlign w:val="center"/>
          </w:tcPr>
          <w:p w:rsidR="00525604" w:rsidRPr="00A34388" w:rsidRDefault="00525604" w:rsidP="00853209">
            <w:pPr>
              <w:keepNext/>
              <w:keepLines/>
              <w:jc w:val="center"/>
              <w:rPr>
                <w:rFonts w:cs="Arial"/>
                <w:b/>
                <w:sz w:val="16"/>
                <w:szCs w:val="16"/>
                <w:lang w:val="es-ES_tradnl"/>
              </w:rPr>
            </w:pPr>
            <w:r w:rsidRPr="00A34388">
              <w:rPr>
                <w:b/>
                <w:color w:val="000000"/>
                <w:sz w:val="16"/>
                <w:lang w:val="es-ES_tradnl"/>
              </w:rPr>
              <w:t>Clave de colores</w:t>
            </w:r>
          </w:p>
        </w:tc>
      </w:tr>
      <w:tr w:rsidR="00525604" w:rsidRPr="00A34388" w:rsidTr="00853209">
        <w:tc>
          <w:tcPr>
            <w:tcW w:w="819" w:type="pct"/>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Porcentaje de países que consideraron útil el asesoramiento en materia legislativa relacionado con las patentes, los modelos de utilidad, los secretos comerciales y los circuitos integrados.</w:t>
            </w:r>
          </w:p>
        </w:tc>
        <w:tc>
          <w:tcPr>
            <w:tcW w:w="959" w:type="pct"/>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No se dispone de datos.</w:t>
            </w:r>
          </w:p>
        </w:tc>
        <w:tc>
          <w:tcPr>
            <w:tcW w:w="863" w:type="pct"/>
            <w:shd w:val="clear" w:color="auto" w:fill="auto"/>
            <w:tcMar>
              <w:top w:w="110" w:type="dxa"/>
            </w:tcMar>
          </w:tcPr>
          <w:p w:rsidR="00525604" w:rsidRPr="00A34388" w:rsidRDefault="00525604" w:rsidP="00853209">
            <w:pPr>
              <w:keepNext/>
              <w:keepLines/>
              <w:rPr>
                <w:rFonts w:cs="Arial"/>
                <w:sz w:val="16"/>
                <w:szCs w:val="16"/>
                <w:lang w:val="es-ES_tradnl"/>
              </w:rPr>
            </w:pPr>
            <w:r w:rsidRPr="00A34388">
              <w:rPr>
                <w:sz w:val="16"/>
                <w:lang w:val="es-ES_tradnl"/>
              </w:rPr>
              <w:t>90%</w:t>
            </w:r>
          </w:p>
        </w:tc>
        <w:tc>
          <w:tcPr>
            <w:tcW w:w="1829" w:type="pct"/>
            <w:shd w:val="clear" w:color="auto" w:fill="FFFFFF"/>
            <w:tcMar>
              <w:top w:w="110" w:type="dxa"/>
            </w:tcMar>
          </w:tcPr>
          <w:p w:rsidR="00525604" w:rsidRPr="00A34388" w:rsidRDefault="00525604" w:rsidP="008B330C">
            <w:pPr>
              <w:keepNext/>
              <w:keepLines/>
              <w:rPr>
                <w:rFonts w:cs="Arial"/>
                <w:sz w:val="16"/>
                <w:szCs w:val="16"/>
                <w:lang w:val="es-ES_tradnl"/>
              </w:rPr>
            </w:pPr>
            <w:r w:rsidRPr="00A34388">
              <w:rPr>
                <w:sz w:val="16"/>
                <w:lang w:val="es-ES_tradnl"/>
              </w:rPr>
              <w:t xml:space="preserve">Una encuesta realizada por la DASI, en la que participó un número representativo de Estados miembros que recibieron asesoramiento legislativo por parte de la OMPI, y los cuestionarios de evaluación recibidos por la Secretaría demuestran un nivel de satisfacción superior al 90% </w:t>
            </w:r>
            <w:r w:rsidR="008B330C" w:rsidRPr="00A34388">
              <w:rPr>
                <w:sz w:val="16"/>
                <w:lang w:val="es-ES_tradnl"/>
              </w:rPr>
              <w:t xml:space="preserve">con </w:t>
            </w:r>
            <w:r w:rsidRPr="00A34388">
              <w:rPr>
                <w:sz w:val="16"/>
                <w:lang w:val="es-ES_tradnl"/>
              </w:rPr>
              <w:t>la calidad de la asistencia proporcionada.  Se ha establecido un mecanismo para una evaluación sistemática para el bienio 2014/15.</w:t>
            </w:r>
          </w:p>
        </w:tc>
        <w:tc>
          <w:tcPr>
            <w:tcW w:w="531"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853209">
        <w:tc>
          <w:tcPr>
            <w:tcW w:w="819"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959" w:type="pct"/>
            <w:shd w:val="clear" w:color="auto" w:fill="auto"/>
          </w:tcPr>
          <w:p w:rsidR="00525604" w:rsidRPr="00334845" w:rsidRDefault="00525604" w:rsidP="00853209">
            <w:pPr>
              <w:rPr>
                <w:rFonts w:cs="Arial"/>
                <w:i/>
                <w:color w:val="002060"/>
                <w:sz w:val="16"/>
                <w:szCs w:val="16"/>
                <w:lang w:val="es-ES_tradnl"/>
              </w:rPr>
            </w:pPr>
            <w:r w:rsidRPr="00334845">
              <w:rPr>
                <w:i/>
                <w:color w:val="002060"/>
                <w:sz w:val="16"/>
                <w:lang w:val="es-ES_tradnl"/>
              </w:rPr>
              <w:t>Referencia actualizada a fines de 2011</w:t>
            </w:r>
            <w:r w:rsidRPr="00334845">
              <w:rPr>
                <w:color w:val="002060"/>
                <w:sz w:val="16"/>
                <w:lang w:val="es-ES_tradnl"/>
              </w:rPr>
              <w:t>: En los informes del SCP y del CDIP se recogen los comentarios recibidos de los Estados miembros (no se ofrecen estadísticas).</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roofErr w:type="gramStart"/>
            <w:r w:rsidRPr="00A34388">
              <w:rPr>
                <w:i/>
                <w:sz w:val="16"/>
                <w:lang w:val="es-ES_tradnl"/>
              </w:rPr>
              <w:t>:</w:t>
            </w:r>
            <w:r w:rsidRPr="00A34388">
              <w:rPr>
                <w:sz w:val="16"/>
                <w:lang w:val="es-ES_tradnl"/>
              </w:rPr>
              <w:t xml:space="preserve">  No</w:t>
            </w:r>
            <w:proofErr w:type="gramEnd"/>
            <w:r w:rsidRPr="00A34388">
              <w:rPr>
                <w:sz w:val="16"/>
                <w:lang w:val="es-ES_tradnl"/>
              </w:rPr>
              <w:t xml:space="preserve"> se dispone de datos.</w:t>
            </w:r>
          </w:p>
        </w:tc>
        <w:tc>
          <w:tcPr>
            <w:tcW w:w="863"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90%</w:t>
            </w:r>
          </w:p>
        </w:tc>
        <w:tc>
          <w:tcPr>
            <w:tcW w:w="1829" w:type="pct"/>
            <w:shd w:val="clear" w:color="auto" w:fill="FFFFFF"/>
            <w:tcMar>
              <w:top w:w="110" w:type="dxa"/>
            </w:tcMar>
          </w:tcPr>
          <w:p w:rsidR="00525604" w:rsidRPr="00A34388" w:rsidRDefault="00525604" w:rsidP="008B330C">
            <w:pPr>
              <w:rPr>
                <w:rFonts w:cs="Arial"/>
                <w:sz w:val="16"/>
                <w:szCs w:val="16"/>
                <w:lang w:val="es-ES_tradnl"/>
              </w:rPr>
            </w:pPr>
            <w:r w:rsidRPr="00A34388">
              <w:rPr>
                <w:sz w:val="16"/>
                <w:lang w:val="es-ES_tradnl"/>
              </w:rPr>
              <w:t xml:space="preserve">Todos los comentarios recibidos señalaban que la información facilitada resultó útil.  De acuerdo con una encuesta </w:t>
            </w:r>
            <w:r w:rsidR="008B330C" w:rsidRPr="00A34388">
              <w:rPr>
                <w:sz w:val="16"/>
                <w:lang w:val="es-ES_tradnl"/>
              </w:rPr>
              <w:t xml:space="preserve">realizada </w:t>
            </w:r>
            <w:r w:rsidRPr="00A34388">
              <w:rPr>
                <w:sz w:val="16"/>
                <w:lang w:val="es-ES_tradnl"/>
              </w:rPr>
              <w:t>conjuntamente con la evaluación del programa 1 por la DASI, más del 90% de los encuestados calificó de "excelente" o "buena" la calidad de los documentos sustantivos preparados por la Secretaría.</w:t>
            </w:r>
          </w:p>
        </w:tc>
        <w:tc>
          <w:tcPr>
            <w:tcW w:w="531" w:type="pct"/>
            <w:shd w:val="clear" w:color="auto" w:fill="auto"/>
            <w:tcMar>
              <w:top w:w="110" w:type="dxa"/>
            </w:tcMar>
          </w:tcPr>
          <w:p w:rsidR="00525604" w:rsidRPr="00A34388" w:rsidRDefault="00525604"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853209">
        <w:tc>
          <w:tcPr>
            <w:tcW w:w="819"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participantes en talleres/seminarios sobre cuestiones específicas relacionadas con las patentes que expresaron satisfacción al respecto.</w:t>
            </w:r>
            <w:r w:rsidRPr="00A34388">
              <w:rPr>
                <w:sz w:val="16"/>
                <w:lang w:val="es-ES_tradnl"/>
              </w:rPr>
              <w:t xml:space="preserve"> </w:t>
            </w:r>
          </w:p>
          <w:p w:rsidR="00525604" w:rsidRPr="00A34388" w:rsidRDefault="00525604" w:rsidP="00853209">
            <w:pPr>
              <w:rPr>
                <w:rFonts w:cs="Arial"/>
                <w:sz w:val="16"/>
                <w:szCs w:val="16"/>
                <w:lang w:val="es-ES_tradnl"/>
              </w:rPr>
            </w:pPr>
          </w:p>
        </w:tc>
        <w:tc>
          <w:tcPr>
            <w:tcW w:w="959" w:type="pct"/>
            <w:shd w:val="clear" w:color="auto" w:fill="auto"/>
          </w:tcPr>
          <w:p w:rsidR="00525604" w:rsidRPr="00A34388" w:rsidRDefault="00525604" w:rsidP="00853209">
            <w:pPr>
              <w:rPr>
                <w:rFonts w:cs="Arial"/>
                <w:sz w:val="16"/>
                <w:szCs w:val="16"/>
                <w:lang w:val="es-ES_tradnl"/>
              </w:rPr>
            </w:pPr>
            <w:r w:rsidRPr="00332758">
              <w:rPr>
                <w:sz w:val="16"/>
                <w:lang w:val="es-ES_tradnl"/>
              </w:rPr>
              <w:t>No se dispone de datos.</w:t>
            </w:r>
          </w:p>
        </w:tc>
        <w:tc>
          <w:tcPr>
            <w:tcW w:w="863" w:type="pct"/>
            <w:shd w:val="clear" w:color="auto" w:fill="auto"/>
            <w:tcMar>
              <w:top w:w="110" w:type="dxa"/>
            </w:tcMar>
          </w:tcPr>
          <w:p w:rsidR="00525604" w:rsidRPr="00A34388" w:rsidRDefault="00525604" w:rsidP="00853209">
            <w:pPr>
              <w:rPr>
                <w:rFonts w:cs="Arial"/>
                <w:i/>
                <w:sz w:val="16"/>
                <w:szCs w:val="16"/>
                <w:lang w:val="es-ES_tradnl"/>
              </w:rPr>
            </w:pPr>
            <w:r w:rsidRPr="00A34388">
              <w:rPr>
                <w:sz w:val="16"/>
                <w:lang w:val="es-ES_tradnl"/>
              </w:rPr>
              <w:t>90%</w:t>
            </w:r>
          </w:p>
        </w:tc>
        <w:tc>
          <w:tcPr>
            <w:tcW w:w="1829" w:type="pct"/>
            <w:shd w:val="clear" w:color="auto" w:fill="FFFFFF"/>
            <w:tcMar>
              <w:top w:w="110" w:type="dxa"/>
            </w:tcMar>
          </w:tcPr>
          <w:p w:rsidR="00525604" w:rsidRPr="00A34388" w:rsidRDefault="00525604" w:rsidP="008B330C">
            <w:pPr>
              <w:rPr>
                <w:rFonts w:cs="Arial"/>
                <w:sz w:val="16"/>
                <w:szCs w:val="16"/>
                <w:lang w:val="es-ES_tradnl"/>
              </w:rPr>
            </w:pPr>
            <w:r w:rsidRPr="00A34388">
              <w:rPr>
                <w:sz w:val="16"/>
                <w:lang w:val="es-ES_tradnl"/>
              </w:rPr>
              <w:t>El 92,5% de los participantes en talleres y seminarios organizados por el programa se mostraron satisfechos con l</w:t>
            </w:r>
            <w:r w:rsidR="008B330C" w:rsidRPr="00A34388">
              <w:rPr>
                <w:sz w:val="16"/>
                <w:lang w:val="es-ES_tradnl"/>
              </w:rPr>
              <w:t>a</w:t>
            </w:r>
            <w:r w:rsidRPr="00A34388">
              <w:rPr>
                <w:sz w:val="16"/>
                <w:lang w:val="es-ES_tradnl"/>
              </w:rPr>
              <w:t xml:space="preserve">s </w:t>
            </w:r>
            <w:r w:rsidR="008B330C" w:rsidRPr="00A34388">
              <w:rPr>
                <w:sz w:val="16"/>
                <w:lang w:val="es-ES_tradnl"/>
              </w:rPr>
              <w:t xml:space="preserve">actividades </w:t>
            </w:r>
            <w:r w:rsidRPr="00A34388">
              <w:rPr>
                <w:sz w:val="16"/>
                <w:lang w:val="es-ES_tradnl"/>
              </w:rPr>
              <w:t>organizad</w:t>
            </w:r>
            <w:r w:rsidR="008B330C" w:rsidRPr="00A34388">
              <w:rPr>
                <w:sz w:val="16"/>
                <w:lang w:val="es-ES_tradnl"/>
              </w:rPr>
              <w:t>a</w:t>
            </w:r>
            <w:r w:rsidRPr="00A34388">
              <w:rPr>
                <w:sz w:val="16"/>
                <w:lang w:val="es-ES_tradnl"/>
              </w:rPr>
              <w:t>s.</w:t>
            </w:r>
          </w:p>
        </w:tc>
        <w:tc>
          <w:tcPr>
            <w:tcW w:w="531" w:type="pct"/>
            <w:shd w:val="clear" w:color="auto" w:fill="auto"/>
          </w:tcPr>
          <w:p w:rsidR="00525604" w:rsidRPr="00A34388" w:rsidRDefault="00525604" w:rsidP="00853209">
            <w:pPr>
              <w:keepNext/>
              <w:keepLines/>
              <w:jc w:val="center"/>
              <w:rPr>
                <w:rStyle w:val="Style5"/>
                <w:rFonts w:ascii="Arial" w:hAnsi="Arial" w:cs="Arial"/>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p w:rsidR="00525604" w:rsidRPr="00A34388" w:rsidRDefault="00525604" w:rsidP="00853209">
            <w:pPr>
              <w:keepNext/>
              <w:keepLines/>
              <w:jc w:val="center"/>
              <w:rPr>
                <w:rFonts w:cs="Arial"/>
                <w:bCs/>
                <w:color w:val="333333"/>
                <w:sz w:val="16"/>
                <w:szCs w:val="16"/>
                <w:lang w:val="es-ES_tradnl"/>
              </w:rPr>
            </w:pPr>
          </w:p>
        </w:tc>
      </w:tr>
    </w:tbl>
    <w:p w:rsidR="00525604" w:rsidRPr="00A34388" w:rsidRDefault="00525604" w:rsidP="00525604">
      <w:pPr>
        <w:rPr>
          <w:szCs w:val="20"/>
          <w:lang w:val="es-ES_tradnl"/>
        </w:rPr>
      </w:pPr>
    </w:p>
    <w:p w:rsidR="00525604" w:rsidRPr="00A34388" w:rsidRDefault="00525604" w:rsidP="00525604">
      <w:pPr>
        <w:rPr>
          <w:szCs w:val="20"/>
          <w:lang w:val="es-ES_tradnl"/>
        </w:rPr>
      </w:pPr>
    </w:p>
    <w:p w:rsidR="000557C0" w:rsidRPr="00332758" w:rsidRDefault="000557C0">
      <w:pPr>
        <w:rPr>
          <w:sz w:val="22"/>
          <w:lang w:val="es-ES_tradnl"/>
        </w:rPr>
      </w:pPr>
      <w:r w:rsidRPr="00332758">
        <w:rPr>
          <w:sz w:val="22"/>
          <w:lang w:val="es-ES_tradnl"/>
        </w:rPr>
        <w:br w:type="page"/>
      </w:r>
    </w:p>
    <w:p w:rsidR="00525604" w:rsidRPr="00A34388" w:rsidRDefault="00525604" w:rsidP="00525604">
      <w:pPr>
        <w:rPr>
          <w:sz w:val="22"/>
          <w:szCs w:val="22"/>
          <w:lang w:val="es-ES_tradnl"/>
        </w:rPr>
      </w:pPr>
      <w:r w:rsidRPr="00332758">
        <w:rPr>
          <w:sz w:val="22"/>
          <w:lang w:val="es-ES_tradnl"/>
        </w:rPr>
        <w:lastRenderedPageBreak/>
        <w:t>PRESUPUESTO Y GASTOS REALES</w:t>
      </w:r>
    </w:p>
    <w:p w:rsidR="00525604" w:rsidRPr="00A34388" w:rsidRDefault="00525604" w:rsidP="00525604">
      <w:pPr>
        <w:rPr>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lang w:val="es-ES_tradnl"/>
        </w:rPr>
      </w:pPr>
    </w:p>
    <w:tbl>
      <w:tblPr>
        <w:tblW w:w="0" w:type="auto"/>
        <w:tblInd w:w="108" w:type="dxa"/>
        <w:tblLayout w:type="fixed"/>
        <w:tblLook w:val="04A0" w:firstRow="1" w:lastRow="0" w:firstColumn="1" w:lastColumn="0" w:noHBand="0" w:noVBand="1"/>
      </w:tblPr>
      <w:tblGrid>
        <w:gridCol w:w="709"/>
        <w:gridCol w:w="4536"/>
        <w:gridCol w:w="1417"/>
        <w:gridCol w:w="1418"/>
        <w:gridCol w:w="1276"/>
      </w:tblGrid>
      <w:tr w:rsidR="00525604" w:rsidRPr="00A34388" w:rsidTr="00853209">
        <w:tc>
          <w:tcPr>
            <w:tcW w:w="524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r>
      <w:tr w:rsidR="00525604" w:rsidRPr="00A34388" w:rsidTr="00853209">
        <w:tc>
          <w:tcPr>
            <w:tcW w:w="709"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I.1</w:t>
            </w:r>
          </w:p>
        </w:tc>
        <w:tc>
          <w:tcPr>
            <w:tcW w:w="4536"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3.105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2.914 </w:t>
            </w:r>
          </w:p>
        </w:tc>
        <w:tc>
          <w:tcPr>
            <w:tcW w:w="1276"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2.677 </w:t>
            </w:r>
          </w:p>
        </w:tc>
      </w:tr>
      <w:tr w:rsidR="00525604" w:rsidRPr="00A34388" w:rsidTr="00853209">
        <w:tc>
          <w:tcPr>
            <w:tcW w:w="709"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I.4</w:t>
            </w:r>
          </w:p>
        </w:tc>
        <w:tc>
          <w:tcPr>
            <w:tcW w:w="4536"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1.611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2.463 </w:t>
            </w:r>
          </w:p>
        </w:tc>
        <w:tc>
          <w:tcPr>
            <w:tcW w:w="1276"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2.101 </w:t>
            </w:r>
          </w:p>
        </w:tc>
      </w:tr>
      <w:tr w:rsidR="00525604" w:rsidRPr="00A34388" w:rsidTr="00853209">
        <w:tc>
          <w:tcPr>
            <w:tcW w:w="709"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VII.1</w:t>
            </w:r>
          </w:p>
        </w:tc>
        <w:tc>
          <w:tcPr>
            <w:tcW w:w="4536"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Conocimiento más adecuado entre los encargados de la adopción de políticas de la relación existente entre los desafíos mundiales y la innovación y la P.I. como base para formular políticas de manera más eficaz.</w:t>
            </w:r>
          </w:p>
        </w:tc>
        <w:tc>
          <w:tcPr>
            <w:tcW w:w="1417"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128 </w:t>
            </w:r>
          </w:p>
        </w:tc>
        <w:tc>
          <w:tcPr>
            <w:tcW w:w="1418"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50 </w:t>
            </w:r>
          </w:p>
        </w:tc>
        <w:tc>
          <w:tcPr>
            <w:tcW w:w="1276"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42 </w:t>
            </w:r>
          </w:p>
        </w:tc>
      </w:tr>
      <w:tr w:rsidR="00525604" w:rsidRPr="00A34388" w:rsidTr="00853209">
        <w:tc>
          <w:tcPr>
            <w:tcW w:w="709"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 </w:t>
            </w:r>
          </w:p>
        </w:tc>
        <w:tc>
          <w:tcPr>
            <w:tcW w:w="4536"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4.843</w:t>
            </w:r>
          </w:p>
        </w:tc>
        <w:tc>
          <w:tcPr>
            <w:tcW w:w="1418"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5.427</w:t>
            </w:r>
          </w:p>
        </w:tc>
        <w:tc>
          <w:tcPr>
            <w:tcW w:w="1276"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4.819</w:t>
            </w:r>
          </w:p>
        </w:tc>
      </w:tr>
    </w:tbl>
    <w:p w:rsidR="00525604" w:rsidRPr="00A34388" w:rsidRDefault="00525604" w:rsidP="00525604">
      <w:pPr>
        <w:rPr>
          <w:lang w:val="es-ES_tradnl"/>
        </w:rPr>
      </w:pPr>
    </w:p>
    <w:p w:rsidR="00525604" w:rsidRPr="00A34388" w:rsidRDefault="00525604" w:rsidP="00525604">
      <w:pPr>
        <w:rPr>
          <w:lang w:val="es-ES_tradnl"/>
        </w:rPr>
      </w:pPr>
    </w:p>
    <w:p w:rsidR="00525604" w:rsidRPr="00A34388" w:rsidRDefault="00525604" w:rsidP="00525604">
      <w:pPr>
        <w:pStyle w:val="NormalWeb"/>
        <w:keepNext/>
        <w:keepLines/>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keepNext/>
        <w:keepLines/>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pStyle w:val="NormalWeb"/>
        <w:keepNext/>
        <w:keepLines/>
        <w:spacing w:before="0" w:beforeAutospacing="0" w:after="0" w:afterAutospacing="0"/>
        <w:jc w:val="center"/>
        <w:rPr>
          <w:lang w:val="es-ES_tradnl"/>
        </w:rPr>
      </w:pPr>
    </w:p>
    <w:tbl>
      <w:tblPr>
        <w:tblW w:w="0" w:type="auto"/>
        <w:tblInd w:w="93" w:type="dxa"/>
        <w:tblLayout w:type="fixed"/>
        <w:tblLook w:val="04A0" w:firstRow="1" w:lastRow="0" w:firstColumn="1" w:lastColumn="0" w:noHBand="0" w:noVBand="1"/>
      </w:tblPr>
      <w:tblGrid>
        <w:gridCol w:w="2283"/>
        <w:gridCol w:w="1772"/>
        <w:gridCol w:w="1772"/>
        <w:gridCol w:w="1772"/>
        <w:gridCol w:w="1772"/>
      </w:tblGrid>
      <w:tr w:rsidR="00525604" w:rsidRPr="00A34388" w:rsidTr="00853209">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keepNext/>
              <w:keepLines/>
              <w:spacing w:before="120" w:after="120"/>
              <w:rPr>
                <w:rFonts w:cs="Arial"/>
                <w:color w:val="000000"/>
                <w:sz w:val="16"/>
                <w:szCs w:val="16"/>
                <w:lang w:val="es-ES_tradnl"/>
              </w:rPr>
            </w:pPr>
            <w:r w:rsidRPr="00A34388">
              <w:rPr>
                <w:color w:val="000000"/>
                <w:sz w:val="16"/>
                <w:lang w:val="es-ES_tradnl"/>
              </w:rPr>
              <w:t> </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keepNext/>
              <w:keepLines/>
              <w:spacing w:before="120" w:after="120"/>
              <w:jc w:val="center"/>
              <w:rPr>
                <w:rFonts w:cs="Arial"/>
                <w:bCs/>
                <w:color w:val="000000"/>
                <w:sz w:val="16"/>
                <w:szCs w:val="16"/>
                <w:lang w:val="es-ES_tradnl"/>
              </w:rPr>
            </w:pPr>
            <w:r w:rsidRPr="00332758">
              <w:rPr>
                <w:sz w:val="16"/>
                <w:lang w:val="es-ES_tradnl"/>
              </w:rPr>
              <w:t>Presupuesto aprobado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keepNext/>
              <w:keepLines/>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keepNext/>
              <w:keepLines/>
              <w:spacing w:before="120" w:after="120"/>
              <w:jc w:val="center"/>
              <w:rPr>
                <w:rFonts w:cs="Arial"/>
                <w:bCs/>
                <w:color w:val="000000"/>
                <w:sz w:val="16"/>
                <w:szCs w:val="16"/>
                <w:lang w:val="es-ES_tradnl"/>
              </w:rPr>
            </w:pPr>
            <w:r w:rsidRPr="00332758">
              <w:rPr>
                <w:sz w:val="16"/>
                <w:lang w:val="es-ES_tradnl"/>
              </w:rPr>
              <w:t>Gastos en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keepNext/>
              <w:keepLines/>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keepNext/>
              <w:keepLines/>
              <w:spacing w:before="120" w:after="120"/>
              <w:rPr>
                <w:rFonts w:cs="Arial"/>
                <w:color w:val="000000"/>
                <w:sz w:val="16"/>
                <w:szCs w:val="16"/>
                <w:lang w:val="es-ES_tradnl"/>
              </w:rPr>
            </w:pPr>
            <w:r w:rsidRPr="00332758">
              <w:rPr>
                <w:sz w:val="16"/>
                <w:lang w:val="es-ES_tradnl"/>
              </w:rPr>
              <w:t>Recursos de personal</w:t>
            </w:r>
            <w:r w:rsidRPr="00A34388">
              <w:rPr>
                <w:color w:val="000000"/>
                <w:sz w:val="16"/>
                <w:lang w:val="es-ES_tradnl"/>
              </w:rPr>
              <w:t xml:space="preserve">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3.107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3.936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3.936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keepNext/>
              <w:keepLines/>
              <w:spacing w:before="120" w:after="120"/>
              <w:jc w:val="center"/>
              <w:rPr>
                <w:rFonts w:cs="Arial"/>
                <w:sz w:val="16"/>
                <w:szCs w:val="16"/>
                <w:lang w:val="es-ES_tradnl"/>
              </w:rPr>
            </w:pPr>
            <w:r w:rsidRPr="00332758">
              <w:rPr>
                <w:sz w:val="16"/>
                <w:lang w:val="es-ES_tradnl"/>
              </w:rPr>
              <w:t>100%</w:t>
            </w:r>
          </w:p>
        </w:tc>
      </w:tr>
      <w:tr w:rsidR="00525604" w:rsidRPr="00A34388" w:rsidTr="00853209">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keepNext/>
              <w:keepLines/>
              <w:spacing w:before="120" w:after="120"/>
              <w:rPr>
                <w:rFonts w:cs="Arial"/>
                <w:color w:val="000000"/>
                <w:sz w:val="16"/>
                <w:szCs w:val="16"/>
                <w:lang w:val="es-ES_tradnl"/>
              </w:rPr>
            </w:pPr>
            <w:r w:rsidRPr="00332758">
              <w:rPr>
                <w:sz w:val="16"/>
                <w:lang w:val="es-ES_tradnl"/>
              </w:rPr>
              <w:t>Recursos no relativos al personal</w:t>
            </w:r>
            <w:r w:rsidRPr="00A34388">
              <w:rPr>
                <w:color w:val="000000"/>
                <w:sz w:val="16"/>
                <w:lang w:val="es-ES_tradnl"/>
              </w:rPr>
              <w:t xml:space="preserve">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1,736.</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1.491</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keepNext/>
              <w:keepLines/>
              <w:spacing w:before="120" w:after="120"/>
              <w:jc w:val="center"/>
              <w:rPr>
                <w:rFonts w:cs="Arial"/>
                <w:color w:val="808080"/>
                <w:sz w:val="16"/>
                <w:szCs w:val="16"/>
                <w:lang w:val="es-ES_tradnl"/>
              </w:rPr>
            </w:pPr>
            <w:r w:rsidRPr="00332758">
              <w:rPr>
                <w:sz w:val="16"/>
                <w:lang w:val="es-ES_tradnl"/>
              </w:rPr>
              <w:t>883</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keepNext/>
              <w:keepLines/>
              <w:spacing w:before="120" w:after="120"/>
              <w:jc w:val="center"/>
              <w:rPr>
                <w:rFonts w:cs="Arial"/>
                <w:sz w:val="16"/>
                <w:szCs w:val="16"/>
                <w:lang w:val="es-ES_tradnl"/>
              </w:rPr>
            </w:pPr>
            <w:r w:rsidRPr="00332758">
              <w:rPr>
                <w:sz w:val="16"/>
                <w:lang w:val="es-ES_tradnl"/>
              </w:rPr>
              <w:t>59%</w:t>
            </w:r>
          </w:p>
        </w:tc>
      </w:tr>
      <w:tr w:rsidR="00525604" w:rsidRPr="00A34388" w:rsidTr="00853209">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4.843</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5.427</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4.819</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89%</w:t>
            </w:r>
          </w:p>
        </w:tc>
      </w:tr>
    </w:tbl>
    <w:p w:rsidR="00525604" w:rsidRPr="00A34388" w:rsidRDefault="00525604" w:rsidP="00525604">
      <w:pPr>
        <w:rPr>
          <w:szCs w:val="20"/>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NOTAS:</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szCs w:val="16"/>
          <w:lang w:val="es-ES_tradnl"/>
        </w:rPr>
      </w:pPr>
      <w:r w:rsidRPr="00A34388">
        <w:rPr>
          <w:sz w:val="16"/>
          <w:lang w:val="es-ES_tradnl"/>
        </w:rPr>
        <w:t xml:space="preserve">2)  La asignación </w:t>
      </w:r>
      <w:r w:rsidR="008B330C" w:rsidRPr="00A34388">
        <w:rPr>
          <w:sz w:val="16"/>
          <w:lang w:val="es-ES_tradnl"/>
        </w:rPr>
        <w:t xml:space="preserve">para el </w:t>
      </w:r>
      <w:r w:rsidRPr="00A34388">
        <w:rPr>
          <w:sz w:val="16"/>
          <w:lang w:val="es-ES_tradnl"/>
        </w:rPr>
        <w:t xml:space="preserve">personal </w:t>
      </w:r>
      <w:r w:rsidR="008B330C" w:rsidRPr="00A34388">
        <w:rPr>
          <w:sz w:val="16"/>
          <w:lang w:val="es-ES_tradnl"/>
        </w:rPr>
        <w:t xml:space="preserve">del </w:t>
      </w:r>
      <w:r w:rsidRPr="00A34388">
        <w:rPr>
          <w:sz w:val="16"/>
          <w:lang w:val="es-ES_tradnl"/>
        </w:rPr>
        <w:t xml:space="preserve">presupuesto de 2012/13 después de las transferencias representa los gastos reales </w:t>
      </w:r>
      <w:r w:rsidR="008B330C" w:rsidRPr="00A34388">
        <w:rPr>
          <w:sz w:val="16"/>
          <w:lang w:val="es-ES_tradnl"/>
        </w:rPr>
        <w:t xml:space="preserve">efectuados </w:t>
      </w:r>
      <w:r w:rsidRPr="00A34388">
        <w:rPr>
          <w:sz w:val="16"/>
          <w:lang w:val="es-ES_tradnl"/>
        </w:rPr>
        <w:t xml:space="preserve">en el bienio. </w:t>
      </w:r>
    </w:p>
    <w:p w:rsidR="00525604" w:rsidRPr="00A34388" w:rsidRDefault="00525604" w:rsidP="00525604">
      <w:pPr>
        <w:widowControl w:val="0"/>
        <w:autoSpaceDE w:val="0"/>
        <w:autoSpaceDN w:val="0"/>
        <w:adjustRightInd w:val="0"/>
        <w:rPr>
          <w:rFonts w:cs="Arial"/>
          <w:szCs w:val="20"/>
          <w:lang w:val="es-ES_tradnl"/>
        </w:rPr>
      </w:pPr>
    </w:p>
    <w:p w:rsidR="00525604" w:rsidRPr="00A34388" w:rsidRDefault="00525604" w:rsidP="00525604">
      <w:pPr>
        <w:widowControl w:val="0"/>
        <w:autoSpaceDE w:val="0"/>
        <w:autoSpaceDN w:val="0"/>
        <w:adjustRightInd w:val="0"/>
        <w:rPr>
          <w:rFonts w:cs="Arial"/>
          <w:szCs w:val="20"/>
          <w:lang w:val="es-ES_tradnl"/>
        </w:rPr>
      </w:pPr>
    </w:p>
    <w:p w:rsidR="00525604" w:rsidRPr="00A34388" w:rsidRDefault="00525604" w:rsidP="00525604">
      <w:pPr>
        <w:tabs>
          <w:tab w:val="left" w:pos="709"/>
        </w:tabs>
        <w:rPr>
          <w:rFonts w:cs="Arial"/>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rPr>
          <w:rFonts w:cs="Arial"/>
          <w:u w:val="single"/>
          <w:lang w:val="es-ES_tradnl"/>
        </w:rPr>
      </w:pPr>
    </w:p>
    <w:p w:rsidR="00525604" w:rsidRPr="00A34388" w:rsidRDefault="00525604" w:rsidP="00525604">
      <w:pPr>
        <w:pStyle w:val="ListParagraph"/>
        <w:tabs>
          <w:tab w:val="left" w:pos="709"/>
        </w:tabs>
        <w:ind w:left="0"/>
        <w:jc w:val="both"/>
        <w:rPr>
          <w:lang w:val="es-ES_tradnl"/>
        </w:rPr>
      </w:pPr>
      <w:r w:rsidRPr="00A34388">
        <w:rPr>
          <w:lang w:val="es-ES_tradnl"/>
        </w:rPr>
        <w:t>1.11.</w:t>
      </w:r>
      <w:r w:rsidRPr="00A34388">
        <w:rPr>
          <w:lang w:val="es-ES_tradnl"/>
        </w:rPr>
        <w:tab/>
        <w:t>El aumento general del presupuesto después de las transferencias se debió a la asignación de recursos adicionales de personal al resultado I.4 (Asesoramiento en el ámbito legislativo), tras un incremento de las solicitudes de asesoramiento en este ámbito por parte de los Estados miembros.</w:t>
      </w:r>
    </w:p>
    <w:p w:rsidR="00525604" w:rsidRPr="00A34388" w:rsidRDefault="00525604" w:rsidP="00525604">
      <w:pPr>
        <w:pStyle w:val="ListParagraph"/>
        <w:tabs>
          <w:tab w:val="num" w:pos="709"/>
        </w:tabs>
        <w:ind w:left="0"/>
        <w:jc w:val="both"/>
        <w:rPr>
          <w:lang w:val="es-ES_tradnl"/>
        </w:rPr>
      </w:pPr>
    </w:p>
    <w:p w:rsidR="00525604" w:rsidRPr="00A34388" w:rsidRDefault="00525604" w:rsidP="00525604">
      <w:pPr>
        <w:pStyle w:val="ListParagraph"/>
        <w:tabs>
          <w:tab w:val="left" w:pos="709"/>
        </w:tabs>
        <w:ind w:left="0"/>
        <w:jc w:val="both"/>
        <w:rPr>
          <w:lang w:val="es-ES_tradnl"/>
        </w:rPr>
      </w:pPr>
      <w:r w:rsidRPr="00332758">
        <w:rPr>
          <w:lang w:val="es-ES_tradnl"/>
        </w:rPr>
        <w:t>1.12.</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525604" w:rsidRPr="00A34388" w:rsidRDefault="00525604" w:rsidP="00525604">
      <w:pPr>
        <w:autoSpaceDE w:val="0"/>
        <w:autoSpaceDN w:val="0"/>
        <w:jc w:val="both"/>
        <w:rPr>
          <w:rFonts w:cs="Arial"/>
          <w:szCs w:val="20"/>
          <w:lang w:val="es-ES_tradnl"/>
        </w:rPr>
      </w:pPr>
    </w:p>
    <w:p w:rsidR="00525604" w:rsidRPr="00A34388" w:rsidRDefault="00525604" w:rsidP="008018CA">
      <w:pPr>
        <w:keepNext/>
        <w:keepLines/>
        <w:tabs>
          <w:tab w:val="left" w:pos="709"/>
        </w:tabs>
        <w:jc w:val="both"/>
        <w:rPr>
          <w:rFonts w:cs="Arial"/>
          <w:szCs w:val="20"/>
          <w:u w:val="single"/>
          <w:lang w:val="es-ES_tradnl"/>
        </w:rPr>
      </w:pPr>
      <w:r w:rsidRPr="00A34388">
        <w:rPr>
          <w:lang w:val="es-ES_tradnl"/>
        </w:rPr>
        <w:lastRenderedPageBreak/>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8018CA">
      <w:pPr>
        <w:keepNext/>
        <w:keepLines/>
        <w:tabs>
          <w:tab w:val="left" w:pos="709"/>
        </w:tabs>
        <w:jc w:val="both"/>
        <w:rPr>
          <w:rFonts w:cs="Arial"/>
          <w:szCs w:val="20"/>
          <w:u w:val="single"/>
          <w:lang w:val="es-ES_tradnl"/>
        </w:rPr>
      </w:pPr>
    </w:p>
    <w:p w:rsidR="00525604" w:rsidRPr="00A34388" w:rsidRDefault="00525604" w:rsidP="008018CA">
      <w:pPr>
        <w:pStyle w:val="ListParagraph"/>
        <w:keepNext/>
        <w:keepLines/>
        <w:tabs>
          <w:tab w:val="left" w:pos="709"/>
        </w:tabs>
        <w:autoSpaceDE w:val="0"/>
        <w:autoSpaceDN w:val="0"/>
        <w:ind w:left="0"/>
        <w:jc w:val="both"/>
        <w:rPr>
          <w:rFonts w:cs="Arial"/>
          <w:lang w:val="es-ES_tradnl"/>
        </w:rPr>
      </w:pPr>
      <w:r w:rsidRPr="00A34388">
        <w:rPr>
          <w:lang w:val="es-ES_tradnl"/>
        </w:rPr>
        <w:t>1.13.</w:t>
      </w:r>
      <w:r w:rsidRPr="00A34388">
        <w:rPr>
          <w:lang w:val="es-ES_tradnl"/>
        </w:rPr>
        <w:tab/>
        <w:t xml:space="preserve">El índice de utilización de los recursos no relativos al personal fue bajo, debido principalmente a: </w:t>
      </w:r>
    </w:p>
    <w:p w:rsidR="00525604" w:rsidRPr="00A34388" w:rsidRDefault="00525604" w:rsidP="008018CA">
      <w:pPr>
        <w:keepNext/>
        <w:keepLines/>
        <w:autoSpaceDE w:val="0"/>
        <w:autoSpaceDN w:val="0"/>
        <w:jc w:val="both"/>
        <w:rPr>
          <w:rFonts w:cs="Arial"/>
          <w:szCs w:val="20"/>
          <w:lang w:val="es-ES_tradnl"/>
        </w:rPr>
      </w:pPr>
    </w:p>
    <w:p w:rsidR="00525604" w:rsidRPr="00A34388" w:rsidRDefault="00525604" w:rsidP="008018CA">
      <w:pPr>
        <w:pStyle w:val="ListParagraph"/>
        <w:keepNext/>
        <w:keepLines/>
        <w:numPr>
          <w:ilvl w:val="0"/>
          <w:numId w:val="2"/>
        </w:numPr>
        <w:autoSpaceDE w:val="0"/>
        <w:autoSpaceDN w:val="0"/>
        <w:ind w:left="993" w:hanging="283"/>
        <w:jc w:val="both"/>
        <w:rPr>
          <w:rFonts w:cs="Arial"/>
          <w:lang w:val="es-ES_tradnl"/>
        </w:rPr>
      </w:pPr>
      <w:r w:rsidRPr="00A34388">
        <w:rPr>
          <w:lang w:val="es-ES_tradnl"/>
        </w:rPr>
        <w:t xml:space="preserve">el aplazamiento de dos de las cuatro sesiones del SCP previstas para el bienio, tal como se refleja </w:t>
      </w:r>
      <w:r w:rsidR="00835784" w:rsidRPr="00A34388">
        <w:rPr>
          <w:lang w:val="es-ES_tradnl"/>
        </w:rPr>
        <w:t xml:space="preserve">en el </w:t>
      </w:r>
      <w:r w:rsidRPr="00A34388">
        <w:rPr>
          <w:lang w:val="es-ES_tradnl"/>
        </w:rPr>
        <w:t>resultado I.1 (Elaboración de marcos normativos internacionales equilibrados para la P.I.);  y</w:t>
      </w:r>
    </w:p>
    <w:p w:rsidR="00525604" w:rsidRPr="00A34388" w:rsidRDefault="00525604" w:rsidP="00525604">
      <w:pPr>
        <w:autoSpaceDE w:val="0"/>
        <w:autoSpaceDN w:val="0"/>
        <w:ind w:left="993" w:hanging="283"/>
        <w:jc w:val="both"/>
        <w:rPr>
          <w:rFonts w:cs="Arial"/>
          <w:szCs w:val="20"/>
          <w:lang w:val="es-ES_tradnl"/>
        </w:rPr>
      </w:pPr>
    </w:p>
    <w:p w:rsidR="00525604" w:rsidRPr="00A34388" w:rsidRDefault="00525604" w:rsidP="00525604">
      <w:pPr>
        <w:pStyle w:val="ListParagraph"/>
        <w:numPr>
          <w:ilvl w:val="0"/>
          <w:numId w:val="3"/>
        </w:numPr>
        <w:autoSpaceDE w:val="0"/>
        <w:autoSpaceDN w:val="0"/>
        <w:ind w:left="993" w:hanging="283"/>
        <w:jc w:val="both"/>
        <w:rPr>
          <w:lang w:val="es-ES_tradnl"/>
        </w:rPr>
      </w:pPr>
      <w:r w:rsidRPr="00A34388">
        <w:rPr>
          <w:lang w:val="es-ES_tradnl"/>
        </w:rPr>
        <w:t xml:space="preserve">el aplazamiento para 2014 de una reunión sobre la política de patentes y su aplicación legislativa y la cancelación de una conferencia regional sobre patentes e innovación y de una conferencia/reunión de expertos sobre patentes y normas técnicas, tal como se refleja </w:t>
      </w:r>
      <w:r w:rsidR="00835784" w:rsidRPr="00A34388">
        <w:rPr>
          <w:lang w:val="es-ES_tradnl"/>
        </w:rPr>
        <w:t xml:space="preserve">en </w:t>
      </w:r>
      <w:r w:rsidRPr="00A34388">
        <w:rPr>
          <w:lang w:val="es-ES_tradnl"/>
        </w:rPr>
        <w:t>el resultado I.4 (Asesoramiento en el ámbito legislativo).</w:t>
      </w:r>
    </w:p>
    <w:p w:rsidR="00525604" w:rsidRPr="00A34388" w:rsidRDefault="00525604" w:rsidP="00525604">
      <w:pPr>
        <w:pStyle w:val="ListParagraph"/>
        <w:autoSpaceDE w:val="0"/>
        <w:autoSpaceDN w:val="0"/>
        <w:ind w:left="993"/>
        <w:jc w:val="both"/>
        <w:rPr>
          <w:rFonts w:cs="Arial"/>
          <w:lang w:val="es-ES_tradnl"/>
        </w:rPr>
      </w:pPr>
    </w:p>
    <w:p w:rsidR="00525604" w:rsidRPr="00A34388" w:rsidRDefault="00525604" w:rsidP="00525604">
      <w:pPr>
        <w:rPr>
          <w:rFonts w:cs="Arial"/>
          <w:szCs w:val="20"/>
          <w:lang w:val="es-ES_tradnl"/>
        </w:rPr>
      </w:pPr>
      <w:r w:rsidRPr="00A34388">
        <w:rPr>
          <w:lang w:val="es-ES_tradnl"/>
        </w:rPr>
        <w:br w:type="page"/>
      </w:r>
    </w:p>
    <w:p w:rsidR="00391D6B" w:rsidRPr="003934C8" w:rsidRDefault="00391D6B" w:rsidP="00391D6B">
      <w:pPr>
        <w:pStyle w:val="Heading3"/>
        <w:rPr>
          <w:rFonts w:hint="eastAsia"/>
          <w:lang w:val="es-ES"/>
        </w:rPr>
      </w:pPr>
      <w:bookmarkStart w:id="27" w:name="_Toc395279653"/>
      <w:r w:rsidRPr="003934C8">
        <w:rPr>
          <w:lang w:val="es-ES"/>
        </w:rPr>
        <w:lastRenderedPageBreak/>
        <w:t>Programa 2</w:t>
      </w:r>
      <w:r w:rsidRPr="003934C8">
        <w:rPr>
          <w:lang w:val="es-ES"/>
        </w:rPr>
        <w:tab/>
        <w:t>Marcas, dibujos y modelos industriales e indicaciones geográficas</w:t>
      </w:r>
      <w:bookmarkEnd w:id="27"/>
    </w:p>
    <w:p w:rsidR="00391D6B" w:rsidRPr="00332758" w:rsidRDefault="00391D6B" w:rsidP="00391D6B">
      <w:pPr>
        <w:tabs>
          <w:tab w:val="left" w:pos="2268"/>
        </w:tabs>
        <w:rPr>
          <w:sz w:val="22"/>
          <w:szCs w:val="22"/>
          <w:lang w:val="es-ES_tradnl"/>
        </w:rPr>
      </w:pPr>
    </w:p>
    <w:p w:rsidR="00391D6B" w:rsidRPr="00332758" w:rsidRDefault="00391D6B" w:rsidP="00391D6B">
      <w:pPr>
        <w:tabs>
          <w:tab w:val="left" w:pos="2694"/>
        </w:tabs>
        <w:rPr>
          <w:b/>
          <w:sz w:val="22"/>
          <w:szCs w:val="22"/>
          <w:lang w:val="es-ES_tradnl"/>
        </w:rPr>
      </w:pPr>
      <w:r w:rsidRPr="00332758">
        <w:rPr>
          <w:b/>
          <w:sz w:val="22"/>
          <w:lang w:val="es-ES_tradnl"/>
        </w:rPr>
        <w:t>Directora de Programa</w:t>
      </w:r>
      <w:r w:rsidRPr="00A34388">
        <w:rPr>
          <w:lang w:val="es-ES_tradnl"/>
        </w:rPr>
        <w:tab/>
      </w:r>
      <w:r w:rsidRPr="00332758">
        <w:rPr>
          <w:b/>
          <w:sz w:val="22"/>
          <w:lang w:val="es-ES_tradnl"/>
        </w:rPr>
        <w:t xml:space="preserve">Sra. </w:t>
      </w:r>
      <w:proofErr w:type="spellStart"/>
      <w:r w:rsidRPr="00332758">
        <w:rPr>
          <w:b/>
          <w:sz w:val="22"/>
          <w:lang w:val="es-ES_tradnl"/>
        </w:rPr>
        <w:t>Binying</w:t>
      </w:r>
      <w:proofErr w:type="spellEnd"/>
      <w:r w:rsidRPr="00332758">
        <w:rPr>
          <w:b/>
          <w:sz w:val="22"/>
          <w:lang w:val="es-ES_tradnl"/>
        </w:rPr>
        <w:t xml:space="preserve"> Wang</w:t>
      </w:r>
    </w:p>
    <w:p w:rsidR="00525604" w:rsidRPr="00A34388" w:rsidRDefault="00525604" w:rsidP="00525604">
      <w:pPr>
        <w:tabs>
          <w:tab w:val="left" w:pos="2268"/>
        </w:tabs>
        <w:rPr>
          <w:sz w:val="22"/>
          <w:szCs w:val="22"/>
          <w:lang w:val="es-ES_tradnl"/>
        </w:rPr>
      </w:pPr>
    </w:p>
    <w:p w:rsidR="00525604" w:rsidRPr="00A34388" w:rsidRDefault="00525604" w:rsidP="00525604">
      <w:pPr>
        <w:tabs>
          <w:tab w:val="left" w:pos="2268"/>
        </w:tabs>
        <w:rPr>
          <w:bCs/>
          <w:sz w:val="22"/>
          <w:szCs w:val="22"/>
          <w:lang w:val="es-ES_tradnl"/>
        </w:rPr>
      </w:pPr>
    </w:p>
    <w:p w:rsidR="00525604" w:rsidRPr="00A34388" w:rsidRDefault="003E3F45" w:rsidP="00525604">
      <w:pPr>
        <w:tabs>
          <w:tab w:val="left" w:pos="2268"/>
        </w:tabs>
        <w:rPr>
          <w:bCs/>
          <w:sz w:val="22"/>
          <w:szCs w:val="22"/>
          <w:lang w:val="es-ES_tradnl"/>
        </w:rPr>
      </w:pPr>
      <w:r>
        <w:rPr>
          <w:sz w:val="22"/>
          <w:lang w:val="es-ES_tradnl"/>
        </w:rPr>
        <w:t>AVANCES LOGRADOS EN EL BIENIO 2012/13</w:t>
      </w:r>
    </w:p>
    <w:p w:rsidR="00525604" w:rsidRPr="00A34388" w:rsidRDefault="00525604" w:rsidP="00525604">
      <w:pPr>
        <w:tabs>
          <w:tab w:val="left" w:pos="2268"/>
        </w:tabs>
        <w:jc w:val="both"/>
        <w:rPr>
          <w:sz w:val="22"/>
          <w:szCs w:val="22"/>
          <w:lang w:val="es-ES_tradnl"/>
        </w:rPr>
      </w:pPr>
    </w:p>
    <w:p w:rsidR="00525604" w:rsidRPr="00A34388" w:rsidRDefault="00525604" w:rsidP="00525604">
      <w:pPr>
        <w:pStyle w:val="ListParagraph"/>
        <w:tabs>
          <w:tab w:val="left" w:pos="709"/>
          <w:tab w:val="left" w:pos="2268"/>
        </w:tabs>
        <w:ind w:left="0"/>
        <w:jc w:val="both"/>
        <w:rPr>
          <w:lang w:val="es-ES_tradnl"/>
        </w:rPr>
      </w:pPr>
      <w:r w:rsidRPr="00A34388">
        <w:rPr>
          <w:lang w:val="es-ES_tradnl"/>
        </w:rPr>
        <w:t>2.1.</w:t>
      </w:r>
      <w:r w:rsidRPr="00A34388">
        <w:rPr>
          <w:lang w:val="es-ES_tradnl"/>
        </w:rPr>
        <w:tab/>
        <w:t xml:space="preserve">Durante el período a examen, el Comité Permanente sobre el Derecho de Marcas, Diseños Industriales e Indicaciones Geográficas (SCT) continuó trabajando para lograr un acuerdo internacional sobre la normativa y la práctica en materia de diseños industriales.  En su </w:t>
      </w:r>
      <w:r w:rsidR="00261747">
        <w:rPr>
          <w:lang w:val="es-ES_tradnl"/>
        </w:rPr>
        <w:t>período de sesiones</w:t>
      </w:r>
      <w:r w:rsidRPr="00A34388">
        <w:rPr>
          <w:lang w:val="es-ES_tradnl"/>
        </w:rPr>
        <w:t xml:space="preserve"> de diciembre de 2013, la Asamblea General de la OMPI instó al SCT a concluir su trabajo en el texto de una propuesta básica del Tratado sobre el Derecho de los Diseños Industriales y acordó tomar una decisión sobre la convocación de una conferencia diplomática durante su </w:t>
      </w:r>
      <w:r w:rsidR="008B330C" w:rsidRPr="00A34388">
        <w:rPr>
          <w:lang w:val="es-ES_tradnl"/>
        </w:rPr>
        <w:t xml:space="preserve">sesión </w:t>
      </w:r>
      <w:r w:rsidRPr="00A34388">
        <w:rPr>
          <w:lang w:val="es-ES_tradnl"/>
        </w:rPr>
        <w:t xml:space="preserve">extraordinaria de mayo de 2014.  Del mismo modo, el SCT prosiguió su labor en relación con la protección de los nombres de países y </w:t>
      </w:r>
      <w:r w:rsidR="001778FF" w:rsidRPr="00A34388">
        <w:rPr>
          <w:lang w:val="es-ES_tradnl"/>
        </w:rPr>
        <w:t xml:space="preserve">examinó </w:t>
      </w:r>
      <w:r w:rsidRPr="00A34388">
        <w:rPr>
          <w:lang w:val="es-ES_tradnl"/>
        </w:rPr>
        <w:t xml:space="preserve">un estudio preparado por la Secretaría, así como diversas propuestas de los Estados miembros.  </w:t>
      </w:r>
      <w:r w:rsidRPr="00332758">
        <w:rPr>
          <w:lang w:val="es-ES_tradnl"/>
        </w:rPr>
        <w:t>El SCT celebró también una reunión informativa sobre el papel y la responsabilidad de los intermediarios de Internet en el ámbito de las marcas pero posteriormente decidió no proseguir la labor en esa esfera.</w:t>
      </w:r>
      <w:r w:rsidRPr="00A34388">
        <w:rPr>
          <w:lang w:val="es-ES_tradnl"/>
        </w:rPr>
        <w:t xml:space="preserve">  Además, se organizó un foro sobre el diseño al servicio de la innovación </w:t>
      </w:r>
      <w:r w:rsidR="001778FF" w:rsidRPr="00A34388">
        <w:rPr>
          <w:lang w:val="es-ES_tradnl"/>
        </w:rPr>
        <w:t xml:space="preserve">al unísono </w:t>
      </w:r>
      <w:r w:rsidRPr="00A34388">
        <w:rPr>
          <w:lang w:val="es-ES_tradnl"/>
        </w:rPr>
        <w:t xml:space="preserve">con la vigésima novena sesión del SCT, que reunió a un grupo de destacados representantes de la industria del diseño que intercambiaron opiniones sobre la importancia </w:t>
      </w:r>
      <w:r w:rsidR="001778FF" w:rsidRPr="00A34388">
        <w:rPr>
          <w:lang w:val="es-ES_tradnl"/>
        </w:rPr>
        <w:t xml:space="preserve">que el </w:t>
      </w:r>
      <w:r w:rsidRPr="00A34388">
        <w:rPr>
          <w:lang w:val="es-ES_tradnl"/>
        </w:rPr>
        <w:t xml:space="preserve">diseño </w:t>
      </w:r>
      <w:r w:rsidR="001778FF" w:rsidRPr="00A34388">
        <w:rPr>
          <w:lang w:val="es-ES_tradnl"/>
        </w:rPr>
        <w:t xml:space="preserve">tiene </w:t>
      </w:r>
      <w:r w:rsidRPr="00A34388">
        <w:rPr>
          <w:lang w:val="es-ES_tradnl"/>
        </w:rPr>
        <w:t>para la innovación y la creatividad, así como para fomentar el desarrollo económico.</w:t>
      </w:r>
    </w:p>
    <w:p w:rsidR="00525604" w:rsidRPr="00A34388" w:rsidRDefault="00525604" w:rsidP="00525604">
      <w:pPr>
        <w:pStyle w:val="ListParagraph"/>
        <w:tabs>
          <w:tab w:val="left" w:pos="709"/>
          <w:tab w:val="left" w:pos="2268"/>
        </w:tabs>
        <w:ind w:left="0"/>
        <w:jc w:val="both"/>
        <w:rPr>
          <w:lang w:val="es-ES_tradnl"/>
        </w:rPr>
      </w:pPr>
    </w:p>
    <w:p w:rsidR="00525604" w:rsidRPr="00A34388" w:rsidRDefault="00525604" w:rsidP="00525604">
      <w:pPr>
        <w:pStyle w:val="ListParagraph"/>
        <w:tabs>
          <w:tab w:val="left" w:pos="709"/>
          <w:tab w:val="left" w:pos="2268"/>
        </w:tabs>
        <w:ind w:left="0"/>
        <w:jc w:val="both"/>
        <w:rPr>
          <w:lang w:val="es-ES_tradnl"/>
        </w:rPr>
      </w:pPr>
      <w:r w:rsidRPr="00332758">
        <w:rPr>
          <w:lang w:val="es-ES_tradnl"/>
        </w:rPr>
        <w:t>2.2.</w:t>
      </w:r>
      <w:r w:rsidRPr="00A34388">
        <w:rPr>
          <w:lang w:val="es-ES_tradnl"/>
        </w:rPr>
        <w:tab/>
      </w:r>
      <w:r w:rsidRPr="00332758">
        <w:rPr>
          <w:lang w:val="es-ES_tradnl"/>
        </w:rPr>
        <w:t>En cuanto al aumento de la protección de los emblemas de Estado y de los nombres y emblemas de organizaciones intergubernamentales internacionales en virtud del artículo 6</w:t>
      </w:r>
      <w:r w:rsidRPr="00332758">
        <w:rPr>
          <w:i/>
          <w:lang w:val="es-ES_tradnl"/>
        </w:rPr>
        <w:t>ter</w:t>
      </w:r>
      <w:r w:rsidRPr="00332758">
        <w:rPr>
          <w:lang w:val="es-ES_tradnl"/>
        </w:rPr>
        <w:t xml:space="preserve"> del Convenio de París, durante el período examinado las comunicaciones y las respuestas a las solicitudes progresaron con absoluta normalidad.  Las discrepancias entre el objetivo de solicitudes que se deben tramitar y el número de solicitudes tramitadas en realidad se deben a que en la fase de planificación se sobrestimó el número de solicitudes.</w:t>
      </w:r>
      <w:r w:rsidRPr="00A34388">
        <w:rPr>
          <w:lang w:val="es-ES_tradnl"/>
        </w:rPr>
        <w:t xml:space="preserve">  Otro tanto sucede con el número real de signos publicados (es decir, 123), que no alcanza el objetivo, pero se corresponde con el número de solicitudes reales recibidas y comunicadas.</w:t>
      </w:r>
    </w:p>
    <w:p w:rsidR="00525604" w:rsidRPr="00A34388" w:rsidRDefault="00525604" w:rsidP="00525604">
      <w:pPr>
        <w:pStyle w:val="ListParagraph"/>
        <w:tabs>
          <w:tab w:val="left" w:pos="709"/>
          <w:tab w:val="left" w:pos="2268"/>
        </w:tabs>
        <w:ind w:left="0"/>
        <w:jc w:val="both"/>
        <w:rPr>
          <w:lang w:val="es-ES_tradnl"/>
        </w:rPr>
      </w:pPr>
    </w:p>
    <w:p w:rsidR="00525604" w:rsidRPr="00A34388" w:rsidRDefault="00525604" w:rsidP="00525604">
      <w:pPr>
        <w:pStyle w:val="ListParagraph"/>
        <w:tabs>
          <w:tab w:val="left" w:pos="709"/>
          <w:tab w:val="left" w:pos="2268"/>
        </w:tabs>
        <w:ind w:left="0"/>
        <w:jc w:val="both"/>
        <w:rPr>
          <w:lang w:val="es-ES_tradnl"/>
        </w:rPr>
      </w:pPr>
      <w:r w:rsidRPr="00332758">
        <w:rPr>
          <w:lang w:val="es-ES_tradnl"/>
        </w:rPr>
        <w:t>2.3.</w:t>
      </w:r>
      <w:r w:rsidRPr="00A34388">
        <w:rPr>
          <w:lang w:val="es-ES_tradnl"/>
        </w:rPr>
        <w:tab/>
      </w:r>
      <w:r w:rsidRPr="00332758">
        <w:rPr>
          <w:lang w:val="es-ES_tradnl"/>
        </w:rPr>
        <w:t>En lo que respecta al establecimiento de marcos de P.I. adaptados y equilibrados en el ámbito legislativo, regulador y de política, el programa ha respondido de manera individualizada a 36 solicitudes relativas a la legislación en materia de marcas, dibujos y modelos industriales e indicaciones geográficas, enviadas por 24 Estados miembros durante el periodo a examen.</w:t>
      </w:r>
      <w:r w:rsidRPr="00A34388">
        <w:rPr>
          <w:lang w:val="es-ES_tradnl"/>
        </w:rPr>
        <w:t xml:space="preserve">  </w:t>
      </w:r>
    </w:p>
    <w:p w:rsidR="00525604" w:rsidRPr="00A34388" w:rsidRDefault="00525604" w:rsidP="00525604">
      <w:pPr>
        <w:tabs>
          <w:tab w:val="left" w:pos="709"/>
          <w:tab w:val="left" w:pos="2268"/>
        </w:tabs>
        <w:jc w:val="both"/>
        <w:rPr>
          <w:bCs/>
          <w:sz w:val="22"/>
          <w:szCs w:val="22"/>
          <w:lang w:val="es-ES_tradnl"/>
        </w:rPr>
      </w:pPr>
    </w:p>
    <w:p w:rsidR="00525604" w:rsidRPr="00A34388" w:rsidRDefault="00525604" w:rsidP="00525604">
      <w:pPr>
        <w:tabs>
          <w:tab w:val="left" w:pos="2268"/>
        </w:tabs>
        <w:jc w:val="both"/>
        <w:rPr>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tabs>
          <w:tab w:val="left" w:pos="2268"/>
        </w:tabs>
        <w:jc w:val="both"/>
        <w:rPr>
          <w:bCs/>
          <w:color w:val="000000"/>
          <w:sz w:val="22"/>
          <w:szCs w:val="22"/>
          <w:lang w:val="es-ES_tradnl"/>
        </w:rPr>
      </w:pPr>
    </w:p>
    <w:p w:rsidR="00525604" w:rsidRPr="00332758" w:rsidRDefault="00525604" w:rsidP="00525604">
      <w:pPr>
        <w:pStyle w:val="ListParagraph"/>
        <w:tabs>
          <w:tab w:val="left" w:pos="709"/>
          <w:tab w:val="left" w:pos="2268"/>
        </w:tabs>
        <w:ind w:left="0"/>
        <w:jc w:val="both"/>
        <w:rPr>
          <w:rFonts w:eastAsia="MS Mincho"/>
          <w:lang w:val="es-ES_tradnl"/>
        </w:rPr>
      </w:pPr>
      <w:r w:rsidRPr="00332758">
        <w:rPr>
          <w:lang w:val="es-ES_tradnl"/>
        </w:rPr>
        <w:t>2.4.</w:t>
      </w:r>
      <w:r w:rsidRPr="00A34388">
        <w:rPr>
          <w:lang w:val="es-ES_tradnl"/>
        </w:rPr>
        <w:tab/>
      </w:r>
      <w:r w:rsidRPr="00332758">
        <w:rPr>
          <w:lang w:val="es-ES_tradnl"/>
        </w:rPr>
        <w:t>El diseño, la planificación y la ejecución de las actividades del programa 2 se basaron en las recomendaciones pertinentes de la A.D. y se guiaron por ellas.  Las actividades normativas del programa dentro del SCT se siguieron caracterizando por ser inclusivas y estar orientadas hacia los miembros (recomendación 15).</w:t>
      </w:r>
      <w:r w:rsidRPr="00A34388">
        <w:rPr>
          <w:lang w:val="es-ES_tradnl"/>
        </w:rPr>
        <w:t xml:space="preserve">  </w:t>
      </w:r>
      <w:r w:rsidRPr="00332758">
        <w:rPr>
          <w:lang w:val="es-ES_tradnl"/>
        </w:rPr>
        <w:t>Las negociaciones del SCT se basaron en consultas abiertas y equilibradas (recomendaciones 21 y 42).</w:t>
      </w:r>
      <w:r w:rsidRPr="00A34388">
        <w:rPr>
          <w:lang w:val="es-ES_tradnl"/>
        </w:rPr>
        <w:t xml:space="preserve"> </w:t>
      </w:r>
      <w:r w:rsidRPr="00332758">
        <w:rPr>
          <w:lang w:val="es-ES_tradnl"/>
        </w:rPr>
        <w:t xml:space="preserve"> Las actividades del programa en las esferas de la asistencia técnica, el fortalecimiento de capacidades y la asistencia legislativa durante el bienio estuvieron orientadas a potenciar el desarrollo, obedecieron a la demanda y fueron objeto de informes (recomendaciones 1 y 13).  </w:t>
      </w:r>
    </w:p>
    <w:p w:rsidR="00525604" w:rsidRPr="00A34388" w:rsidRDefault="00525604" w:rsidP="00525604">
      <w:pPr>
        <w:tabs>
          <w:tab w:val="left" w:pos="2268"/>
        </w:tabs>
        <w:jc w:val="both"/>
        <w:rPr>
          <w:rFonts w:eastAsia="MS Mincho"/>
          <w:szCs w:val="20"/>
          <w:lang w:val="es-ES_tradnl"/>
        </w:rPr>
      </w:pPr>
    </w:p>
    <w:p w:rsidR="00525604" w:rsidRPr="00A34388" w:rsidRDefault="00525604" w:rsidP="00525604">
      <w:pPr>
        <w:pStyle w:val="ListParagraph"/>
        <w:tabs>
          <w:tab w:val="left" w:pos="709"/>
          <w:tab w:val="left" w:pos="2268"/>
        </w:tabs>
        <w:ind w:left="0"/>
        <w:jc w:val="both"/>
        <w:rPr>
          <w:rFonts w:eastAsia="MS Mincho"/>
          <w:lang w:val="es-ES_tradnl"/>
        </w:rPr>
      </w:pPr>
      <w:r w:rsidRPr="00A34388">
        <w:rPr>
          <w:lang w:val="es-ES_tradnl"/>
        </w:rPr>
        <w:t>2.5.</w:t>
      </w:r>
      <w:r w:rsidRPr="00A34388">
        <w:rPr>
          <w:lang w:val="es-ES_tradnl"/>
        </w:rPr>
        <w:tab/>
        <w:t xml:space="preserve">Por otra parte, el programa contribuyó a la aplicación y evaluación del proyecto sobre la propiedad intelectual y el desarrollo de marcas de productos para fomentar las actividades comerciales en los países en desarrollo y los PMA.  También gestionó la preparación de un Estudio sobre la apropiación indebida de signos, en el contexto del proyecto de la A.D. relativo a la propiedad intelectual y el dominio público, y presentó las conclusiones al CDIP.  El programa participó en la evaluación de este último proyecto y ayudó a redactar el documento del Proyecto piloto sobre la propiedad intelectual (P.I.) y la gestión de diseños para fomentar las actividades comerciales en los países en desarrollo y los países menos adelantados (PMA) (CDIP/12/6).  Este proyecto fue propuesto por la República de Corea y aprobado por el CDIP en su duodécima sesión, </w:t>
      </w:r>
      <w:proofErr w:type="gramStart"/>
      <w:r w:rsidRPr="00A34388">
        <w:rPr>
          <w:lang w:val="es-ES_tradnl"/>
        </w:rPr>
        <w:t>celebrada</w:t>
      </w:r>
      <w:proofErr w:type="gramEnd"/>
      <w:r w:rsidRPr="00A34388">
        <w:rPr>
          <w:lang w:val="es-ES_tradnl"/>
        </w:rPr>
        <w:t xml:space="preserve"> en noviembre de 2013.  </w:t>
      </w:r>
    </w:p>
    <w:p w:rsidR="00525604" w:rsidRPr="00A34388" w:rsidRDefault="00525604" w:rsidP="00525604">
      <w:pPr>
        <w:rPr>
          <w:rFonts w:eastAsia="MS Mincho"/>
          <w:sz w:val="22"/>
          <w:szCs w:val="22"/>
          <w:lang w:val="es-ES_tradnl"/>
        </w:rPr>
      </w:pPr>
      <w:r w:rsidRPr="00A34388">
        <w:rPr>
          <w:lang w:val="es-ES_tradnl"/>
        </w:rPr>
        <w:br w:type="page"/>
      </w:r>
    </w:p>
    <w:p w:rsidR="00525604" w:rsidRPr="00A34388" w:rsidRDefault="00525604" w:rsidP="00525604">
      <w:pPr>
        <w:tabs>
          <w:tab w:val="left" w:pos="2268"/>
        </w:tabs>
        <w:rPr>
          <w:sz w:val="22"/>
          <w:szCs w:val="22"/>
          <w:lang w:val="es-ES_tradnl"/>
        </w:rPr>
      </w:pPr>
      <w:r w:rsidRPr="00332758">
        <w:rPr>
          <w:sz w:val="22"/>
          <w:lang w:val="es-ES_tradnl"/>
        </w:rPr>
        <w:lastRenderedPageBreak/>
        <w:t>DATOS SOBRE EL RENDIMIENTO</w:t>
      </w:r>
    </w:p>
    <w:p w:rsidR="00525604" w:rsidRPr="00A34388" w:rsidRDefault="00525604" w:rsidP="00525604">
      <w:pPr>
        <w:tabs>
          <w:tab w:val="left" w:pos="2268"/>
        </w:tabs>
        <w:rPr>
          <w:b/>
          <w:sz w:val="22"/>
          <w:szCs w:val="22"/>
          <w:lang w:val="es-ES_tradnl"/>
        </w:rPr>
      </w:pP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3"/>
        <w:gridCol w:w="2013"/>
        <w:gridCol w:w="2013"/>
        <w:gridCol w:w="2160"/>
        <w:gridCol w:w="1150"/>
      </w:tblGrid>
      <w:tr w:rsidR="00525604" w:rsidRPr="00E94BEA"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525604" w:rsidRPr="00A34388" w:rsidTr="00853209">
        <w:trPr>
          <w:cantSplit/>
        </w:trPr>
        <w:tc>
          <w:tcPr>
            <w:tcW w:w="78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43"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26"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784" w:type="pct"/>
            <w:tcBorders>
              <w:top w:val="single" w:sz="4" w:space="0" w:color="auto"/>
            </w:tcBorders>
            <w:shd w:val="clear" w:color="auto" w:fill="auto"/>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63"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Acuerdo internacional sobre un marco normativo para los dibujos y modelos industriales.</w:t>
            </w:r>
          </w:p>
        </w:tc>
        <w:tc>
          <w:tcPr>
            <w:tcW w:w="943" w:type="pct"/>
            <w:shd w:val="clear" w:color="auto" w:fill="auto"/>
          </w:tcPr>
          <w:p w:rsidR="00525604" w:rsidRPr="00A34388" w:rsidRDefault="00525604" w:rsidP="00853209">
            <w:pPr>
              <w:rPr>
                <w:rFonts w:cs="Arial"/>
                <w:sz w:val="16"/>
                <w:szCs w:val="16"/>
                <w:lang w:val="es-ES_tradnl"/>
              </w:rPr>
            </w:pPr>
            <w:r w:rsidRPr="00332758">
              <w:rPr>
                <w:sz w:val="16"/>
                <w:lang w:val="es-ES_tradnl"/>
              </w:rPr>
              <w:t>No existe acuerdo internacional.</w:t>
            </w:r>
          </w:p>
        </w:tc>
        <w:tc>
          <w:tcPr>
            <w:tcW w:w="826" w:type="pct"/>
            <w:shd w:val="clear" w:color="auto" w:fill="auto"/>
            <w:tcMar>
              <w:top w:w="110" w:type="dxa"/>
            </w:tcMar>
          </w:tcPr>
          <w:p w:rsidR="00525604" w:rsidRPr="00A34388" w:rsidRDefault="00525604" w:rsidP="001778FF">
            <w:pPr>
              <w:autoSpaceDE w:val="0"/>
              <w:autoSpaceDN w:val="0"/>
              <w:adjustRightInd w:val="0"/>
              <w:rPr>
                <w:rFonts w:cs="Arial"/>
                <w:sz w:val="16"/>
                <w:szCs w:val="16"/>
                <w:lang w:val="es-ES_tradnl"/>
              </w:rPr>
            </w:pPr>
            <w:r w:rsidRPr="00A34388">
              <w:rPr>
                <w:sz w:val="16"/>
                <w:lang w:val="es-ES_tradnl"/>
              </w:rPr>
              <w:t>Convoca</w:t>
            </w:r>
            <w:r w:rsidR="001778FF" w:rsidRPr="00A34388">
              <w:rPr>
                <w:sz w:val="16"/>
                <w:lang w:val="es-ES_tradnl"/>
              </w:rPr>
              <w:t xml:space="preserve">r </w:t>
            </w:r>
            <w:r w:rsidRPr="00A34388">
              <w:rPr>
                <w:sz w:val="16"/>
                <w:lang w:val="es-ES_tradnl"/>
              </w:rPr>
              <w:t xml:space="preserve">una conferencia diplomática para la adopción de un tratado internacional sobre el derecho de los diseños industriales, siempre que </w:t>
            </w:r>
            <w:r w:rsidR="001778FF" w:rsidRPr="00A34388">
              <w:rPr>
                <w:sz w:val="16"/>
                <w:lang w:val="es-ES_tradnl"/>
              </w:rPr>
              <w:t xml:space="preserve">la labor </w:t>
            </w:r>
            <w:r w:rsidRPr="00A34388">
              <w:rPr>
                <w:sz w:val="16"/>
                <w:lang w:val="es-ES_tradnl"/>
              </w:rPr>
              <w:t>preparatori</w:t>
            </w:r>
            <w:r w:rsidR="001778FF" w:rsidRPr="00A34388">
              <w:rPr>
                <w:sz w:val="16"/>
                <w:lang w:val="es-ES_tradnl"/>
              </w:rPr>
              <w:t>a</w:t>
            </w:r>
            <w:r w:rsidRPr="00A34388">
              <w:rPr>
                <w:sz w:val="16"/>
                <w:lang w:val="es-ES_tradnl"/>
              </w:rPr>
              <w:t xml:space="preserve"> progrese lo suficiente.</w:t>
            </w:r>
          </w:p>
        </w:tc>
        <w:tc>
          <w:tcPr>
            <w:tcW w:w="1784" w:type="pct"/>
            <w:shd w:val="clear" w:color="auto" w:fill="auto"/>
            <w:tcMar>
              <w:top w:w="110" w:type="dxa"/>
            </w:tcMar>
          </w:tcPr>
          <w:p w:rsidR="00525604" w:rsidRPr="00A34388" w:rsidRDefault="00525604" w:rsidP="00841118">
            <w:pPr>
              <w:rPr>
                <w:rFonts w:cs="Arial"/>
                <w:sz w:val="16"/>
                <w:szCs w:val="16"/>
                <w:lang w:val="es-ES_tradnl"/>
              </w:rPr>
            </w:pPr>
            <w:r w:rsidRPr="00A34388">
              <w:rPr>
                <w:sz w:val="16"/>
                <w:lang w:val="es-ES_tradnl"/>
              </w:rPr>
              <w:t>Decisión de la Asamblea general de la OMPI "en la que se pida al SCT que finalice la labor acerca del texto de la propuesta básica de un tratado sobre el Derecho de los diseños" (párrafo 89</w:t>
            </w:r>
            <w:r w:rsidR="00841118" w:rsidRPr="00A34388">
              <w:rPr>
                <w:sz w:val="16"/>
                <w:lang w:val="es-ES_tradnl"/>
              </w:rPr>
              <w:t>.a)</w:t>
            </w:r>
            <w:r w:rsidRPr="00A34388">
              <w:rPr>
                <w:sz w:val="16"/>
                <w:lang w:val="es-ES_tradnl"/>
              </w:rPr>
              <w:t xml:space="preserve"> del documento WO/GA/46/6 Prov.2).</w:t>
            </w:r>
          </w:p>
        </w:tc>
        <w:tc>
          <w:tcPr>
            <w:tcW w:w="663"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Progresos en pos de un acuerdo relativo a las cuestiones que están en el orden del día del SCT.</w:t>
            </w:r>
          </w:p>
        </w:tc>
        <w:tc>
          <w:tcPr>
            <w:tcW w:w="943"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actualizada a </w:t>
            </w:r>
            <w:r w:rsidR="001778FF" w:rsidRPr="00A34388">
              <w:rPr>
                <w:i/>
                <w:color w:val="002060"/>
                <w:sz w:val="16"/>
                <w:lang w:val="es-ES_tradnl"/>
              </w:rPr>
              <w:t xml:space="preserve">fines </w:t>
            </w:r>
            <w:r w:rsidRPr="00A34388">
              <w:rPr>
                <w:i/>
                <w:color w:val="002060"/>
                <w:sz w:val="16"/>
                <w:lang w:val="es-ES_tradnl"/>
              </w:rPr>
              <w:t>de 201</w:t>
            </w:r>
            <w:r w:rsidR="002A7E3D">
              <w:rPr>
                <w:i/>
                <w:color w:val="002060"/>
                <w:sz w:val="16"/>
                <w:lang w:val="es-ES_tradnl"/>
              </w:rPr>
              <w:t>1</w:t>
            </w:r>
            <w:r w:rsidRPr="00A34388">
              <w:rPr>
                <w:color w:val="002060"/>
                <w:sz w:val="16"/>
                <w:lang w:val="es-ES_tradnl"/>
              </w:rPr>
              <w:t>:  Proyecto de documento de referencia sobre la protección de los nombres de país contra su registro y uso como marcas</w:t>
            </w:r>
          </w:p>
          <w:p w:rsidR="00525604" w:rsidRPr="00A34388" w:rsidRDefault="00525604" w:rsidP="00853209">
            <w:pPr>
              <w:rPr>
                <w:rFonts w:cs="Arial"/>
                <w:color w:val="002060"/>
                <w:sz w:val="16"/>
                <w:szCs w:val="16"/>
                <w:lang w:val="es-ES_tradnl"/>
              </w:rPr>
            </w:pPr>
          </w:p>
          <w:p w:rsidR="00525604" w:rsidRPr="00A34388" w:rsidRDefault="00525604" w:rsidP="00853209">
            <w:pPr>
              <w:rPr>
                <w:rFonts w:cs="Arial"/>
                <w:color w:val="002060"/>
                <w:sz w:val="16"/>
                <w:szCs w:val="16"/>
                <w:lang w:val="es-ES_tradnl"/>
              </w:rPr>
            </w:pPr>
            <w:r w:rsidRPr="00A34388">
              <w:rPr>
                <w:color w:val="002060"/>
                <w:sz w:val="16"/>
                <w:lang w:val="es-ES_tradnl"/>
              </w:rPr>
              <w:t>Acuerdo relativo a la reunión informativa sobre el papel y la responsabilidad de los intermediarios de Internet en el ámbito de las marcas</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rFonts w:cs="Arial"/>
                <w:sz w:val="16"/>
                <w:szCs w:val="16"/>
                <w:lang w:val="es-ES_tradnl"/>
              </w:rPr>
              <w:br/>
            </w:r>
            <w:r w:rsidRPr="00A34388">
              <w:rPr>
                <w:sz w:val="16"/>
                <w:lang w:val="es-ES_tradnl"/>
              </w:rPr>
              <w:t>Recomendación conjunta sobre las marcas e Internet, de 2001</w:t>
            </w:r>
          </w:p>
        </w:tc>
        <w:tc>
          <w:tcPr>
            <w:tcW w:w="826" w:type="pct"/>
            <w:shd w:val="clear" w:color="auto" w:fill="auto"/>
            <w:tcMar>
              <w:top w:w="110" w:type="dxa"/>
            </w:tcMar>
          </w:tcPr>
          <w:p w:rsidR="00525604" w:rsidRPr="00A34388" w:rsidRDefault="00525604" w:rsidP="00853209">
            <w:pPr>
              <w:rPr>
                <w:rFonts w:cs="Arial"/>
                <w:i/>
                <w:sz w:val="16"/>
                <w:szCs w:val="16"/>
                <w:lang w:val="es-ES_tradnl"/>
              </w:rPr>
            </w:pPr>
            <w:r w:rsidRPr="00332758">
              <w:rPr>
                <w:sz w:val="16"/>
                <w:lang w:val="es-ES_tradnl"/>
              </w:rPr>
              <w:t>Resultados acordados en el SCT.</w:t>
            </w:r>
            <w:r w:rsidRPr="00A34388">
              <w:rPr>
                <w:sz w:val="16"/>
                <w:lang w:val="es-ES_tradnl"/>
              </w:rPr>
              <w:t xml:space="preserve"> </w:t>
            </w:r>
          </w:p>
        </w:tc>
        <w:tc>
          <w:tcPr>
            <w:tcW w:w="1784"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Acuerdo del SCT con respecto a un número </w:t>
            </w:r>
            <w:r w:rsidR="001778FF" w:rsidRPr="00A34388">
              <w:rPr>
                <w:sz w:val="16"/>
                <w:lang w:val="es-ES_tradnl"/>
              </w:rPr>
              <w:t xml:space="preserve">significativo </w:t>
            </w:r>
            <w:r w:rsidRPr="00A34388">
              <w:rPr>
                <w:sz w:val="16"/>
                <w:lang w:val="es-ES_tradnl"/>
              </w:rPr>
              <w:t xml:space="preserve">de proyectos de artículos y normas para un tratado sobre el Derecho de los diseños industriales. </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sz w:val="16"/>
                <w:lang w:val="es-ES_tradnl"/>
              </w:rPr>
              <w:t>Acuerdo del SCT sobre la continuación del trabajo en materia de protección de los nombres de país.</w:t>
            </w:r>
          </w:p>
        </w:tc>
        <w:tc>
          <w:tcPr>
            <w:tcW w:w="663"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ratificaciones/adhesiones al Tratado de Singapur.</w:t>
            </w:r>
          </w:p>
        </w:tc>
        <w:tc>
          <w:tcPr>
            <w:tcW w:w="943"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actualizada a </w:t>
            </w:r>
            <w:r w:rsidR="001778FF" w:rsidRPr="00A34388">
              <w:rPr>
                <w:i/>
                <w:color w:val="002060"/>
                <w:sz w:val="16"/>
                <w:lang w:val="es-ES_tradnl"/>
              </w:rPr>
              <w:t xml:space="preserve">fines </w:t>
            </w:r>
            <w:r w:rsidRPr="00A34388">
              <w:rPr>
                <w:i/>
                <w:color w:val="002060"/>
                <w:sz w:val="16"/>
                <w:lang w:val="es-ES_tradnl"/>
              </w:rPr>
              <w:t>de 2011:</w:t>
            </w:r>
            <w:r w:rsidRPr="00A34388">
              <w:rPr>
                <w:color w:val="002060"/>
                <w:sz w:val="16"/>
                <w:lang w:val="es-ES_tradnl"/>
              </w:rPr>
              <w:t xml:space="preserve">  Número total de Partes Contratantes a finales de 2011:  24</w:t>
            </w:r>
            <w:r w:rsidRPr="00A34388">
              <w:rPr>
                <w:rStyle w:val="FootnoteReference"/>
                <w:color w:val="002060"/>
                <w:sz w:val="16"/>
                <w:lang w:val="es-ES_tradnl"/>
              </w:rPr>
              <w:footnoteReference w:id="2"/>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sz w:val="16"/>
                <w:lang w:val="es-ES_tradnl"/>
              </w:rPr>
              <w:t xml:space="preserve">Referencia original </w:t>
            </w:r>
            <w:proofErr w:type="spellStart"/>
            <w:r w:rsidRPr="00A34388">
              <w:rPr>
                <w:sz w:val="16"/>
                <w:lang w:val="es-ES_tradnl"/>
              </w:rPr>
              <w:t>Presup</w:t>
            </w:r>
            <w:proofErr w:type="spellEnd"/>
            <w:r w:rsidRPr="00A34388">
              <w:rPr>
                <w:sz w:val="16"/>
                <w:lang w:val="es-ES_tradnl"/>
              </w:rPr>
              <w:t xml:space="preserve">. </w:t>
            </w:r>
            <w:proofErr w:type="gramStart"/>
            <w:r w:rsidRPr="00A34388">
              <w:rPr>
                <w:sz w:val="16"/>
                <w:lang w:val="es-ES_tradnl"/>
              </w:rPr>
              <w:t>por</w:t>
            </w:r>
            <w:proofErr w:type="gramEnd"/>
            <w:r w:rsidRPr="00A34388">
              <w:rPr>
                <w:sz w:val="16"/>
                <w:lang w:val="es-ES_tradnl"/>
              </w:rPr>
              <w:t xml:space="preserve"> </w:t>
            </w:r>
            <w:proofErr w:type="spellStart"/>
            <w:r w:rsidRPr="00A34388">
              <w:rPr>
                <w:sz w:val="16"/>
                <w:lang w:val="es-ES_tradnl"/>
              </w:rPr>
              <w:t>prog</w:t>
            </w:r>
            <w:proofErr w:type="spellEnd"/>
            <w:r w:rsidRPr="00A34388">
              <w:rPr>
                <w:sz w:val="16"/>
                <w:lang w:val="es-ES_tradnl"/>
              </w:rPr>
              <w:t>. 2012/13:</w:t>
            </w:r>
            <w:r w:rsidRPr="00A34388">
              <w:rPr>
                <w:rFonts w:cs="Arial"/>
                <w:sz w:val="16"/>
                <w:szCs w:val="16"/>
                <w:lang w:val="es-ES_tradnl"/>
              </w:rPr>
              <w:br/>
            </w:r>
            <w:r w:rsidRPr="00A34388">
              <w:rPr>
                <w:sz w:val="16"/>
                <w:lang w:val="es-ES_tradnl"/>
              </w:rPr>
              <w:t>Número de ratificaciones/adhesiones a finales de 2011.</w:t>
            </w:r>
          </w:p>
        </w:tc>
        <w:tc>
          <w:tcPr>
            <w:tcW w:w="826"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Al menos 10 ratificaciones/adhesiones</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adicionales al</w:t>
            </w:r>
          </w:p>
          <w:p w:rsidR="00525604" w:rsidRPr="00A34388" w:rsidRDefault="00525604" w:rsidP="00853209">
            <w:pPr>
              <w:rPr>
                <w:rFonts w:cs="Arial"/>
                <w:sz w:val="16"/>
                <w:szCs w:val="16"/>
                <w:lang w:val="es-ES_tradnl"/>
              </w:rPr>
            </w:pPr>
            <w:r w:rsidRPr="00A34388">
              <w:rPr>
                <w:sz w:val="16"/>
                <w:lang w:val="es-ES_tradnl"/>
              </w:rPr>
              <w:t>Tratado de Singapur.</w:t>
            </w:r>
          </w:p>
        </w:tc>
        <w:tc>
          <w:tcPr>
            <w:tcW w:w="1784"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Siete ratificaciones en 2012/2013, a saber</w:t>
            </w:r>
            <w:proofErr w:type="gramStart"/>
            <w:r w:rsidRPr="00A34388">
              <w:rPr>
                <w:sz w:val="16"/>
                <w:lang w:val="es-ES_tradnl"/>
              </w:rPr>
              <w:t xml:space="preserve">: </w:t>
            </w:r>
            <w:r w:rsidR="007E4D96" w:rsidRPr="00A34388">
              <w:rPr>
                <w:sz w:val="16"/>
                <w:lang w:val="es-ES_tradnl"/>
              </w:rPr>
              <w:t xml:space="preserve"> </w:t>
            </w:r>
            <w:r w:rsidRPr="00A34388">
              <w:rPr>
                <w:sz w:val="16"/>
                <w:lang w:val="es-ES_tradnl"/>
              </w:rPr>
              <w:t>Alemania</w:t>
            </w:r>
            <w:proofErr w:type="gramEnd"/>
            <w:r w:rsidRPr="00A34388">
              <w:rPr>
                <w:sz w:val="16"/>
                <w:lang w:val="es-ES_tradnl"/>
              </w:rPr>
              <w:t>, Armenia, Islandia, Kazajstán, Lituania, Nueva Zeland</w:t>
            </w:r>
            <w:r w:rsidR="001778FF" w:rsidRPr="00A34388">
              <w:rPr>
                <w:sz w:val="16"/>
                <w:lang w:val="es-ES_tradnl"/>
              </w:rPr>
              <w:t>i</w:t>
            </w:r>
            <w:r w:rsidRPr="00A34388">
              <w:rPr>
                <w:sz w:val="16"/>
                <w:lang w:val="es-ES_tradnl"/>
              </w:rPr>
              <w:t>a y el Reino Unido, lo que suma un total de 31 Partes Contratantes a finales de 2013.</w:t>
            </w:r>
          </w:p>
        </w:tc>
        <w:tc>
          <w:tcPr>
            <w:tcW w:w="663"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A34388" w:rsidTr="00853209">
        <w:trPr>
          <w:cantSplit/>
        </w:trPr>
        <w:tc>
          <w:tcPr>
            <w:tcW w:w="78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Labor iniciada por el SCT sobre las indicaciones geográficas.</w:t>
            </w:r>
            <w:r w:rsidRPr="00A34388">
              <w:rPr>
                <w:color w:val="000000"/>
                <w:sz w:val="16"/>
                <w:lang w:val="es-ES_tradnl"/>
              </w:rPr>
              <w:t xml:space="preserve">  </w:t>
            </w:r>
          </w:p>
        </w:tc>
        <w:tc>
          <w:tcPr>
            <w:tcW w:w="943" w:type="pct"/>
            <w:tcBorders>
              <w:bottom w:val="single" w:sz="4" w:space="0" w:color="auto"/>
            </w:tcBorders>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Referencia actualizada a fin</w:t>
            </w:r>
            <w:r w:rsidR="00293A53" w:rsidRPr="00A34388">
              <w:rPr>
                <w:i/>
                <w:color w:val="002060"/>
                <w:sz w:val="16"/>
                <w:lang w:val="es-ES_tradnl"/>
              </w:rPr>
              <w:t>es</w:t>
            </w:r>
            <w:r w:rsidRPr="00A34388">
              <w:rPr>
                <w:i/>
                <w:color w:val="002060"/>
                <w:sz w:val="16"/>
                <w:lang w:val="es-ES_tradnl"/>
              </w:rPr>
              <w:t xml:space="preserve"> de 2011</w:t>
            </w:r>
            <w:r w:rsidRPr="00A34388">
              <w:rPr>
                <w:color w:val="002060"/>
                <w:sz w:val="16"/>
                <w:lang w:val="es-ES_tradnl"/>
              </w:rPr>
              <w:t xml:space="preserve">: </w:t>
            </w:r>
            <w:r w:rsidR="007E4D96" w:rsidRPr="00A34388">
              <w:rPr>
                <w:color w:val="002060"/>
                <w:sz w:val="16"/>
                <w:lang w:val="es-ES_tradnl"/>
              </w:rPr>
              <w:t xml:space="preserve"> </w:t>
            </w:r>
            <w:r w:rsidRPr="00A34388">
              <w:rPr>
                <w:color w:val="002060"/>
                <w:sz w:val="16"/>
                <w:lang w:val="es-ES_tradnl"/>
              </w:rPr>
              <w:t>El SCT no inició labor alguna sobre las indicaciones geográficas en 2011</w:t>
            </w:r>
          </w:p>
          <w:p w:rsidR="00525604" w:rsidRPr="00A34388" w:rsidRDefault="00525604" w:rsidP="00853209">
            <w:pPr>
              <w:rPr>
                <w:rFonts w:cs="Arial"/>
                <w:i/>
                <w:sz w:val="8"/>
                <w:szCs w:val="8"/>
                <w:lang w:val="es-ES_tradnl"/>
              </w:rPr>
            </w:pPr>
          </w:p>
          <w:p w:rsidR="00525604" w:rsidRPr="00332758" w:rsidRDefault="00525604" w:rsidP="00853209">
            <w:pPr>
              <w:rPr>
                <w:rFonts w:cs="Arial"/>
                <w:sz w:val="16"/>
                <w:szCs w:val="16"/>
                <w:lang w:val="es-ES_tradnl"/>
              </w:rPr>
            </w:pPr>
            <w:r w:rsidRPr="00332758">
              <w:rPr>
                <w:i/>
                <w:sz w:val="16"/>
                <w:lang w:val="es-ES_tradnl"/>
              </w:rPr>
              <w:t>Referencia original en el presupuesto por programas de 2012/13:</w:t>
            </w:r>
          </w:p>
          <w:p w:rsidR="00525604" w:rsidRPr="00A34388" w:rsidRDefault="00525604" w:rsidP="00853209">
            <w:pPr>
              <w:rPr>
                <w:rFonts w:cs="Arial"/>
                <w:sz w:val="16"/>
                <w:szCs w:val="16"/>
                <w:lang w:val="es-ES_tradnl"/>
              </w:rPr>
            </w:pPr>
            <w:r w:rsidRPr="00332758">
              <w:rPr>
                <w:sz w:val="16"/>
                <w:lang w:val="es-ES_tradnl"/>
              </w:rPr>
              <w:t>Situación de la labor del SCT sobre las indicaciones geográficas a finales de 2011.</w:t>
            </w:r>
          </w:p>
          <w:p w:rsidR="00525604" w:rsidRPr="00A34388" w:rsidRDefault="00525604" w:rsidP="00853209">
            <w:pPr>
              <w:rPr>
                <w:rFonts w:cs="Arial"/>
                <w:sz w:val="16"/>
                <w:szCs w:val="16"/>
                <w:lang w:val="es-ES_tradnl"/>
              </w:rPr>
            </w:pPr>
          </w:p>
        </w:tc>
        <w:tc>
          <w:tcPr>
            <w:tcW w:w="826"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 xml:space="preserve">Comentarios del SCT en un documento de </w:t>
            </w:r>
          </w:p>
          <w:p w:rsidR="00525604" w:rsidRPr="00A34388" w:rsidRDefault="00525604" w:rsidP="00853209">
            <w:pPr>
              <w:rPr>
                <w:rFonts w:cs="Arial"/>
                <w:sz w:val="16"/>
                <w:szCs w:val="16"/>
                <w:lang w:val="es-ES_tradnl"/>
              </w:rPr>
            </w:pPr>
            <w:r w:rsidRPr="00A34388">
              <w:rPr>
                <w:sz w:val="16"/>
                <w:lang w:val="es-ES_tradnl"/>
              </w:rPr>
              <w:t>antecedentes sobre las indicaciones geográficas</w:t>
            </w:r>
          </w:p>
        </w:tc>
        <w:tc>
          <w:tcPr>
            <w:tcW w:w="1784" w:type="pct"/>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Inicio de la labor por el SCT sobre las indicaciones geográficas.</w:t>
            </w:r>
          </w:p>
        </w:tc>
        <w:tc>
          <w:tcPr>
            <w:tcW w:w="663"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E94BEA"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Aumento de la protección de los emblemas de Estado y de los nombres y emblemas de organizaciones intergubernamentales internacionales</w:t>
            </w:r>
          </w:p>
        </w:tc>
      </w:tr>
      <w:tr w:rsidR="00525604" w:rsidRPr="00A34388" w:rsidTr="00853209">
        <w:trPr>
          <w:cantSplit/>
        </w:trPr>
        <w:tc>
          <w:tcPr>
            <w:tcW w:w="784" w:type="pct"/>
            <w:tcBorders>
              <w:top w:val="single" w:sz="4" w:space="0" w:color="auto"/>
            </w:tcBorders>
            <w:shd w:val="clear" w:color="auto" w:fill="auto"/>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Indicadores de rendimiento</w:t>
            </w:r>
          </w:p>
        </w:tc>
        <w:tc>
          <w:tcPr>
            <w:tcW w:w="943" w:type="pct"/>
            <w:tcBorders>
              <w:top w:val="single" w:sz="4" w:space="0" w:color="auto"/>
            </w:tcBorders>
            <w:shd w:val="clear" w:color="auto" w:fill="auto"/>
            <w:vAlign w:val="center"/>
          </w:tcPr>
          <w:p w:rsidR="00525604" w:rsidRPr="00A34388" w:rsidRDefault="00525604" w:rsidP="00853209">
            <w:pPr>
              <w:keepNext/>
              <w:keepLines/>
              <w:rPr>
                <w:rFonts w:cs="Arial"/>
                <w:b/>
                <w:bCs/>
                <w:color w:val="808080"/>
                <w:sz w:val="16"/>
                <w:szCs w:val="16"/>
                <w:lang w:val="es-ES_tradnl"/>
              </w:rPr>
            </w:pPr>
            <w:r w:rsidRPr="00332758">
              <w:rPr>
                <w:b/>
                <w:sz w:val="16"/>
                <w:lang w:val="es-ES_tradnl"/>
              </w:rPr>
              <w:t>Referencia</w:t>
            </w:r>
          </w:p>
        </w:tc>
        <w:tc>
          <w:tcPr>
            <w:tcW w:w="826"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b/>
                <w:color w:val="808080"/>
                <w:sz w:val="16"/>
                <w:szCs w:val="16"/>
                <w:lang w:val="es-ES_tradnl"/>
              </w:rPr>
            </w:pPr>
            <w:r w:rsidRPr="00332758">
              <w:rPr>
                <w:b/>
                <w:sz w:val="16"/>
                <w:lang w:val="es-ES_tradnl"/>
              </w:rPr>
              <w:t>Objetivos</w:t>
            </w:r>
          </w:p>
        </w:tc>
        <w:tc>
          <w:tcPr>
            <w:tcW w:w="1784"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Datos sobre el rendimiento</w:t>
            </w:r>
          </w:p>
        </w:tc>
        <w:tc>
          <w:tcPr>
            <w:tcW w:w="663"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solicitudes de comunicaciones en virtud del Artículo 6</w:t>
            </w:r>
            <w:r w:rsidRPr="00332758">
              <w:rPr>
                <w:i/>
                <w:sz w:val="16"/>
                <w:lang w:val="es-ES_tradnl"/>
              </w:rPr>
              <w:t xml:space="preserve">ter </w:t>
            </w:r>
            <w:r w:rsidRPr="00332758">
              <w:rPr>
                <w:sz w:val="16"/>
                <w:lang w:val="es-ES_tradnl"/>
              </w:rPr>
              <w:t>del Convenio de París a las que se ha respondido.</w:t>
            </w:r>
          </w:p>
        </w:tc>
        <w:tc>
          <w:tcPr>
            <w:tcW w:w="943"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Referencia actualizada a fin</w:t>
            </w:r>
            <w:r w:rsidR="007A1C31" w:rsidRPr="00A34388">
              <w:rPr>
                <w:i/>
                <w:color w:val="002060"/>
                <w:sz w:val="16"/>
                <w:lang w:val="es-ES_tradnl"/>
              </w:rPr>
              <w:t>es</w:t>
            </w:r>
            <w:r w:rsidRPr="00A34388">
              <w:rPr>
                <w:i/>
                <w:color w:val="002060"/>
                <w:sz w:val="16"/>
                <w:lang w:val="es-ES_tradnl"/>
              </w:rPr>
              <w:t xml:space="preserve"> de 2011</w:t>
            </w:r>
            <w:proofErr w:type="gramStart"/>
            <w:r w:rsidRPr="00A34388">
              <w:rPr>
                <w:color w:val="002060"/>
                <w:sz w:val="16"/>
                <w:lang w:val="es-ES_tradnl"/>
              </w:rPr>
              <w:t xml:space="preserve">:  </w:t>
            </w:r>
            <w:r w:rsidR="004F7424" w:rsidRPr="00A34388">
              <w:rPr>
                <w:color w:val="002060"/>
                <w:sz w:val="16"/>
                <w:lang w:val="es-ES_tradnl"/>
              </w:rPr>
              <w:t>se</w:t>
            </w:r>
            <w:proofErr w:type="gramEnd"/>
            <w:r w:rsidR="004F7424" w:rsidRPr="00A34388">
              <w:rPr>
                <w:color w:val="002060"/>
                <w:sz w:val="16"/>
                <w:lang w:val="es-ES_tradnl"/>
              </w:rPr>
              <w:t xml:space="preserve"> aceptó la comunicación de 52 </w:t>
            </w:r>
            <w:r w:rsidR="004F7424">
              <w:rPr>
                <w:color w:val="002060"/>
                <w:sz w:val="16"/>
                <w:lang w:val="es-ES_tradnl"/>
              </w:rPr>
              <w:t xml:space="preserve">de las </w:t>
            </w:r>
            <w:r w:rsidRPr="00A34388">
              <w:rPr>
                <w:color w:val="002060"/>
                <w:sz w:val="16"/>
                <w:lang w:val="es-ES_tradnl"/>
              </w:rPr>
              <w:t>65 solicitudes recibidas en 2010/11.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
          <w:p w:rsidR="00525604" w:rsidRPr="00A34388" w:rsidRDefault="00525604" w:rsidP="00853209">
            <w:pPr>
              <w:rPr>
                <w:rFonts w:cs="Arial"/>
                <w:sz w:val="16"/>
                <w:szCs w:val="16"/>
                <w:lang w:val="es-ES_tradnl"/>
              </w:rPr>
            </w:pPr>
            <w:r w:rsidRPr="00332758">
              <w:rPr>
                <w:sz w:val="16"/>
                <w:lang w:val="es-ES_tradnl"/>
              </w:rPr>
              <w:t>Número de solicitudes de comunicación recibidas en 2010/11.</w:t>
            </w:r>
          </w:p>
        </w:tc>
        <w:tc>
          <w:tcPr>
            <w:tcW w:w="826"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 xml:space="preserve">Respuesta a 160 solicitudes procedentes de Estados/OIG relativas a las comunicaciones contempladas en el Artículo 6ter </w:t>
            </w:r>
          </w:p>
        </w:tc>
        <w:tc>
          <w:tcPr>
            <w:tcW w:w="1784" w:type="pct"/>
            <w:shd w:val="clear" w:color="auto" w:fill="auto"/>
            <w:tcMar>
              <w:top w:w="110" w:type="dxa"/>
            </w:tcMar>
          </w:tcPr>
          <w:p w:rsidR="00525604" w:rsidRPr="00A34388" w:rsidRDefault="00525604" w:rsidP="007A1C31">
            <w:pPr>
              <w:rPr>
                <w:rFonts w:cs="Arial"/>
                <w:sz w:val="16"/>
                <w:szCs w:val="16"/>
                <w:lang w:val="es-ES_tradnl"/>
              </w:rPr>
            </w:pPr>
            <w:r w:rsidRPr="00A34388">
              <w:rPr>
                <w:sz w:val="16"/>
                <w:lang w:val="es-ES_tradnl"/>
              </w:rPr>
              <w:t xml:space="preserve">126 solicitudes de comunicación recibidas de las </w:t>
            </w:r>
            <w:r w:rsidR="007A1C31" w:rsidRPr="00A34388">
              <w:rPr>
                <w:sz w:val="16"/>
                <w:lang w:val="es-ES_tradnl"/>
              </w:rPr>
              <w:t xml:space="preserve">cuales se publicaron </w:t>
            </w:r>
            <w:r w:rsidRPr="00A34388">
              <w:rPr>
                <w:sz w:val="16"/>
                <w:lang w:val="es-ES_tradnl"/>
              </w:rPr>
              <w:t> 25.</w:t>
            </w:r>
          </w:p>
        </w:tc>
        <w:tc>
          <w:tcPr>
            <w:tcW w:w="663" w:type="pct"/>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signos publicados en la base de datos sobre el Artículo 6</w:t>
            </w:r>
            <w:r w:rsidRPr="00332758">
              <w:rPr>
                <w:i/>
                <w:sz w:val="16"/>
                <w:lang w:val="es-ES_tradnl"/>
              </w:rPr>
              <w:t>ter</w:t>
            </w:r>
            <w:r w:rsidRPr="00332758">
              <w:rPr>
                <w:sz w:val="16"/>
                <w:lang w:val="es-ES_tradnl"/>
              </w:rPr>
              <w:t>.</w:t>
            </w:r>
          </w:p>
        </w:tc>
        <w:tc>
          <w:tcPr>
            <w:tcW w:w="943"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411</w:t>
            </w:r>
            <w:proofErr w:type="gramEnd"/>
            <w:r w:rsidRPr="00A34388">
              <w:rPr>
                <w:color w:val="002060"/>
                <w:sz w:val="16"/>
                <w:lang w:val="es-ES_tradnl"/>
              </w:rPr>
              <w:t xml:space="preserve"> signos publicados en la base de datos sobre el Artículo 6</w:t>
            </w:r>
            <w:r w:rsidRPr="00A34388">
              <w:rPr>
                <w:i/>
                <w:color w:val="002060"/>
                <w:sz w:val="16"/>
                <w:lang w:val="es-ES_tradnl"/>
              </w:rPr>
              <w:t>ter</w:t>
            </w:r>
            <w:r w:rsidRPr="00A34388">
              <w:rPr>
                <w:color w:val="002060"/>
                <w:sz w:val="16"/>
                <w:lang w:val="es-ES_tradnl"/>
              </w:rPr>
              <w:t xml:space="preserve"> en 2010/11.</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
          <w:p w:rsidR="00525604" w:rsidRPr="00A34388" w:rsidRDefault="00525604" w:rsidP="00853209">
            <w:pPr>
              <w:rPr>
                <w:rFonts w:cs="Arial"/>
                <w:sz w:val="16"/>
                <w:szCs w:val="16"/>
                <w:lang w:val="es-ES_tradnl"/>
              </w:rPr>
            </w:pPr>
            <w:r w:rsidRPr="00332758">
              <w:rPr>
                <w:sz w:val="16"/>
                <w:lang w:val="es-ES_tradnl"/>
              </w:rPr>
              <w:t>Número de signos publicados en la base de datos sobre el Artículo 6</w:t>
            </w:r>
            <w:r w:rsidRPr="00332758">
              <w:rPr>
                <w:i/>
                <w:sz w:val="16"/>
                <w:lang w:val="es-ES_tradnl"/>
              </w:rPr>
              <w:t>ter</w:t>
            </w:r>
            <w:r w:rsidRPr="00332758">
              <w:rPr>
                <w:sz w:val="16"/>
                <w:lang w:val="es-ES_tradnl"/>
              </w:rPr>
              <w:t xml:space="preserve"> en 2010/11.</w:t>
            </w:r>
          </w:p>
        </w:tc>
        <w:tc>
          <w:tcPr>
            <w:tcW w:w="826"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300 signos publicados</w:t>
            </w:r>
          </w:p>
          <w:p w:rsidR="00525604" w:rsidRPr="00A34388" w:rsidRDefault="00525604" w:rsidP="00853209">
            <w:pPr>
              <w:rPr>
                <w:rFonts w:cs="Arial"/>
                <w:sz w:val="16"/>
                <w:szCs w:val="16"/>
                <w:lang w:val="es-ES_tradnl"/>
              </w:rPr>
            </w:pPr>
            <w:r w:rsidRPr="00A34388">
              <w:rPr>
                <w:sz w:val="16"/>
                <w:lang w:val="es-ES_tradnl"/>
              </w:rPr>
              <w:t>(en total)</w:t>
            </w:r>
          </w:p>
        </w:tc>
        <w:tc>
          <w:tcPr>
            <w:tcW w:w="1784"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Un total de 132 signos publicados durante el bienio (84 signos individuales publicados en 2012 y 48 signos individuales publicados en 2013) (543 en total).</w:t>
            </w:r>
          </w:p>
        </w:tc>
        <w:tc>
          <w:tcPr>
            <w:tcW w:w="663" w:type="pct"/>
            <w:shd w:val="clear" w:color="auto" w:fill="auto"/>
          </w:tcPr>
          <w:p w:rsidR="00525604" w:rsidRPr="00A34388" w:rsidRDefault="00525604" w:rsidP="00853209">
            <w:pPr>
              <w:keepNext/>
              <w:keepLines/>
              <w:jc w:val="center"/>
              <w:rPr>
                <w:rFonts w:cs="Arial"/>
                <w:b/>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Directrices exhaustivas para la aplicación del Artículo 6</w:t>
            </w:r>
            <w:r w:rsidRPr="00332758">
              <w:rPr>
                <w:i/>
                <w:sz w:val="16"/>
                <w:lang w:val="es-ES_tradnl"/>
              </w:rPr>
              <w:t>te</w:t>
            </w:r>
            <w:r w:rsidRPr="00332758">
              <w:rPr>
                <w:sz w:val="16"/>
                <w:lang w:val="es-ES_tradnl"/>
              </w:rPr>
              <w:t>r.</w:t>
            </w:r>
          </w:p>
        </w:tc>
        <w:tc>
          <w:tcPr>
            <w:tcW w:w="943" w:type="pct"/>
            <w:shd w:val="clear" w:color="auto" w:fill="auto"/>
          </w:tcPr>
          <w:p w:rsidR="00525604" w:rsidRPr="00A34388" w:rsidRDefault="00525604" w:rsidP="00853209">
            <w:pPr>
              <w:rPr>
                <w:rFonts w:cs="Arial"/>
                <w:sz w:val="16"/>
                <w:szCs w:val="16"/>
                <w:lang w:val="es-ES_tradnl"/>
              </w:rPr>
            </w:pPr>
            <w:r w:rsidRPr="00332758">
              <w:rPr>
                <w:sz w:val="16"/>
                <w:lang w:val="es-ES_tradnl"/>
              </w:rPr>
              <w:t>Directrices de aplicación del Artículo 6</w:t>
            </w:r>
            <w:r w:rsidRPr="00332758">
              <w:rPr>
                <w:i/>
                <w:sz w:val="16"/>
                <w:lang w:val="es-ES_tradnl"/>
              </w:rPr>
              <w:t xml:space="preserve">ter </w:t>
            </w:r>
            <w:r w:rsidRPr="00332758">
              <w:rPr>
                <w:sz w:val="16"/>
                <w:lang w:val="es-ES_tradnl"/>
              </w:rPr>
              <w:t>1)b) y 3)b) de 1992.</w:t>
            </w:r>
          </w:p>
        </w:tc>
        <w:tc>
          <w:tcPr>
            <w:tcW w:w="826"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Adopción de directrices exhaustivas por la Asamblea de la Unión de París.</w:t>
            </w:r>
          </w:p>
          <w:p w:rsidR="00525604" w:rsidRPr="00A34388" w:rsidRDefault="00525604" w:rsidP="00853209">
            <w:pPr>
              <w:rPr>
                <w:rFonts w:cs="Arial"/>
                <w:sz w:val="16"/>
                <w:szCs w:val="16"/>
                <w:lang w:val="es-ES_tradnl"/>
              </w:rPr>
            </w:pPr>
          </w:p>
        </w:tc>
        <w:tc>
          <w:tcPr>
            <w:tcW w:w="1784"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Debido al extenso programa de trabajo del SCT y a la ausencia de una propuesta concreta de los Estados miembros, no se llevó a cabo la actividad.</w:t>
            </w:r>
          </w:p>
        </w:tc>
        <w:tc>
          <w:tcPr>
            <w:tcW w:w="663" w:type="pct"/>
            <w:shd w:val="clear" w:color="auto" w:fill="auto"/>
            <w:tcMar>
              <w:top w:w="110" w:type="dxa"/>
            </w:tcMar>
          </w:tcPr>
          <w:p w:rsidR="00525604" w:rsidRPr="00A34388" w:rsidRDefault="00525604" w:rsidP="00853209">
            <w:pPr>
              <w:keepNext/>
              <w:keepLines/>
              <w:spacing w:after="120"/>
              <w:jc w:val="center"/>
              <w:rPr>
                <w:rFonts w:cs="Arial"/>
                <w:b/>
                <w:bCs/>
                <w:sz w:val="16"/>
                <w:szCs w:val="16"/>
                <w:lang w:val="es-ES_tradnl"/>
              </w:rPr>
            </w:pPr>
            <w:r w:rsidRPr="00A34388">
              <w:rPr>
                <w:rStyle w:val="Style5"/>
                <w:rFonts w:ascii="Arial" w:hAnsi="Arial"/>
                <w:sz w:val="16"/>
                <w:lang w:val="es-ES_tradnl"/>
              </w:rPr>
              <w:t>Interrumpido</w:t>
            </w:r>
          </w:p>
        </w:tc>
      </w:tr>
      <w:tr w:rsidR="00525604" w:rsidRPr="00E94BEA"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Marcos de P.I. adaptados y equilibrados en el ámbito legislativo, reglamentario y de política</w:t>
            </w:r>
          </w:p>
        </w:tc>
      </w:tr>
      <w:tr w:rsidR="00525604" w:rsidRPr="00A34388" w:rsidTr="00853209">
        <w:trPr>
          <w:cantSplit/>
        </w:trPr>
        <w:tc>
          <w:tcPr>
            <w:tcW w:w="784" w:type="pct"/>
            <w:tcBorders>
              <w:top w:val="single" w:sz="4" w:space="0" w:color="auto"/>
            </w:tcBorders>
            <w:shd w:val="clear" w:color="auto" w:fill="auto"/>
            <w:vAlign w:val="center"/>
          </w:tcPr>
          <w:p w:rsidR="00525604" w:rsidRPr="00A34388" w:rsidRDefault="00525604" w:rsidP="00853209">
            <w:pPr>
              <w:spacing w:after="120"/>
              <w:rPr>
                <w:rFonts w:cs="Arial"/>
                <w:color w:val="808080"/>
                <w:sz w:val="16"/>
                <w:szCs w:val="16"/>
                <w:lang w:val="es-ES_tradnl"/>
              </w:rPr>
            </w:pPr>
            <w:r w:rsidRPr="00332758">
              <w:rPr>
                <w:b/>
                <w:sz w:val="16"/>
                <w:lang w:val="es-ES_tradnl"/>
              </w:rPr>
              <w:t>Indicadores de rendimiento</w:t>
            </w:r>
          </w:p>
        </w:tc>
        <w:tc>
          <w:tcPr>
            <w:tcW w:w="943" w:type="pct"/>
            <w:tcBorders>
              <w:top w:val="single" w:sz="4" w:space="0" w:color="auto"/>
            </w:tcBorders>
            <w:shd w:val="clear" w:color="auto" w:fill="auto"/>
            <w:vAlign w:val="center"/>
          </w:tcPr>
          <w:p w:rsidR="00525604" w:rsidRPr="00A34388" w:rsidRDefault="00525604" w:rsidP="00853209">
            <w:pPr>
              <w:spacing w:after="120"/>
              <w:rPr>
                <w:rFonts w:cs="Arial"/>
                <w:b/>
                <w:bCs/>
                <w:color w:val="808080"/>
                <w:sz w:val="16"/>
                <w:szCs w:val="16"/>
                <w:lang w:val="es-ES_tradnl"/>
              </w:rPr>
            </w:pPr>
            <w:r w:rsidRPr="00332758">
              <w:rPr>
                <w:b/>
                <w:sz w:val="16"/>
                <w:lang w:val="es-ES_tradnl"/>
              </w:rPr>
              <w:t>Referencia</w:t>
            </w:r>
          </w:p>
        </w:tc>
        <w:tc>
          <w:tcPr>
            <w:tcW w:w="826" w:type="pct"/>
            <w:tcBorders>
              <w:top w:val="single" w:sz="4" w:space="0" w:color="auto"/>
            </w:tcBorders>
            <w:shd w:val="clear" w:color="auto" w:fill="auto"/>
            <w:tcMar>
              <w:top w:w="110" w:type="dxa"/>
            </w:tcMar>
            <w:vAlign w:val="center"/>
          </w:tcPr>
          <w:p w:rsidR="00525604" w:rsidRPr="00A34388" w:rsidRDefault="00525604" w:rsidP="00853209">
            <w:pPr>
              <w:spacing w:after="120"/>
              <w:rPr>
                <w:rFonts w:cs="Arial"/>
                <w:b/>
                <w:color w:val="808080"/>
                <w:sz w:val="16"/>
                <w:szCs w:val="16"/>
                <w:lang w:val="es-ES_tradnl"/>
              </w:rPr>
            </w:pPr>
            <w:r w:rsidRPr="00332758">
              <w:rPr>
                <w:b/>
                <w:sz w:val="16"/>
                <w:lang w:val="es-ES_tradnl"/>
              </w:rPr>
              <w:t>Objetivos</w:t>
            </w:r>
          </w:p>
        </w:tc>
        <w:tc>
          <w:tcPr>
            <w:tcW w:w="1784" w:type="pct"/>
            <w:tcBorders>
              <w:top w:val="single" w:sz="4" w:space="0" w:color="auto"/>
            </w:tcBorders>
            <w:shd w:val="clear" w:color="auto" w:fill="auto"/>
            <w:tcMar>
              <w:top w:w="110" w:type="dxa"/>
            </w:tcMar>
            <w:vAlign w:val="center"/>
          </w:tcPr>
          <w:p w:rsidR="00525604" w:rsidRPr="00A34388" w:rsidRDefault="00525604" w:rsidP="00853209">
            <w:pPr>
              <w:spacing w:after="120"/>
              <w:rPr>
                <w:rFonts w:cs="Arial"/>
                <w:color w:val="808080"/>
                <w:sz w:val="16"/>
                <w:szCs w:val="16"/>
                <w:lang w:val="es-ES_tradnl"/>
              </w:rPr>
            </w:pPr>
            <w:r w:rsidRPr="00332758">
              <w:rPr>
                <w:b/>
                <w:sz w:val="16"/>
                <w:lang w:val="es-ES_tradnl"/>
              </w:rPr>
              <w:t>Datos sobre el rendimiento</w:t>
            </w:r>
          </w:p>
        </w:tc>
        <w:tc>
          <w:tcPr>
            <w:tcW w:w="663" w:type="pct"/>
            <w:tcBorders>
              <w:top w:val="single" w:sz="4" w:space="0" w:color="auto"/>
            </w:tcBorders>
            <w:shd w:val="clear" w:color="auto" w:fill="auto"/>
            <w:tcMar>
              <w:top w:w="110" w:type="dxa"/>
            </w:tcMar>
            <w:vAlign w:val="center"/>
          </w:tcPr>
          <w:p w:rsidR="00525604" w:rsidRPr="00332758" w:rsidRDefault="00525604" w:rsidP="00853209">
            <w:pPr>
              <w:keepNext/>
              <w:keepLines/>
              <w:spacing w:after="120"/>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78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Estados miembros que recibieron asesoramiento en materia legislativa en la esfera de las marcas, los dibujos y modelos industriales y las indicaciones geográficas.</w:t>
            </w:r>
          </w:p>
        </w:tc>
        <w:tc>
          <w:tcPr>
            <w:tcW w:w="943" w:type="pct"/>
            <w:shd w:val="clear" w:color="auto" w:fill="auto"/>
          </w:tcPr>
          <w:p w:rsidR="00525604" w:rsidRPr="00A34388" w:rsidRDefault="00525604" w:rsidP="00853209">
            <w:pPr>
              <w:rPr>
                <w:rFonts w:cs="Arial"/>
                <w:sz w:val="16"/>
                <w:szCs w:val="16"/>
                <w:lang w:val="es-ES_tradnl"/>
              </w:rPr>
            </w:pPr>
            <w:r w:rsidRPr="00A34388">
              <w:rPr>
                <w:sz w:val="16"/>
                <w:lang w:val="es-ES_tradnl"/>
              </w:rPr>
              <w:t>19 (2010)</w:t>
            </w:r>
          </w:p>
          <w:p w:rsidR="00525604" w:rsidRPr="00A34388" w:rsidRDefault="00525604" w:rsidP="00853209">
            <w:pPr>
              <w:rPr>
                <w:rFonts w:cs="Arial"/>
                <w:sz w:val="16"/>
                <w:szCs w:val="16"/>
                <w:lang w:val="es-ES_tradnl"/>
              </w:rPr>
            </w:pPr>
            <w:r w:rsidRPr="00A34388">
              <w:rPr>
                <w:sz w:val="16"/>
                <w:lang w:val="es-ES_tradnl"/>
              </w:rPr>
              <w:t>20 (2011)</w:t>
            </w:r>
          </w:p>
        </w:tc>
        <w:tc>
          <w:tcPr>
            <w:tcW w:w="826"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Prestación de</w:t>
            </w:r>
          </w:p>
          <w:p w:rsidR="00525604" w:rsidRPr="00A34388" w:rsidRDefault="00525604" w:rsidP="00853209">
            <w:pPr>
              <w:rPr>
                <w:rFonts w:cs="Arial"/>
                <w:sz w:val="16"/>
                <w:szCs w:val="16"/>
                <w:lang w:val="es-ES_tradnl"/>
              </w:rPr>
            </w:pPr>
            <w:r w:rsidRPr="00A34388">
              <w:rPr>
                <w:sz w:val="16"/>
                <w:lang w:val="es-ES_tradnl"/>
              </w:rPr>
              <w:t>asesoramiento legislativo</w:t>
            </w:r>
          </w:p>
          <w:p w:rsidR="00525604" w:rsidRPr="00A34388" w:rsidRDefault="00525604" w:rsidP="00853209">
            <w:pPr>
              <w:rPr>
                <w:rFonts w:cs="Arial"/>
                <w:sz w:val="16"/>
                <w:szCs w:val="16"/>
                <w:lang w:val="es-ES_tradnl"/>
              </w:rPr>
            </w:pPr>
            <w:r w:rsidRPr="00A34388">
              <w:rPr>
                <w:sz w:val="16"/>
                <w:lang w:val="es-ES_tradnl"/>
              </w:rPr>
              <w:t>a 40 Estados miembros y/o grupos</w:t>
            </w:r>
          </w:p>
          <w:p w:rsidR="00525604" w:rsidRPr="00A34388" w:rsidRDefault="00525604" w:rsidP="00853209">
            <w:pPr>
              <w:rPr>
                <w:rFonts w:cs="Arial"/>
                <w:sz w:val="16"/>
                <w:szCs w:val="16"/>
                <w:lang w:val="es-ES_tradnl"/>
              </w:rPr>
            </w:pPr>
            <w:r w:rsidRPr="00A34388">
              <w:rPr>
                <w:sz w:val="16"/>
                <w:lang w:val="es-ES_tradnl"/>
              </w:rPr>
              <w:t>regionales de Estados miembros</w:t>
            </w:r>
          </w:p>
        </w:tc>
        <w:tc>
          <w:tcPr>
            <w:tcW w:w="1784" w:type="pct"/>
            <w:shd w:val="clear" w:color="auto" w:fill="auto"/>
            <w:tcMar>
              <w:top w:w="110" w:type="dxa"/>
            </w:tcMar>
          </w:tcPr>
          <w:p w:rsidR="00525604" w:rsidRPr="00332758" w:rsidRDefault="00525604" w:rsidP="00853209">
            <w:pPr>
              <w:rPr>
                <w:rFonts w:cs="Arial"/>
                <w:sz w:val="16"/>
                <w:szCs w:val="16"/>
                <w:lang w:val="es-ES_tradnl"/>
              </w:rPr>
            </w:pPr>
            <w:r w:rsidRPr="00332758">
              <w:rPr>
                <w:sz w:val="16"/>
                <w:lang w:val="es-ES_tradnl"/>
              </w:rPr>
              <w:t>2012</w:t>
            </w:r>
            <w:proofErr w:type="gramStart"/>
            <w:r w:rsidRPr="00332758">
              <w:rPr>
                <w:sz w:val="16"/>
                <w:lang w:val="es-ES_tradnl"/>
              </w:rPr>
              <w:t xml:space="preserve">: </w:t>
            </w:r>
            <w:r w:rsidR="007A1C31" w:rsidRPr="00332758">
              <w:rPr>
                <w:sz w:val="16"/>
                <w:lang w:val="es-ES_tradnl"/>
              </w:rPr>
              <w:t xml:space="preserve"> </w:t>
            </w:r>
            <w:r w:rsidRPr="00332758">
              <w:rPr>
                <w:sz w:val="16"/>
                <w:lang w:val="es-ES_tradnl"/>
              </w:rPr>
              <w:t>Se</w:t>
            </w:r>
            <w:proofErr w:type="gramEnd"/>
            <w:r w:rsidRPr="00332758">
              <w:rPr>
                <w:sz w:val="16"/>
                <w:lang w:val="es-ES_tradnl"/>
              </w:rPr>
              <w:t xml:space="preserve"> proporcionó asesoramiento a 11 Estados miembros sobre 18 proyectos de l</w:t>
            </w:r>
            <w:r w:rsidR="004F7424" w:rsidRPr="00332758">
              <w:rPr>
                <w:sz w:val="16"/>
                <w:lang w:val="es-ES_tradnl"/>
              </w:rPr>
              <w:t xml:space="preserve">egislación específicos (África, </w:t>
            </w:r>
            <w:r w:rsidRPr="00332758">
              <w:rPr>
                <w:sz w:val="16"/>
                <w:lang w:val="es-ES_tradnl"/>
              </w:rPr>
              <w:t>2;  Países Árabes</w:t>
            </w:r>
            <w:r w:rsidR="004F7424" w:rsidRPr="00332758">
              <w:rPr>
                <w:sz w:val="16"/>
                <w:lang w:val="es-ES_tradnl"/>
              </w:rPr>
              <w:t>,</w:t>
            </w:r>
            <w:r w:rsidRPr="00332758">
              <w:rPr>
                <w:sz w:val="16"/>
                <w:lang w:val="es-ES_tradnl"/>
              </w:rPr>
              <w:t xml:space="preserve"> 1;  Asia y el Pacífico</w:t>
            </w:r>
            <w:r w:rsidR="004F7424" w:rsidRPr="00332758">
              <w:rPr>
                <w:sz w:val="16"/>
                <w:lang w:val="es-ES_tradnl"/>
              </w:rPr>
              <w:t>,</w:t>
            </w:r>
            <w:r w:rsidRPr="00332758">
              <w:rPr>
                <w:sz w:val="16"/>
                <w:lang w:val="es-ES_tradnl"/>
              </w:rPr>
              <w:t xml:space="preserve"> 1;  América Latina y el Caribe</w:t>
            </w:r>
            <w:r w:rsidR="004F7424" w:rsidRPr="00332758">
              <w:rPr>
                <w:sz w:val="16"/>
                <w:lang w:val="es-ES_tradnl"/>
              </w:rPr>
              <w:t>,</w:t>
            </w:r>
            <w:r w:rsidRPr="00332758">
              <w:rPr>
                <w:sz w:val="16"/>
                <w:lang w:val="es-ES_tradnl"/>
              </w:rPr>
              <w:t xml:space="preserve"> 7).</w:t>
            </w:r>
          </w:p>
          <w:p w:rsidR="00525604" w:rsidRPr="00A34388" w:rsidRDefault="00525604" w:rsidP="00853209">
            <w:pPr>
              <w:rPr>
                <w:rFonts w:cs="Arial"/>
                <w:sz w:val="8"/>
                <w:szCs w:val="8"/>
                <w:lang w:val="es-ES_tradnl"/>
              </w:rPr>
            </w:pPr>
          </w:p>
          <w:p w:rsidR="00525604" w:rsidRPr="00A34388" w:rsidRDefault="00525604" w:rsidP="004F7424">
            <w:pPr>
              <w:rPr>
                <w:rFonts w:cs="Arial"/>
                <w:sz w:val="16"/>
                <w:szCs w:val="16"/>
                <w:lang w:val="es-ES_tradnl"/>
              </w:rPr>
            </w:pPr>
            <w:r w:rsidRPr="00332758">
              <w:rPr>
                <w:sz w:val="16"/>
                <w:lang w:val="es-ES_tradnl"/>
              </w:rPr>
              <w:t>2013</w:t>
            </w:r>
            <w:proofErr w:type="gramStart"/>
            <w:r w:rsidRPr="00332758">
              <w:rPr>
                <w:sz w:val="16"/>
                <w:lang w:val="es-ES_tradnl"/>
              </w:rPr>
              <w:t xml:space="preserve">: </w:t>
            </w:r>
            <w:r w:rsidR="007A1C31" w:rsidRPr="00332758">
              <w:rPr>
                <w:sz w:val="16"/>
                <w:lang w:val="es-ES_tradnl"/>
              </w:rPr>
              <w:t xml:space="preserve"> </w:t>
            </w:r>
            <w:r w:rsidRPr="00332758">
              <w:rPr>
                <w:sz w:val="16"/>
                <w:lang w:val="es-ES_tradnl"/>
              </w:rPr>
              <w:t>Se</w:t>
            </w:r>
            <w:proofErr w:type="gramEnd"/>
            <w:r w:rsidRPr="00332758">
              <w:rPr>
                <w:sz w:val="16"/>
                <w:lang w:val="es-ES_tradnl"/>
              </w:rPr>
              <w:t xml:space="preserve"> proporcionó asesoramiento a 13 Estados miembros sobre 18 proyectos de legislación específicos (África</w:t>
            </w:r>
            <w:r w:rsidR="004F7424" w:rsidRPr="00332758">
              <w:rPr>
                <w:sz w:val="16"/>
                <w:lang w:val="es-ES_tradnl"/>
              </w:rPr>
              <w:t>,</w:t>
            </w:r>
            <w:r w:rsidRPr="00332758">
              <w:rPr>
                <w:sz w:val="16"/>
                <w:lang w:val="es-ES_tradnl"/>
              </w:rPr>
              <w:t xml:space="preserve"> 2;  Asia y el Pacífico</w:t>
            </w:r>
            <w:r w:rsidR="004F7424" w:rsidRPr="00332758">
              <w:rPr>
                <w:sz w:val="16"/>
                <w:lang w:val="es-ES_tradnl"/>
              </w:rPr>
              <w:t>,</w:t>
            </w:r>
            <w:r w:rsidRPr="00332758">
              <w:rPr>
                <w:sz w:val="16"/>
                <w:lang w:val="es-ES_tradnl"/>
              </w:rPr>
              <w:t xml:space="preserve"> 8;  América Latina y el Caribe</w:t>
            </w:r>
            <w:r w:rsidR="004F7424" w:rsidRPr="00332758">
              <w:rPr>
                <w:sz w:val="16"/>
                <w:lang w:val="es-ES_tradnl"/>
              </w:rPr>
              <w:t>,</w:t>
            </w:r>
            <w:r w:rsidRPr="00332758">
              <w:rPr>
                <w:sz w:val="16"/>
                <w:lang w:val="es-ES_tradnl"/>
              </w:rPr>
              <w:t xml:space="preserve"> 3).  </w:t>
            </w:r>
          </w:p>
        </w:tc>
        <w:tc>
          <w:tcPr>
            <w:tcW w:w="663" w:type="pct"/>
            <w:shd w:val="clear" w:color="auto" w:fill="auto"/>
            <w:tcMar>
              <w:top w:w="110" w:type="dxa"/>
            </w:tcMar>
          </w:tcPr>
          <w:p w:rsidR="00525604" w:rsidRPr="00A34388" w:rsidRDefault="00525604" w:rsidP="00853209">
            <w:pPr>
              <w:keepNext/>
              <w:keepLines/>
              <w:jc w:val="center"/>
              <w:rPr>
                <w:rFonts w:cs="Arial"/>
                <w:color w:val="E36C0A" w:themeColor="accent6" w:themeShade="BF"/>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A34388" w:rsidTr="00853209">
        <w:trPr>
          <w:cantSplit/>
        </w:trPr>
        <w:tc>
          <w:tcPr>
            <w:tcW w:w="784"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Número de países que presentaron comentarios positivos sobre la utilidad del asesoramiento proporcionado en materia legislativa en la esfera de las marcas, los dibujos y modelos industriales y las indicaciones geográficas.</w:t>
            </w:r>
          </w:p>
          <w:p w:rsidR="00525604" w:rsidRPr="00A34388" w:rsidRDefault="00525604" w:rsidP="00853209">
            <w:pPr>
              <w:rPr>
                <w:rFonts w:cs="Arial"/>
                <w:sz w:val="16"/>
                <w:szCs w:val="16"/>
                <w:lang w:val="es-ES_tradnl"/>
              </w:rPr>
            </w:pPr>
          </w:p>
        </w:tc>
        <w:tc>
          <w:tcPr>
            <w:tcW w:w="943" w:type="pct"/>
            <w:shd w:val="clear" w:color="auto" w:fill="auto"/>
          </w:tcPr>
          <w:p w:rsidR="00525604" w:rsidRPr="00A34388" w:rsidRDefault="00525604" w:rsidP="00853209">
            <w:pPr>
              <w:rPr>
                <w:rFonts w:cs="Arial"/>
                <w:sz w:val="16"/>
                <w:szCs w:val="16"/>
                <w:lang w:val="es-ES_tradnl"/>
              </w:rPr>
            </w:pPr>
            <w:r w:rsidRPr="00332758">
              <w:rPr>
                <w:sz w:val="16"/>
                <w:lang w:val="es-ES_tradnl"/>
              </w:rPr>
              <w:t>No se dispone de datos.</w:t>
            </w:r>
          </w:p>
        </w:tc>
        <w:tc>
          <w:tcPr>
            <w:tcW w:w="826"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70%</w:t>
            </w:r>
          </w:p>
        </w:tc>
        <w:tc>
          <w:tcPr>
            <w:tcW w:w="1784" w:type="pct"/>
            <w:shd w:val="clear" w:color="auto" w:fill="auto"/>
            <w:tcMar>
              <w:top w:w="110" w:type="dxa"/>
            </w:tcMar>
          </w:tcPr>
          <w:p w:rsidR="00525604" w:rsidRPr="00A34388" w:rsidRDefault="00525604" w:rsidP="007A1C31">
            <w:pPr>
              <w:rPr>
                <w:rFonts w:cs="Arial"/>
                <w:sz w:val="16"/>
                <w:szCs w:val="16"/>
                <w:lang w:val="es-ES_tradnl"/>
              </w:rPr>
            </w:pPr>
            <w:r w:rsidRPr="00A34388">
              <w:rPr>
                <w:sz w:val="16"/>
                <w:lang w:val="es-ES_tradnl"/>
              </w:rPr>
              <w:t xml:space="preserve">Nueve de 13 países </w:t>
            </w:r>
            <w:r w:rsidR="007A1C31" w:rsidRPr="00A34388">
              <w:rPr>
                <w:sz w:val="16"/>
                <w:lang w:val="es-ES_tradnl"/>
              </w:rPr>
              <w:t xml:space="preserve">formularon </w:t>
            </w:r>
            <w:r w:rsidRPr="00A34388">
              <w:rPr>
                <w:sz w:val="16"/>
                <w:lang w:val="es-ES_tradnl"/>
              </w:rPr>
              <w:t>comentarios positivos.  Cuatro países no respondieron.</w:t>
            </w:r>
          </w:p>
        </w:tc>
        <w:tc>
          <w:tcPr>
            <w:tcW w:w="663"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bl>
    <w:p w:rsidR="00525604" w:rsidRPr="00A34388" w:rsidRDefault="00525604" w:rsidP="00525604">
      <w:pPr>
        <w:rPr>
          <w:lang w:val="es-ES_tradnl"/>
        </w:rPr>
      </w:pPr>
    </w:p>
    <w:p w:rsidR="00525604" w:rsidRPr="00A34388" w:rsidRDefault="00525604" w:rsidP="00525604">
      <w:pPr>
        <w:rPr>
          <w:rFonts w:cs="Arial"/>
          <w:lang w:val="es-ES_tradnl"/>
        </w:rPr>
      </w:pPr>
    </w:p>
    <w:p w:rsidR="00525604" w:rsidRPr="00A34388" w:rsidRDefault="00525604" w:rsidP="00525604">
      <w:pPr>
        <w:keepNext/>
        <w:keepLines/>
        <w:rPr>
          <w:rFonts w:cs="Arial"/>
          <w:sz w:val="22"/>
          <w:szCs w:val="22"/>
          <w:lang w:val="es-ES_tradnl"/>
        </w:rPr>
      </w:pPr>
      <w:r w:rsidRPr="00332758">
        <w:rPr>
          <w:sz w:val="22"/>
          <w:lang w:val="es-ES_tradnl"/>
        </w:rPr>
        <w:lastRenderedPageBreak/>
        <w:t>PRESUPUESTO Y GASTOS REALES</w:t>
      </w:r>
    </w:p>
    <w:p w:rsidR="00525604" w:rsidRPr="00A34388" w:rsidRDefault="00525604" w:rsidP="00525604">
      <w:pPr>
        <w:keepNext/>
        <w:keepLines/>
        <w:rPr>
          <w:rFonts w:cs="Arial"/>
          <w:szCs w:val="20"/>
          <w:lang w:val="es-ES_tradnl"/>
        </w:rPr>
      </w:pPr>
    </w:p>
    <w:p w:rsidR="00525604" w:rsidRPr="00A34388" w:rsidRDefault="00525604" w:rsidP="00525604">
      <w:pPr>
        <w:pStyle w:val="NormalWeb"/>
        <w:keepNext/>
        <w:keepLines/>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keepNext/>
        <w:keepLines/>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rPr>
          <w:lang w:val="es-ES_tradnl"/>
        </w:rPr>
      </w:pPr>
    </w:p>
    <w:tbl>
      <w:tblPr>
        <w:tblW w:w="0" w:type="auto"/>
        <w:tblInd w:w="18" w:type="dxa"/>
        <w:tblLayout w:type="fixed"/>
        <w:tblLook w:val="04A0" w:firstRow="1" w:lastRow="0" w:firstColumn="1" w:lastColumn="0" w:noHBand="0" w:noVBand="1"/>
      </w:tblPr>
      <w:tblGrid>
        <w:gridCol w:w="445"/>
        <w:gridCol w:w="5174"/>
        <w:gridCol w:w="1275"/>
        <w:gridCol w:w="1276"/>
        <w:gridCol w:w="1276"/>
      </w:tblGrid>
      <w:tr w:rsidR="00525604" w:rsidRPr="00A34388" w:rsidTr="00853209">
        <w:tc>
          <w:tcPr>
            <w:tcW w:w="5619"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Número del resultado previsto y descripción</w:t>
            </w:r>
          </w:p>
        </w:tc>
        <w:tc>
          <w:tcPr>
            <w:tcW w:w="1275"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Presupuesto aprobado 2012/13</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Presupuesto 2012/13 después de las transferencias</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A34388">
              <w:rPr>
                <w:color w:val="000000"/>
                <w:sz w:val="16"/>
                <w:lang w:val="es-ES_tradnl"/>
              </w:rPr>
              <w:t>2012/13</w:t>
            </w:r>
          </w:p>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de gastos</w:t>
            </w:r>
          </w:p>
        </w:tc>
      </w:tr>
      <w:tr w:rsidR="00525604" w:rsidRPr="00A34388" w:rsidTr="00853209">
        <w:tc>
          <w:tcPr>
            <w:tcW w:w="445" w:type="dxa"/>
            <w:tcBorders>
              <w:top w:val="nil"/>
              <w:left w:val="single" w:sz="4" w:space="0" w:color="auto"/>
              <w:bottom w:val="nil"/>
              <w:right w:val="nil"/>
            </w:tcBorders>
            <w:shd w:val="clear" w:color="000000" w:fill="FFFFFF"/>
            <w:noWrap/>
            <w:hideMark/>
          </w:tcPr>
          <w:p w:rsidR="00525604" w:rsidRPr="00A34388" w:rsidRDefault="00525604" w:rsidP="00853209">
            <w:pPr>
              <w:spacing w:before="60" w:after="60"/>
              <w:jc w:val="center"/>
              <w:rPr>
                <w:rFonts w:cs="Arial"/>
                <w:color w:val="808080"/>
                <w:sz w:val="16"/>
                <w:szCs w:val="16"/>
                <w:lang w:val="es-ES_tradnl"/>
              </w:rPr>
            </w:pPr>
            <w:r w:rsidRPr="00332758">
              <w:rPr>
                <w:sz w:val="16"/>
                <w:lang w:val="es-ES_tradnl"/>
              </w:rPr>
              <w:t>I.1</w:t>
            </w:r>
          </w:p>
        </w:tc>
        <w:tc>
          <w:tcPr>
            <w:tcW w:w="5174" w:type="dxa"/>
            <w:tcBorders>
              <w:top w:val="nil"/>
              <w:left w:val="nil"/>
              <w:bottom w:val="nil"/>
            </w:tcBorders>
            <w:shd w:val="clear" w:color="000000" w:fill="FFFFFF"/>
            <w:hideMark/>
          </w:tcPr>
          <w:p w:rsidR="00525604" w:rsidRPr="00A34388" w:rsidRDefault="00525604" w:rsidP="00853209">
            <w:pPr>
              <w:spacing w:before="60" w:after="60"/>
              <w:rPr>
                <w:rFonts w:cs="Arial"/>
                <w:color w:val="808080"/>
                <w:sz w:val="16"/>
                <w:szCs w:val="16"/>
                <w:lang w:val="es-ES_tradnl"/>
              </w:rPr>
            </w:pP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1275" w:type="dxa"/>
            <w:tcBorders>
              <w:top w:val="single" w:sz="4" w:space="0" w:color="auto"/>
            </w:tcBorders>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3.753</w:t>
            </w:r>
          </w:p>
        </w:tc>
        <w:tc>
          <w:tcPr>
            <w:tcW w:w="1276" w:type="dxa"/>
            <w:tcBorders>
              <w:top w:val="single" w:sz="4" w:space="0" w:color="auto"/>
            </w:tcBorders>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3.054</w:t>
            </w:r>
          </w:p>
        </w:tc>
        <w:tc>
          <w:tcPr>
            <w:tcW w:w="1276" w:type="dxa"/>
            <w:tcBorders>
              <w:top w:val="single" w:sz="4" w:space="0" w:color="auto"/>
              <w:right w:val="single" w:sz="4" w:space="0" w:color="auto"/>
            </w:tcBorders>
            <w:shd w:val="clear" w:color="000000" w:fill="FFFFFF"/>
            <w:vAlign w:val="center"/>
            <w:hideMark/>
          </w:tcPr>
          <w:p w:rsidR="00525604" w:rsidRPr="00332758" w:rsidRDefault="00525604" w:rsidP="00853209">
            <w:pPr>
              <w:spacing w:before="60" w:after="60"/>
              <w:jc w:val="right"/>
              <w:rPr>
                <w:rFonts w:cs="Arial"/>
                <w:sz w:val="16"/>
                <w:szCs w:val="16"/>
                <w:lang w:val="es-ES_tradnl"/>
              </w:rPr>
            </w:pPr>
            <w:r w:rsidRPr="00332758">
              <w:rPr>
                <w:sz w:val="16"/>
                <w:lang w:val="es-ES_tradnl"/>
              </w:rPr>
              <w:t>3.501</w:t>
            </w:r>
          </w:p>
        </w:tc>
      </w:tr>
      <w:tr w:rsidR="00525604" w:rsidRPr="00A34388" w:rsidTr="00853209">
        <w:tc>
          <w:tcPr>
            <w:tcW w:w="445" w:type="dxa"/>
            <w:tcBorders>
              <w:top w:val="nil"/>
              <w:left w:val="single" w:sz="4" w:space="0" w:color="auto"/>
              <w:bottom w:val="nil"/>
              <w:right w:val="nil"/>
            </w:tcBorders>
            <w:shd w:val="clear" w:color="000000" w:fill="FFFFFF"/>
            <w:noWrap/>
            <w:hideMark/>
          </w:tcPr>
          <w:p w:rsidR="00525604" w:rsidRPr="00A34388" w:rsidRDefault="00525604" w:rsidP="00853209">
            <w:pPr>
              <w:spacing w:before="60" w:after="60"/>
              <w:jc w:val="center"/>
              <w:rPr>
                <w:rFonts w:cs="Arial"/>
                <w:color w:val="808080"/>
                <w:sz w:val="16"/>
                <w:szCs w:val="16"/>
                <w:lang w:val="es-ES_tradnl"/>
              </w:rPr>
            </w:pPr>
            <w:r w:rsidRPr="00332758">
              <w:rPr>
                <w:sz w:val="16"/>
                <w:lang w:val="es-ES_tradnl"/>
              </w:rPr>
              <w:t>I.2</w:t>
            </w:r>
          </w:p>
        </w:tc>
        <w:tc>
          <w:tcPr>
            <w:tcW w:w="5174" w:type="dxa"/>
            <w:tcBorders>
              <w:top w:val="nil"/>
              <w:left w:val="nil"/>
              <w:bottom w:val="nil"/>
            </w:tcBorders>
            <w:shd w:val="clear" w:color="000000" w:fill="FFFFFF"/>
            <w:hideMark/>
          </w:tcPr>
          <w:p w:rsidR="00525604" w:rsidRPr="00A34388" w:rsidRDefault="00525604" w:rsidP="00853209">
            <w:pPr>
              <w:spacing w:before="60" w:after="60"/>
              <w:rPr>
                <w:rFonts w:cs="Arial"/>
                <w:color w:val="808080"/>
                <w:sz w:val="16"/>
                <w:szCs w:val="16"/>
                <w:lang w:val="es-ES_tradnl"/>
              </w:rPr>
            </w:pPr>
            <w:r w:rsidRPr="00332758">
              <w:rPr>
                <w:sz w:val="16"/>
                <w:lang w:val="es-ES_tradnl"/>
              </w:rPr>
              <w:t>Aumento de la protección de los emblemas de Estado y de los nombres y emblemas de organizaciones intergubernamentales internacionales.</w:t>
            </w:r>
          </w:p>
        </w:tc>
        <w:tc>
          <w:tcPr>
            <w:tcW w:w="1275" w:type="dxa"/>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556</w:t>
            </w:r>
          </w:p>
        </w:tc>
        <w:tc>
          <w:tcPr>
            <w:tcW w:w="1276" w:type="dxa"/>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679</w:t>
            </w:r>
          </w:p>
        </w:tc>
        <w:tc>
          <w:tcPr>
            <w:tcW w:w="1276" w:type="dxa"/>
            <w:tcBorders>
              <w:right w:val="single" w:sz="4" w:space="0" w:color="auto"/>
            </w:tcBorders>
            <w:shd w:val="clear" w:color="000000" w:fill="FFFFFF"/>
            <w:vAlign w:val="center"/>
            <w:hideMark/>
          </w:tcPr>
          <w:p w:rsidR="00525604" w:rsidRPr="00332758" w:rsidRDefault="00525604" w:rsidP="00853209">
            <w:pPr>
              <w:spacing w:before="60" w:after="60"/>
              <w:jc w:val="right"/>
              <w:rPr>
                <w:rFonts w:cs="Arial"/>
                <w:sz w:val="16"/>
                <w:szCs w:val="16"/>
                <w:lang w:val="es-ES_tradnl"/>
              </w:rPr>
            </w:pPr>
            <w:r w:rsidRPr="00332758">
              <w:rPr>
                <w:sz w:val="16"/>
                <w:lang w:val="es-ES_tradnl"/>
              </w:rPr>
              <w:t>867</w:t>
            </w:r>
          </w:p>
        </w:tc>
      </w:tr>
      <w:tr w:rsidR="00525604" w:rsidRPr="00A34388" w:rsidTr="00853209">
        <w:tc>
          <w:tcPr>
            <w:tcW w:w="445"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60" w:after="60"/>
              <w:jc w:val="center"/>
              <w:rPr>
                <w:rFonts w:cs="Arial"/>
                <w:color w:val="808080"/>
                <w:sz w:val="16"/>
                <w:szCs w:val="16"/>
                <w:lang w:val="es-ES_tradnl"/>
              </w:rPr>
            </w:pPr>
            <w:r w:rsidRPr="00332758">
              <w:rPr>
                <w:sz w:val="16"/>
                <w:lang w:val="es-ES_tradnl"/>
              </w:rPr>
              <w:t>I.4</w:t>
            </w:r>
          </w:p>
        </w:tc>
        <w:tc>
          <w:tcPr>
            <w:tcW w:w="5174" w:type="dxa"/>
            <w:tcBorders>
              <w:top w:val="nil"/>
              <w:left w:val="nil"/>
              <w:bottom w:val="single" w:sz="4" w:space="0" w:color="auto"/>
            </w:tcBorders>
            <w:shd w:val="clear" w:color="000000" w:fill="FFFFFF"/>
            <w:hideMark/>
          </w:tcPr>
          <w:p w:rsidR="00525604" w:rsidRPr="00A34388" w:rsidRDefault="00525604" w:rsidP="00853209">
            <w:pPr>
              <w:spacing w:before="60" w:after="6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275" w:type="dxa"/>
            <w:tcBorders>
              <w:bottom w:val="single" w:sz="4" w:space="0" w:color="auto"/>
            </w:tcBorders>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 xml:space="preserve">1.744 </w:t>
            </w:r>
          </w:p>
        </w:tc>
        <w:tc>
          <w:tcPr>
            <w:tcW w:w="1276" w:type="dxa"/>
            <w:tcBorders>
              <w:bottom w:val="single" w:sz="4" w:space="0" w:color="auto"/>
            </w:tcBorders>
            <w:shd w:val="clear" w:color="000000" w:fill="FFFFFF"/>
            <w:vAlign w:val="center"/>
            <w:hideMark/>
          </w:tcPr>
          <w:p w:rsidR="00525604" w:rsidRPr="00A34388" w:rsidRDefault="00525604" w:rsidP="00853209">
            <w:pPr>
              <w:spacing w:before="60" w:after="60"/>
              <w:jc w:val="right"/>
              <w:rPr>
                <w:rFonts w:cs="Arial"/>
                <w:color w:val="808080"/>
                <w:sz w:val="16"/>
                <w:szCs w:val="16"/>
                <w:lang w:val="es-ES_tradnl"/>
              </w:rPr>
            </w:pPr>
            <w:r w:rsidRPr="00332758">
              <w:rPr>
                <w:sz w:val="16"/>
                <w:lang w:val="es-ES_tradnl"/>
              </w:rPr>
              <w:t>1.660</w:t>
            </w:r>
          </w:p>
        </w:tc>
        <w:tc>
          <w:tcPr>
            <w:tcW w:w="1276" w:type="dxa"/>
            <w:tcBorders>
              <w:bottom w:val="single" w:sz="4" w:space="0" w:color="auto"/>
              <w:right w:val="single" w:sz="4" w:space="0" w:color="auto"/>
            </w:tcBorders>
            <w:shd w:val="clear" w:color="000000" w:fill="FFFFFF"/>
            <w:vAlign w:val="center"/>
            <w:hideMark/>
          </w:tcPr>
          <w:p w:rsidR="00525604" w:rsidRPr="00332758" w:rsidRDefault="00525604" w:rsidP="00853209">
            <w:pPr>
              <w:spacing w:before="60" w:after="60"/>
              <w:jc w:val="right"/>
              <w:rPr>
                <w:rFonts w:cs="Arial"/>
                <w:sz w:val="16"/>
                <w:szCs w:val="16"/>
                <w:lang w:val="es-ES_tradnl"/>
              </w:rPr>
            </w:pPr>
            <w:r w:rsidRPr="00332758">
              <w:rPr>
                <w:sz w:val="16"/>
                <w:lang w:val="es-ES_tradnl"/>
              </w:rPr>
              <w:t>944</w:t>
            </w:r>
          </w:p>
        </w:tc>
      </w:tr>
      <w:tr w:rsidR="00525604" w:rsidRPr="00A34388" w:rsidTr="00853209">
        <w:tc>
          <w:tcPr>
            <w:tcW w:w="445" w:type="dxa"/>
            <w:tcBorders>
              <w:top w:val="nil"/>
              <w:left w:val="single" w:sz="4" w:space="0" w:color="auto"/>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 </w:t>
            </w:r>
          </w:p>
        </w:tc>
        <w:tc>
          <w:tcPr>
            <w:tcW w:w="5174"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275"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6.053</w:t>
            </w:r>
          </w:p>
        </w:tc>
        <w:tc>
          <w:tcPr>
            <w:tcW w:w="1276"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5.394</w:t>
            </w:r>
          </w:p>
        </w:tc>
        <w:tc>
          <w:tcPr>
            <w:tcW w:w="1276"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5.311</w:t>
            </w:r>
          </w:p>
        </w:tc>
      </w:tr>
    </w:tbl>
    <w:p w:rsidR="00525604" w:rsidRPr="008018CA" w:rsidRDefault="00525604" w:rsidP="00525604">
      <w:pPr>
        <w:rPr>
          <w:szCs w:val="20"/>
          <w:lang w:val="es-ES_tradnl"/>
        </w:rPr>
      </w:pPr>
    </w:p>
    <w:p w:rsidR="00525604" w:rsidRPr="00A34388" w:rsidRDefault="00525604" w:rsidP="00525604">
      <w:pPr>
        <w:pStyle w:val="NormalWeb"/>
        <w:spacing w:before="0" w:beforeAutospacing="0" w:after="0" w:afterAutospacing="0"/>
        <w:jc w:val="center"/>
        <w:rPr>
          <w:color w:val="000000"/>
          <w:sz w:val="16"/>
          <w:szCs w:val="16"/>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8018CA" w:rsidRDefault="00525604" w:rsidP="00525604">
      <w:pPr>
        <w:rPr>
          <w:szCs w:val="20"/>
          <w:lang w:val="es-ES_tradnl"/>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772"/>
        <w:gridCol w:w="1772"/>
        <w:gridCol w:w="1772"/>
        <w:gridCol w:w="1772"/>
      </w:tblGrid>
      <w:tr w:rsidR="00525604" w:rsidRPr="00A34388" w:rsidTr="00853209">
        <w:trPr>
          <w:trHeight w:val="515"/>
        </w:trPr>
        <w:tc>
          <w:tcPr>
            <w:tcW w:w="2283" w:type="dxa"/>
            <w:shd w:val="clear" w:color="000000" w:fill="CCFFFF"/>
            <w:noWrap/>
            <w:vAlign w:val="center"/>
            <w:hideMark/>
          </w:tcPr>
          <w:p w:rsidR="00525604" w:rsidRPr="00A34388" w:rsidRDefault="00525604" w:rsidP="00853209">
            <w:pPr>
              <w:spacing w:before="40" w:after="40"/>
              <w:rPr>
                <w:rFonts w:cs="Arial"/>
                <w:color w:val="000000"/>
                <w:sz w:val="16"/>
                <w:szCs w:val="16"/>
                <w:lang w:val="es-ES_tradnl"/>
              </w:rPr>
            </w:pPr>
            <w:r w:rsidRPr="00A34388">
              <w:rPr>
                <w:color w:val="000000"/>
                <w:sz w:val="16"/>
                <w:lang w:val="es-ES_tradnl"/>
              </w:rPr>
              <w:t> </w:t>
            </w:r>
          </w:p>
        </w:tc>
        <w:tc>
          <w:tcPr>
            <w:tcW w:w="1772" w:type="dxa"/>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Presupuesto aprobado 2012/13</w:t>
            </w:r>
          </w:p>
        </w:tc>
        <w:tc>
          <w:tcPr>
            <w:tcW w:w="1772" w:type="dxa"/>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Presupuesto 2012/13 después de las transferencias</w:t>
            </w:r>
          </w:p>
        </w:tc>
        <w:tc>
          <w:tcPr>
            <w:tcW w:w="1772" w:type="dxa"/>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Gastos en 2012/13</w:t>
            </w:r>
          </w:p>
        </w:tc>
        <w:tc>
          <w:tcPr>
            <w:tcW w:w="1772" w:type="dxa"/>
            <w:shd w:val="clear" w:color="000000" w:fill="CCFFFF"/>
            <w:vAlign w:val="center"/>
            <w:hideMark/>
          </w:tcPr>
          <w:p w:rsidR="00525604" w:rsidRPr="00A34388" w:rsidRDefault="00525604" w:rsidP="00853209">
            <w:pPr>
              <w:spacing w:before="40" w:after="40"/>
              <w:jc w:val="center"/>
              <w:rPr>
                <w:rFonts w:cs="Arial"/>
                <w:bCs/>
                <w:color w:val="000000"/>
                <w:sz w:val="16"/>
                <w:szCs w:val="16"/>
                <w:lang w:val="es-ES_tradnl"/>
              </w:rPr>
            </w:pPr>
            <w:r w:rsidRPr="00332758">
              <w:rPr>
                <w:sz w:val="16"/>
                <w:lang w:val="es-ES_tradnl"/>
              </w:rPr>
              <w:t>Índice de utilización</w:t>
            </w:r>
          </w:p>
        </w:tc>
      </w:tr>
      <w:tr w:rsidR="00525604" w:rsidRPr="00A34388" w:rsidTr="00853209">
        <w:trPr>
          <w:trHeight w:val="419"/>
        </w:trPr>
        <w:tc>
          <w:tcPr>
            <w:tcW w:w="2283" w:type="dxa"/>
            <w:shd w:val="clear" w:color="auto" w:fill="auto"/>
            <w:noWrap/>
            <w:vAlign w:val="center"/>
            <w:hideMark/>
          </w:tcPr>
          <w:p w:rsidR="00525604" w:rsidRPr="00A34388" w:rsidRDefault="00525604" w:rsidP="00853209">
            <w:pPr>
              <w:spacing w:before="40" w:after="40"/>
              <w:rPr>
                <w:rFonts w:cs="Arial"/>
                <w:color w:val="808080"/>
                <w:sz w:val="16"/>
                <w:szCs w:val="16"/>
                <w:lang w:val="es-ES_tradnl"/>
              </w:rPr>
            </w:pPr>
            <w:r w:rsidRPr="00332758">
              <w:rPr>
                <w:sz w:val="16"/>
                <w:lang w:val="es-ES_tradnl"/>
              </w:rPr>
              <w:t xml:space="preserve">Recursos de personal  </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3.934</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3.995</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3.995</w:t>
            </w:r>
          </w:p>
        </w:tc>
        <w:tc>
          <w:tcPr>
            <w:tcW w:w="1772" w:type="dxa"/>
            <w:shd w:val="clear" w:color="auto" w:fill="auto"/>
            <w:vAlign w:val="center"/>
            <w:hideMark/>
          </w:tcPr>
          <w:p w:rsidR="00525604" w:rsidRPr="00332758" w:rsidRDefault="00525604" w:rsidP="00853209">
            <w:pPr>
              <w:spacing w:before="40" w:after="40"/>
              <w:jc w:val="center"/>
              <w:rPr>
                <w:rFonts w:cs="Arial"/>
                <w:sz w:val="16"/>
                <w:szCs w:val="16"/>
                <w:lang w:val="es-ES_tradnl"/>
              </w:rPr>
            </w:pPr>
            <w:r w:rsidRPr="00332758">
              <w:rPr>
                <w:sz w:val="16"/>
                <w:lang w:val="es-ES_tradnl"/>
              </w:rPr>
              <w:t>100%</w:t>
            </w:r>
          </w:p>
        </w:tc>
      </w:tr>
      <w:tr w:rsidR="00525604" w:rsidRPr="00A34388" w:rsidTr="00853209">
        <w:trPr>
          <w:trHeight w:val="547"/>
        </w:trPr>
        <w:tc>
          <w:tcPr>
            <w:tcW w:w="2283" w:type="dxa"/>
            <w:shd w:val="clear" w:color="auto" w:fill="auto"/>
            <w:noWrap/>
            <w:vAlign w:val="center"/>
            <w:hideMark/>
          </w:tcPr>
          <w:p w:rsidR="00525604" w:rsidRPr="00A34388" w:rsidRDefault="00525604" w:rsidP="00853209">
            <w:pPr>
              <w:spacing w:before="40" w:after="40"/>
              <w:rPr>
                <w:rFonts w:cs="Arial"/>
                <w:color w:val="808080"/>
                <w:sz w:val="16"/>
                <w:szCs w:val="16"/>
                <w:lang w:val="es-ES_tradnl"/>
              </w:rPr>
            </w:pPr>
            <w:r w:rsidRPr="00332758">
              <w:rPr>
                <w:sz w:val="16"/>
                <w:lang w:val="es-ES_tradnl"/>
              </w:rPr>
              <w:t xml:space="preserve">Recursos no relativos al personal </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2.119</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1.399</w:t>
            </w:r>
          </w:p>
        </w:tc>
        <w:tc>
          <w:tcPr>
            <w:tcW w:w="1772" w:type="dxa"/>
            <w:shd w:val="clear" w:color="auto" w:fill="auto"/>
            <w:vAlign w:val="center"/>
            <w:hideMark/>
          </w:tcPr>
          <w:p w:rsidR="00525604" w:rsidRPr="00A34388" w:rsidRDefault="00525604" w:rsidP="00853209">
            <w:pPr>
              <w:spacing w:before="40" w:after="40"/>
              <w:jc w:val="center"/>
              <w:rPr>
                <w:rFonts w:cs="Arial"/>
                <w:color w:val="808080"/>
                <w:sz w:val="16"/>
                <w:szCs w:val="16"/>
                <w:lang w:val="es-ES_tradnl"/>
              </w:rPr>
            </w:pPr>
            <w:r w:rsidRPr="00332758">
              <w:rPr>
                <w:sz w:val="16"/>
                <w:lang w:val="es-ES_tradnl"/>
              </w:rPr>
              <w:t>1.316</w:t>
            </w:r>
          </w:p>
        </w:tc>
        <w:tc>
          <w:tcPr>
            <w:tcW w:w="1772" w:type="dxa"/>
            <w:shd w:val="clear" w:color="auto" w:fill="auto"/>
            <w:vAlign w:val="center"/>
            <w:hideMark/>
          </w:tcPr>
          <w:p w:rsidR="00525604" w:rsidRPr="00332758" w:rsidRDefault="00525604" w:rsidP="00853209">
            <w:pPr>
              <w:spacing w:before="40" w:after="40"/>
              <w:jc w:val="center"/>
              <w:rPr>
                <w:rFonts w:cs="Arial"/>
                <w:sz w:val="16"/>
                <w:szCs w:val="16"/>
                <w:lang w:val="es-ES_tradnl"/>
              </w:rPr>
            </w:pPr>
            <w:r w:rsidRPr="00332758">
              <w:rPr>
                <w:sz w:val="16"/>
                <w:lang w:val="es-ES_tradnl"/>
              </w:rPr>
              <w:t>94%</w:t>
            </w:r>
          </w:p>
        </w:tc>
      </w:tr>
      <w:tr w:rsidR="00525604" w:rsidRPr="00A34388" w:rsidTr="00853209">
        <w:trPr>
          <w:trHeight w:val="432"/>
        </w:trPr>
        <w:tc>
          <w:tcPr>
            <w:tcW w:w="2283" w:type="dxa"/>
            <w:shd w:val="clear" w:color="auto" w:fill="auto"/>
            <w:noWrap/>
            <w:vAlign w:val="center"/>
            <w:hideMark/>
          </w:tcPr>
          <w:p w:rsidR="00525604" w:rsidRPr="00A34388" w:rsidRDefault="00525604" w:rsidP="00853209">
            <w:pPr>
              <w:spacing w:before="40" w:after="40"/>
              <w:jc w:val="right"/>
              <w:rPr>
                <w:rFonts w:cs="Arial"/>
                <w:b/>
                <w:bCs/>
                <w:color w:val="808080"/>
                <w:sz w:val="16"/>
                <w:szCs w:val="16"/>
                <w:lang w:val="es-ES_tradnl"/>
              </w:rPr>
            </w:pPr>
            <w:r w:rsidRPr="00332758">
              <w:rPr>
                <w:b/>
                <w:sz w:val="16"/>
                <w:lang w:val="es-ES_tradnl"/>
              </w:rPr>
              <w:t>TOTAL</w:t>
            </w:r>
          </w:p>
        </w:tc>
        <w:tc>
          <w:tcPr>
            <w:tcW w:w="1772" w:type="dxa"/>
            <w:shd w:val="clear" w:color="auto" w:fill="auto"/>
            <w:vAlign w:val="center"/>
            <w:hideMark/>
          </w:tcPr>
          <w:p w:rsidR="00525604" w:rsidRPr="00A34388" w:rsidRDefault="00525604" w:rsidP="00853209">
            <w:pPr>
              <w:spacing w:before="40" w:after="40"/>
              <w:jc w:val="center"/>
              <w:rPr>
                <w:rFonts w:cs="Arial"/>
                <w:b/>
                <w:bCs/>
                <w:color w:val="808080"/>
                <w:sz w:val="16"/>
                <w:szCs w:val="16"/>
                <w:lang w:val="es-ES_tradnl"/>
              </w:rPr>
            </w:pPr>
            <w:r w:rsidRPr="00332758">
              <w:rPr>
                <w:b/>
                <w:sz w:val="16"/>
                <w:lang w:val="es-ES_tradnl"/>
              </w:rPr>
              <w:t>6.053</w:t>
            </w:r>
          </w:p>
        </w:tc>
        <w:tc>
          <w:tcPr>
            <w:tcW w:w="1772" w:type="dxa"/>
            <w:shd w:val="clear" w:color="auto" w:fill="auto"/>
            <w:vAlign w:val="center"/>
            <w:hideMark/>
          </w:tcPr>
          <w:p w:rsidR="00525604" w:rsidRPr="00A34388" w:rsidRDefault="00525604" w:rsidP="00853209">
            <w:pPr>
              <w:spacing w:before="40" w:after="40"/>
              <w:jc w:val="center"/>
              <w:rPr>
                <w:rFonts w:cs="Arial"/>
                <w:b/>
                <w:bCs/>
                <w:color w:val="808080"/>
                <w:sz w:val="16"/>
                <w:szCs w:val="16"/>
                <w:lang w:val="es-ES_tradnl"/>
              </w:rPr>
            </w:pPr>
            <w:r w:rsidRPr="00332758">
              <w:rPr>
                <w:b/>
                <w:sz w:val="16"/>
                <w:lang w:val="es-ES_tradnl"/>
              </w:rPr>
              <w:t>5.394</w:t>
            </w:r>
          </w:p>
        </w:tc>
        <w:tc>
          <w:tcPr>
            <w:tcW w:w="1772" w:type="dxa"/>
            <w:shd w:val="clear" w:color="auto" w:fill="auto"/>
            <w:vAlign w:val="center"/>
            <w:hideMark/>
          </w:tcPr>
          <w:p w:rsidR="00525604" w:rsidRPr="00A34388" w:rsidRDefault="00525604" w:rsidP="00853209">
            <w:pPr>
              <w:spacing w:before="40" w:after="40"/>
              <w:jc w:val="center"/>
              <w:rPr>
                <w:rFonts w:cs="Arial"/>
                <w:b/>
                <w:bCs/>
                <w:color w:val="808080"/>
                <w:sz w:val="16"/>
                <w:szCs w:val="16"/>
                <w:lang w:val="es-ES_tradnl"/>
              </w:rPr>
            </w:pPr>
            <w:r w:rsidRPr="00332758">
              <w:rPr>
                <w:b/>
                <w:sz w:val="16"/>
                <w:lang w:val="es-ES_tradnl"/>
              </w:rPr>
              <w:t>5.311</w:t>
            </w:r>
          </w:p>
        </w:tc>
        <w:tc>
          <w:tcPr>
            <w:tcW w:w="1772" w:type="dxa"/>
            <w:shd w:val="clear" w:color="auto" w:fill="auto"/>
            <w:vAlign w:val="center"/>
            <w:hideMark/>
          </w:tcPr>
          <w:p w:rsidR="00525604" w:rsidRPr="00332758" w:rsidRDefault="00525604" w:rsidP="00853209">
            <w:pPr>
              <w:spacing w:before="40" w:after="40"/>
              <w:jc w:val="center"/>
              <w:rPr>
                <w:rFonts w:cs="Arial"/>
                <w:b/>
                <w:bCs/>
                <w:sz w:val="16"/>
                <w:szCs w:val="16"/>
                <w:lang w:val="es-ES_tradnl"/>
              </w:rPr>
            </w:pPr>
            <w:r w:rsidRPr="00332758">
              <w:rPr>
                <w:b/>
                <w:sz w:val="16"/>
                <w:lang w:val="es-ES_tradnl"/>
              </w:rPr>
              <w:t>98%</w:t>
            </w:r>
          </w:p>
        </w:tc>
      </w:tr>
    </w:tbl>
    <w:p w:rsidR="00525604" w:rsidRPr="00A34388" w:rsidRDefault="00525604" w:rsidP="00525604">
      <w:pPr>
        <w:rPr>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NOTAS:</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lang w:val="es-ES_tradnl"/>
        </w:rPr>
      </w:pPr>
      <w:r w:rsidRPr="00A34388">
        <w:rPr>
          <w:sz w:val="16"/>
          <w:lang w:val="es-ES_tradnl"/>
        </w:rPr>
        <w:t xml:space="preserve">2)  </w:t>
      </w:r>
      <w:r w:rsidR="007A1C31"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rPr>
          <w:sz w:val="16"/>
          <w:szCs w:val="16"/>
          <w:lang w:val="es-ES_tradnl"/>
        </w:rPr>
      </w:pPr>
    </w:p>
    <w:p w:rsidR="00525604" w:rsidRPr="00A34388" w:rsidRDefault="00525604" w:rsidP="00525604">
      <w:pPr>
        <w:rPr>
          <w:sz w:val="16"/>
          <w:szCs w:val="16"/>
          <w:lang w:val="es-ES_tradnl"/>
        </w:rPr>
      </w:pPr>
    </w:p>
    <w:p w:rsidR="00525604" w:rsidRPr="00332758" w:rsidRDefault="00525604" w:rsidP="00525604">
      <w:pPr>
        <w:keepNext/>
        <w:keepLines/>
        <w:tabs>
          <w:tab w:val="left" w:pos="709"/>
        </w:tabs>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keepNext/>
        <w:keepLines/>
        <w:autoSpaceDE w:val="0"/>
        <w:autoSpaceDN w:val="0"/>
        <w:adjustRightInd w:val="0"/>
        <w:jc w:val="both"/>
        <w:rPr>
          <w:lang w:val="es-ES_tradnl"/>
        </w:rPr>
      </w:pPr>
    </w:p>
    <w:p w:rsidR="00525604" w:rsidRPr="00332758" w:rsidRDefault="00525604" w:rsidP="00525604">
      <w:pPr>
        <w:pStyle w:val="ListParagraph"/>
        <w:tabs>
          <w:tab w:val="left" w:pos="709"/>
        </w:tabs>
        <w:ind w:left="0"/>
        <w:jc w:val="both"/>
        <w:rPr>
          <w:rFonts w:eastAsia="Batang"/>
          <w:lang w:val="es-ES_tradnl"/>
        </w:rPr>
      </w:pPr>
      <w:r w:rsidRPr="00332758">
        <w:rPr>
          <w:lang w:val="es-ES_tradnl"/>
        </w:rPr>
        <w:t>2.6.</w:t>
      </w:r>
      <w:r w:rsidRPr="00A34388">
        <w:rPr>
          <w:lang w:val="es-ES_tradnl"/>
        </w:rPr>
        <w:tab/>
      </w:r>
      <w:r w:rsidRPr="00332758">
        <w:rPr>
          <w:lang w:val="es-ES_tradnl"/>
        </w:rPr>
        <w:t>La disminución de recursos relativos al resultado I.1 (Elaboración de marcos normativos internacionales equilibrados para la P.I.) se debe a la transferencia de recursos, inicialmente presupuestados en el marco del programa 3 para la organización de una posible conferencia diplomática para la adopción de un tratado sobre el derecho de los diseños, con el fin de celebrar la conferencia diplomática sobre la protección de las Interpretaciones y Ejecuciones Audiovisuales.</w:t>
      </w:r>
    </w:p>
    <w:p w:rsidR="00525604" w:rsidRPr="00A34388" w:rsidRDefault="00525604" w:rsidP="00525604">
      <w:pPr>
        <w:jc w:val="both"/>
        <w:rPr>
          <w:rFonts w:eastAsia="Batang"/>
          <w:lang w:val="es-ES_tradnl"/>
        </w:rPr>
      </w:pPr>
    </w:p>
    <w:p w:rsidR="00525604" w:rsidRPr="00A34388" w:rsidRDefault="00525604" w:rsidP="00525604">
      <w:pPr>
        <w:pStyle w:val="ListParagraph"/>
        <w:tabs>
          <w:tab w:val="left" w:pos="709"/>
        </w:tabs>
        <w:ind w:left="0"/>
        <w:jc w:val="both"/>
        <w:rPr>
          <w:rFonts w:eastAsia="Batang"/>
          <w:lang w:val="es-ES_tradnl"/>
        </w:rPr>
      </w:pPr>
      <w:r w:rsidRPr="00332758">
        <w:rPr>
          <w:lang w:val="es-ES_tradnl"/>
        </w:rPr>
        <w:t>2.7.</w:t>
      </w:r>
      <w:r w:rsidRPr="00A34388">
        <w:rPr>
          <w:lang w:val="es-ES_tradnl"/>
        </w:rPr>
        <w:tab/>
      </w:r>
      <w:r w:rsidRPr="00332758">
        <w:rPr>
          <w:lang w:val="es-ES_tradnl"/>
        </w:rPr>
        <w:t>El aumento de los recursos asignados al resultado I.2 (Aumento de la protección de los emblemas de Estado) se debe principalmente a la asignación de recursos adicionales de personal a ese resultado.</w:t>
      </w:r>
    </w:p>
    <w:p w:rsidR="00525604" w:rsidRPr="00A34388" w:rsidRDefault="00525604" w:rsidP="00525604">
      <w:pPr>
        <w:jc w:val="both"/>
        <w:rPr>
          <w:rFonts w:eastAsia="Batang"/>
          <w:lang w:val="es-ES_tradnl"/>
        </w:rPr>
      </w:pPr>
    </w:p>
    <w:p w:rsidR="00525604" w:rsidRPr="00A34388" w:rsidRDefault="00525604" w:rsidP="00525604">
      <w:pPr>
        <w:tabs>
          <w:tab w:val="left" w:pos="709"/>
        </w:tabs>
        <w:jc w:val="both"/>
        <w:rPr>
          <w:rFonts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jc w:val="both"/>
        <w:rPr>
          <w:rFonts w:eastAsia="Batang"/>
          <w:lang w:val="es-ES_tradnl"/>
        </w:rPr>
      </w:pPr>
    </w:p>
    <w:p w:rsidR="00525604" w:rsidRPr="00A34388" w:rsidRDefault="00525604" w:rsidP="00525604">
      <w:pPr>
        <w:pStyle w:val="ListParagraph"/>
        <w:tabs>
          <w:tab w:val="left" w:pos="709"/>
        </w:tabs>
        <w:ind w:left="0"/>
        <w:jc w:val="both"/>
        <w:rPr>
          <w:lang w:val="es-ES_tradnl"/>
        </w:rPr>
      </w:pPr>
      <w:r w:rsidRPr="00A34388">
        <w:rPr>
          <w:lang w:val="es-ES_tradnl"/>
        </w:rPr>
        <w:t>2.8.</w:t>
      </w:r>
      <w:r w:rsidRPr="00A34388">
        <w:rPr>
          <w:lang w:val="es-ES_tradnl"/>
        </w:rPr>
        <w:tab/>
        <w:t xml:space="preserve">El índice de utilización </w:t>
      </w:r>
      <w:r w:rsidR="00AC4651" w:rsidRPr="00A34388">
        <w:rPr>
          <w:lang w:val="es-ES_tradnl"/>
        </w:rPr>
        <w:t xml:space="preserve">a cargo del programa </w:t>
      </w:r>
      <w:r w:rsidR="00FB7D1E" w:rsidRPr="00A34388">
        <w:rPr>
          <w:lang w:val="es-ES_tradnl"/>
        </w:rPr>
        <w:t xml:space="preserve">del presupuesto no relativo al personal </w:t>
      </w:r>
      <w:r w:rsidRPr="00A34388">
        <w:rPr>
          <w:lang w:val="es-ES_tradnl"/>
        </w:rPr>
        <w:t xml:space="preserve">fue del 94% del presupuesto después de las transferencias.  </w:t>
      </w:r>
      <w:r w:rsidR="008353A2" w:rsidRPr="00A34388">
        <w:rPr>
          <w:lang w:val="es-ES_tradnl"/>
        </w:rPr>
        <w:t>Est</w:t>
      </w:r>
      <w:r w:rsidR="00835784" w:rsidRPr="00A34388">
        <w:rPr>
          <w:lang w:val="es-ES_tradnl"/>
        </w:rPr>
        <w:t>a</w:t>
      </w:r>
      <w:r w:rsidR="008353A2" w:rsidRPr="00A34388">
        <w:rPr>
          <w:lang w:val="es-ES_tradnl"/>
        </w:rPr>
        <w:t xml:space="preserve"> </w:t>
      </w:r>
      <w:r w:rsidR="00835784" w:rsidRPr="00A34388">
        <w:rPr>
          <w:lang w:val="es-ES_tradnl"/>
        </w:rPr>
        <w:t xml:space="preserve">infrautilización </w:t>
      </w:r>
      <w:r w:rsidRPr="00A34388">
        <w:rPr>
          <w:lang w:val="es-ES_tradnl"/>
        </w:rPr>
        <w:t xml:space="preserve">de los recursos no relativos al personal se debió principalmente a los ahorros de costos </w:t>
      </w:r>
      <w:r w:rsidR="00835784" w:rsidRPr="00A34388">
        <w:rPr>
          <w:lang w:val="es-ES_tradnl"/>
        </w:rPr>
        <w:t xml:space="preserve">derivados de la </w:t>
      </w:r>
      <w:r w:rsidRPr="00A34388">
        <w:rPr>
          <w:lang w:val="es-ES_tradnl"/>
        </w:rPr>
        <w:t xml:space="preserve">reducción de las misiones del personal </w:t>
      </w:r>
      <w:r w:rsidR="00835784" w:rsidRPr="00A34388">
        <w:rPr>
          <w:lang w:val="es-ES_tradnl"/>
        </w:rPr>
        <w:t xml:space="preserve">reflejadas en el </w:t>
      </w:r>
      <w:r w:rsidR="00FB7D1E" w:rsidRPr="00A34388">
        <w:rPr>
          <w:lang w:val="es-ES_tradnl"/>
        </w:rPr>
        <w:t>r</w:t>
      </w:r>
      <w:r w:rsidRPr="00A34388">
        <w:rPr>
          <w:lang w:val="es-ES_tradnl"/>
        </w:rPr>
        <w:t>esultado I.4 (Asesoramiento en el ámbito legislativo).</w:t>
      </w:r>
    </w:p>
    <w:p w:rsidR="007A1C31" w:rsidRPr="00A34388" w:rsidRDefault="007A1C31" w:rsidP="00525604">
      <w:pPr>
        <w:jc w:val="both"/>
        <w:rPr>
          <w:lang w:val="es-ES_tradnl"/>
        </w:rPr>
      </w:pPr>
    </w:p>
    <w:p w:rsidR="00525604" w:rsidRPr="00A34388" w:rsidRDefault="00525604" w:rsidP="00525604">
      <w:pPr>
        <w:pStyle w:val="ListParagraph"/>
        <w:tabs>
          <w:tab w:val="left" w:pos="709"/>
        </w:tabs>
        <w:ind w:left="0"/>
        <w:jc w:val="both"/>
        <w:rPr>
          <w:lang w:val="es-ES_tradnl"/>
        </w:rPr>
      </w:pPr>
      <w:r w:rsidRPr="00A34388">
        <w:rPr>
          <w:lang w:val="es-ES_tradnl"/>
        </w:rPr>
        <w:lastRenderedPageBreak/>
        <w:t>2.9.</w:t>
      </w:r>
      <w:r w:rsidRPr="00A34388">
        <w:rPr>
          <w:lang w:val="es-ES_tradnl"/>
        </w:rPr>
        <w:tab/>
        <w:t xml:space="preserve">El </w:t>
      </w:r>
      <w:r w:rsidR="008353A2" w:rsidRPr="00A34388">
        <w:rPr>
          <w:lang w:val="es-ES_tradnl"/>
        </w:rPr>
        <w:t xml:space="preserve">incremento </w:t>
      </w:r>
      <w:r w:rsidRPr="00A34388">
        <w:rPr>
          <w:lang w:val="es-ES_tradnl"/>
        </w:rPr>
        <w:t xml:space="preserve">de gastos respecto </w:t>
      </w:r>
      <w:r w:rsidR="00FB7D1E" w:rsidRPr="00A34388">
        <w:rPr>
          <w:lang w:val="es-ES_tradnl"/>
        </w:rPr>
        <w:t xml:space="preserve">de </w:t>
      </w:r>
      <w:r w:rsidR="008353A2" w:rsidRPr="00A34388">
        <w:rPr>
          <w:lang w:val="es-ES_tradnl"/>
        </w:rPr>
        <w:t xml:space="preserve">lo consignado en el </w:t>
      </w:r>
      <w:r w:rsidRPr="00A34388">
        <w:rPr>
          <w:lang w:val="es-ES_tradnl"/>
        </w:rPr>
        <w:t xml:space="preserve">presupuesto después de las transferencias </w:t>
      </w:r>
      <w:r w:rsidR="008353A2" w:rsidRPr="00A34388">
        <w:rPr>
          <w:lang w:val="es-ES_tradnl"/>
        </w:rPr>
        <w:t xml:space="preserve">en </w:t>
      </w:r>
      <w:r w:rsidR="00FB7D1E" w:rsidRPr="00A34388">
        <w:rPr>
          <w:lang w:val="es-ES_tradnl"/>
        </w:rPr>
        <w:t>el marco del r</w:t>
      </w:r>
      <w:r w:rsidRPr="00A34388">
        <w:rPr>
          <w:lang w:val="es-ES_tradnl"/>
        </w:rPr>
        <w:t>esultado I.1 (Elaboración de marcos normativos internacionales equilibrados para la P.I.) se debió a la celebración de l</w:t>
      </w:r>
      <w:r w:rsidR="004F7424">
        <w:rPr>
          <w:lang w:val="es-ES_tradnl"/>
        </w:rPr>
        <w:t>a</w:t>
      </w:r>
      <w:r w:rsidRPr="00A34388">
        <w:rPr>
          <w:lang w:val="es-ES_tradnl"/>
        </w:rPr>
        <w:t xml:space="preserve">s siguientes </w:t>
      </w:r>
      <w:r w:rsidR="004F7424">
        <w:rPr>
          <w:lang w:val="es-ES_tradnl"/>
        </w:rPr>
        <w:t>reuniones no prevista</w:t>
      </w:r>
      <w:r w:rsidRPr="00A34388">
        <w:rPr>
          <w:lang w:val="es-ES_tradnl"/>
        </w:rPr>
        <w:t>s durante el bienio:</w:t>
      </w:r>
    </w:p>
    <w:p w:rsidR="00525604" w:rsidRPr="00A34388" w:rsidRDefault="00525604" w:rsidP="00525604">
      <w:pPr>
        <w:jc w:val="both"/>
        <w:rPr>
          <w:lang w:val="es-ES_tradnl"/>
        </w:rPr>
      </w:pPr>
    </w:p>
    <w:p w:rsidR="00525604" w:rsidRPr="00A34388" w:rsidRDefault="00525604" w:rsidP="00525604">
      <w:pPr>
        <w:pStyle w:val="ListParagraph"/>
        <w:numPr>
          <w:ilvl w:val="0"/>
          <w:numId w:val="4"/>
        </w:numPr>
        <w:ind w:left="714" w:hanging="357"/>
        <w:jc w:val="both"/>
        <w:rPr>
          <w:lang w:val="es-ES_tradnl"/>
        </w:rPr>
      </w:pPr>
      <w:r w:rsidRPr="00A34388">
        <w:rPr>
          <w:lang w:val="es-ES_tradnl"/>
        </w:rPr>
        <w:t>dos reuniones adicionales del SCT, como resultado del aplazamiento de una conferencia diplomática;  y</w:t>
      </w:r>
    </w:p>
    <w:p w:rsidR="008018CA" w:rsidRDefault="00525604" w:rsidP="00525604">
      <w:pPr>
        <w:pStyle w:val="ListParagraph"/>
        <w:numPr>
          <w:ilvl w:val="0"/>
          <w:numId w:val="4"/>
        </w:numPr>
        <w:ind w:left="714" w:hanging="357"/>
        <w:jc w:val="both"/>
        <w:rPr>
          <w:lang w:val="es-ES_tradnl"/>
        </w:rPr>
      </w:pPr>
      <w:r w:rsidRPr="00A34388">
        <w:rPr>
          <w:lang w:val="es-ES_tradnl"/>
        </w:rPr>
        <w:t>el Simposio mundial sobre las indicaciones geográficas de Bangkok, Tailandia, los dí</w:t>
      </w:r>
      <w:r w:rsidR="008018CA">
        <w:rPr>
          <w:lang w:val="es-ES_tradnl"/>
        </w:rPr>
        <w:t>as 27 a 29 de marzo.</w:t>
      </w:r>
    </w:p>
    <w:p w:rsidR="008018CA" w:rsidRDefault="008018CA" w:rsidP="008018CA">
      <w:pPr>
        <w:rPr>
          <w:lang w:val="es-ES_tradnl"/>
        </w:rPr>
      </w:pPr>
    </w:p>
    <w:p w:rsidR="00525604" w:rsidRPr="008018CA" w:rsidRDefault="00525604" w:rsidP="008018CA">
      <w:pPr>
        <w:rPr>
          <w:lang w:val="es-ES_tradnl"/>
        </w:rPr>
      </w:pPr>
      <w:r w:rsidRPr="008018CA">
        <w:rPr>
          <w:lang w:val="es-ES_tradnl"/>
        </w:rPr>
        <w:br w:type="page"/>
      </w:r>
    </w:p>
    <w:p w:rsidR="00391D6B" w:rsidRPr="003934C8" w:rsidRDefault="00391D6B" w:rsidP="00391D6B">
      <w:pPr>
        <w:pStyle w:val="Heading3"/>
        <w:rPr>
          <w:rFonts w:hint="eastAsia"/>
          <w:lang w:val="es-ES"/>
        </w:rPr>
      </w:pPr>
      <w:bookmarkStart w:id="28" w:name="_Toc395279654"/>
      <w:r w:rsidRPr="003934C8">
        <w:rPr>
          <w:lang w:val="es-ES"/>
        </w:rPr>
        <w:lastRenderedPageBreak/>
        <w:t>Programa 3</w:t>
      </w:r>
      <w:r w:rsidRPr="003934C8">
        <w:rPr>
          <w:lang w:val="es-ES"/>
        </w:rPr>
        <w:tab/>
        <w:t>Derecho de autor y derechos conexos</w:t>
      </w:r>
      <w:bookmarkEnd w:id="28"/>
    </w:p>
    <w:p w:rsidR="00391D6B" w:rsidRPr="00332758" w:rsidRDefault="00391D6B" w:rsidP="00391D6B">
      <w:pPr>
        <w:tabs>
          <w:tab w:val="left" w:pos="2268"/>
        </w:tabs>
        <w:rPr>
          <w:rFonts w:cs="Arial"/>
          <w:sz w:val="22"/>
          <w:szCs w:val="22"/>
          <w:lang w:val="es-ES_tradnl"/>
        </w:rPr>
      </w:pPr>
    </w:p>
    <w:p w:rsidR="00391D6B" w:rsidRPr="00332758" w:rsidRDefault="00391D6B" w:rsidP="00391D6B">
      <w:pPr>
        <w:tabs>
          <w:tab w:val="left" w:pos="2694"/>
        </w:tabs>
        <w:rPr>
          <w:rFonts w:cs="Arial"/>
          <w:b/>
          <w:sz w:val="22"/>
          <w:szCs w:val="22"/>
          <w:lang w:val="es-ES_tradnl"/>
        </w:rPr>
      </w:pPr>
      <w:r w:rsidRPr="00332758">
        <w:rPr>
          <w:b/>
          <w:sz w:val="22"/>
          <w:lang w:val="es-ES_tradnl"/>
        </w:rPr>
        <w:t>Director de Programa</w:t>
      </w:r>
      <w:r w:rsidRPr="00332758">
        <w:rPr>
          <w:sz w:val="22"/>
          <w:lang w:val="es-ES_tradnl"/>
        </w:rPr>
        <w:t xml:space="preserve"> </w:t>
      </w:r>
      <w:r w:rsidRPr="00A34388">
        <w:rPr>
          <w:lang w:val="es-ES_tradnl"/>
        </w:rPr>
        <w:tab/>
      </w:r>
      <w:r w:rsidRPr="00332758">
        <w:rPr>
          <w:b/>
          <w:sz w:val="22"/>
          <w:lang w:val="es-ES_tradnl"/>
        </w:rPr>
        <w:t>Sr. T. Clarke</w:t>
      </w:r>
    </w:p>
    <w:p w:rsidR="00525604" w:rsidRPr="00A34388" w:rsidRDefault="00525604" w:rsidP="00525604">
      <w:pPr>
        <w:rPr>
          <w:rFonts w:cs="Arial"/>
          <w:sz w:val="22"/>
          <w:szCs w:val="22"/>
          <w:lang w:val="es-ES_tradnl"/>
        </w:rPr>
      </w:pPr>
    </w:p>
    <w:p w:rsidR="00525604" w:rsidRPr="00A34388" w:rsidRDefault="00525604" w:rsidP="00525604">
      <w:pPr>
        <w:rPr>
          <w:rFonts w:cs="Arial"/>
          <w:bCs/>
          <w:sz w:val="22"/>
          <w:szCs w:val="22"/>
          <w:lang w:val="es-ES_tradnl"/>
        </w:rPr>
      </w:pPr>
    </w:p>
    <w:p w:rsidR="00525604" w:rsidRPr="00A34388" w:rsidRDefault="003E3F45" w:rsidP="00525604">
      <w:pPr>
        <w:rPr>
          <w:rFonts w:cs="Arial"/>
          <w:bCs/>
          <w:sz w:val="22"/>
          <w:szCs w:val="22"/>
          <w:lang w:val="es-ES_tradnl"/>
        </w:rPr>
      </w:pPr>
      <w:r>
        <w:rPr>
          <w:sz w:val="22"/>
          <w:lang w:val="es-ES_tradnl"/>
        </w:rPr>
        <w:t>AVANCES LOGRADOS EN EL BIENIO 2012/13</w:t>
      </w:r>
    </w:p>
    <w:p w:rsidR="00525604" w:rsidRPr="00A34388" w:rsidRDefault="00525604" w:rsidP="00525604">
      <w:pPr>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w:t>
      </w:r>
      <w:r w:rsidRPr="00A34388">
        <w:rPr>
          <w:lang w:val="es-ES_tradnl"/>
        </w:rPr>
        <w:tab/>
      </w:r>
      <w:r w:rsidR="008353A2" w:rsidRPr="00A34388">
        <w:rPr>
          <w:lang w:val="es-ES_tradnl"/>
        </w:rPr>
        <w:t xml:space="preserve">La labor </w:t>
      </w:r>
      <w:r w:rsidRPr="00A34388">
        <w:rPr>
          <w:lang w:val="es-ES_tradnl"/>
        </w:rPr>
        <w:t>de este programa en el bienio 2012/13 se centró en lograr los resultados previstos en tres ámbitos amplios</w:t>
      </w:r>
      <w:proofErr w:type="gramStart"/>
      <w:r w:rsidRPr="00A34388">
        <w:rPr>
          <w:lang w:val="es-ES_tradnl"/>
        </w:rPr>
        <w:t>:  avanzar</w:t>
      </w:r>
      <w:proofErr w:type="gramEnd"/>
      <w:r w:rsidRPr="00A34388">
        <w:rPr>
          <w:lang w:val="es-ES_tradnl"/>
        </w:rPr>
        <w:t xml:space="preserve"> en la labor normativa en el Comité Permanente de Derecho de Autor y Derechos Conexos (SCCR), reforzar el desarrollo de la infraestructura de derecho de autor, así como mejora</w:t>
      </w:r>
      <w:r w:rsidR="004F7424">
        <w:rPr>
          <w:lang w:val="es-ES_tradnl"/>
        </w:rPr>
        <w:t>r</w:t>
      </w:r>
      <w:r w:rsidRPr="00A34388">
        <w:rPr>
          <w:lang w:val="es-ES_tradnl"/>
        </w:rPr>
        <w:t xml:space="preserve"> la capacidad institucional y humana en los países en desarrollo y los PMA, con vistas a utilizar el sistema de derecho de autor para explotar el potencial económico de su cultura.  Se ha progresado de forma notable en cada uno de estos ámbitos, tal y como ponen de manifiesto los indicadores de rendimiento que se </w:t>
      </w:r>
      <w:r w:rsidR="008353A2" w:rsidRPr="00A34388">
        <w:rPr>
          <w:lang w:val="es-ES_tradnl"/>
        </w:rPr>
        <w:t xml:space="preserve">examinan </w:t>
      </w:r>
      <w:r w:rsidRPr="00A34388">
        <w:rPr>
          <w:lang w:val="es-ES_tradnl"/>
        </w:rPr>
        <w:t>a continuación.</w:t>
      </w:r>
    </w:p>
    <w:p w:rsidR="00525604" w:rsidRPr="00A34388" w:rsidRDefault="00525604" w:rsidP="00525604">
      <w:pPr>
        <w:jc w:val="both"/>
        <w:rPr>
          <w:rFonts w:cs="Arial"/>
          <w:szCs w:val="20"/>
          <w:lang w:val="es-ES_tradnl"/>
        </w:rPr>
      </w:pPr>
    </w:p>
    <w:p w:rsidR="00525604" w:rsidRPr="00332758" w:rsidRDefault="00525604" w:rsidP="00525604">
      <w:pPr>
        <w:keepNext/>
        <w:keepLines/>
        <w:jc w:val="both"/>
        <w:rPr>
          <w:rFonts w:eastAsia="SimSun" w:cs="Arial"/>
          <w:bCs/>
          <w:szCs w:val="20"/>
          <w:u w:val="single"/>
          <w:lang w:val="es-ES_tradnl"/>
        </w:rPr>
      </w:pPr>
      <w:r w:rsidRPr="00332758">
        <w:rPr>
          <w:u w:val="single"/>
          <w:lang w:val="es-ES_tradnl"/>
        </w:rPr>
        <w:t>Labor normativa y de política</w:t>
      </w:r>
    </w:p>
    <w:p w:rsidR="00525604" w:rsidRPr="00A34388" w:rsidRDefault="00525604" w:rsidP="00525604">
      <w:pPr>
        <w:keepNext/>
        <w:keepLines/>
        <w:jc w:val="both"/>
        <w:rPr>
          <w:rFonts w:eastAsia="SimSun" w:cs="Arial"/>
          <w:bCs/>
          <w:sz w:val="16"/>
          <w:szCs w:val="16"/>
          <w:lang w:val="es-ES_tradnl"/>
        </w:rPr>
      </w:pPr>
    </w:p>
    <w:p w:rsidR="00525604" w:rsidRPr="00A34388" w:rsidRDefault="00525604" w:rsidP="00525604">
      <w:pPr>
        <w:tabs>
          <w:tab w:val="left" w:pos="709"/>
        </w:tabs>
        <w:jc w:val="both"/>
        <w:rPr>
          <w:rFonts w:eastAsia="SimSun" w:cs="Arial"/>
          <w:szCs w:val="20"/>
          <w:lang w:val="es-ES_tradnl"/>
        </w:rPr>
      </w:pPr>
      <w:r w:rsidRPr="00A34388">
        <w:rPr>
          <w:lang w:val="es-ES_tradnl"/>
        </w:rPr>
        <w:t>3.2.</w:t>
      </w:r>
      <w:r w:rsidRPr="00A34388">
        <w:rPr>
          <w:lang w:val="es-ES_tradnl"/>
        </w:rPr>
        <w:tab/>
        <w:t>El logro normativo más notable durante el bienio fue la adopción del texto de dos nuevos tratados en materia de derecho de autor</w:t>
      </w:r>
      <w:proofErr w:type="gramStart"/>
      <w:r w:rsidRPr="00A34388">
        <w:rPr>
          <w:lang w:val="es-ES_tradnl"/>
        </w:rPr>
        <w:t>:  el</w:t>
      </w:r>
      <w:proofErr w:type="gramEnd"/>
      <w:r w:rsidRPr="00A34388">
        <w:rPr>
          <w:lang w:val="es-ES_tradnl"/>
        </w:rPr>
        <w:t xml:space="preserve"> Tratado de Beijing sobre Interpretaciones y Ejecuciones Audiovisuales (Tratado de Beijing) y el Tratado de Marrakech para facilitar el acceso a las obras publicadas a las personas ciegas, con discapacidad visual o con otras dificultades para acceder al texto impreso (Tratado de Marrakech).  La conferencia diplomática para el Tratado de Beijing se celebró en Beijing (China), los días 20 a 26 de junio de 2012, y la conferencia diplomática para el Tratado de Marrakech (Marruecos), los días 17 a 28 de junio de 2013.</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525604">
      <w:pPr>
        <w:tabs>
          <w:tab w:val="left" w:pos="709"/>
        </w:tabs>
        <w:jc w:val="both"/>
        <w:rPr>
          <w:rFonts w:eastAsia="SimSun" w:cs="Arial"/>
          <w:szCs w:val="20"/>
          <w:lang w:val="es-ES_tradnl"/>
        </w:rPr>
      </w:pPr>
      <w:r w:rsidRPr="00A34388">
        <w:rPr>
          <w:lang w:val="es-ES_tradnl"/>
        </w:rPr>
        <w:t>3.3.</w:t>
      </w:r>
      <w:r w:rsidRPr="00A34388">
        <w:rPr>
          <w:lang w:val="es-ES_tradnl"/>
        </w:rPr>
        <w:tab/>
        <w:t xml:space="preserve">También se </w:t>
      </w:r>
      <w:r w:rsidR="008353A2" w:rsidRPr="00A34388">
        <w:rPr>
          <w:lang w:val="es-ES_tradnl"/>
        </w:rPr>
        <w:t xml:space="preserve">progresó </w:t>
      </w:r>
      <w:r w:rsidRPr="00A34388">
        <w:rPr>
          <w:lang w:val="es-ES_tradnl"/>
        </w:rPr>
        <w:t>en otras cuestiones del orden del día del SCCR durante las tres reuniones celebradas en julio de 2012, noviembre de 2012 y diciembre de 2013</w:t>
      </w:r>
      <w:r w:rsidR="00537926" w:rsidRPr="00A34388">
        <w:rPr>
          <w:lang w:val="es-ES_tradnl"/>
        </w:rPr>
        <w:t xml:space="preserve">. </w:t>
      </w:r>
      <w:r w:rsidRPr="00A34388">
        <w:rPr>
          <w:lang w:val="es-ES_tradnl"/>
        </w:rPr>
        <w:t xml:space="preserve"> </w:t>
      </w:r>
      <w:r w:rsidRPr="00332758">
        <w:rPr>
          <w:lang w:val="es-ES_tradnl"/>
        </w:rPr>
        <w:t>El SCCR adoptó asimismo y presentó en la Asamblea General de 2012 un plan de trabajo actualizado en relación con otra propuesta de tratado y posibles instrumentos relativos a las limitaciones y excepciones</w:t>
      </w:r>
      <w:proofErr w:type="gramStart"/>
      <w:r w:rsidRPr="00332758">
        <w:rPr>
          <w:lang w:val="es-ES_tradnl"/>
        </w:rPr>
        <w:t>:  un</w:t>
      </w:r>
      <w:proofErr w:type="gramEnd"/>
      <w:r w:rsidRPr="00332758">
        <w:rPr>
          <w:lang w:val="es-ES_tradnl"/>
        </w:rPr>
        <w:t xml:space="preserve"> tratado sobre los organismos de radiodifusión, y limitaciones y excepciones para las bibliotecas y los archivos, las instituciones docentes y de investigación y las personas con otras discapacidades</w:t>
      </w:r>
      <w:r w:rsidR="00537926" w:rsidRPr="00332758">
        <w:rPr>
          <w:lang w:val="es-ES_tradnl"/>
        </w:rPr>
        <w:t xml:space="preserve">. </w:t>
      </w:r>
      <w:r w:rsidRPr="00A34388">
        <w:rPr>
          <w:lang w:val="es-ES_tradnl"/>
        </w:rPr>
        <w:t xml:space="preserve"> En cada sesión del SCCR se progresó en el desarrollo de textos de trabajo relativos a estas cuestiones.</w:t>
      </w:r>
    </w:p>
    <w:p w:rsidR="00525604" w:rsidRPr="00A34388" w:rsidRDefault="00525604" w:rsidP="00525604">
      <w:pPr>
        <w:tabs>
          <w:tab w:val="left" w:pos="709"/>
        </w:tabs>
        <w:jc w:val="both"/>
        <w:rPr>
          <w:rFonts w:eastAsia="SimSun" w:cs="Arial"/>
          <w:szCs w:val="20"/>
          <w:lang w:val="es-ES_tradnl"/>
        </w:rPr>
      </w:pPr>
    </w:p>
    <w:p w:rsidR="00525604" w:rsidRPr="00332758" w:rsidRDefault="00525604" w:rsidP="00525604">
      <w:pPr>
        <w:tabs>
          <w:tab w:val="left" w:pos="709"/>
        </w:tabs>
        <w:jc w:val="both"/>
        <w:rPr>
          <w:rFonts w:eastAsia="SimSun" w:cs="Arial"/>
          <w:szCs w:val="20"/>
          <w:lang w:val="es-ES_tradnl"/>
        </w:rPr>
      </w:pPr>
      <w:r w:rsidRPr="00A34388">
        <w:rPr>
          <w:lang w:val="es-ES_tradnl"/>
        </w:rPr>
        <w:t>3.4.</w:t>
      </w:r>
      <w:r w:rsidRPr="00A34388">
        <w:rPr>
          <w:lang w:val="es-ES_tradnl"/>
        </w:rPr>
        <w:tab/>
        <w:t xml:space="preserve">Se prestó asesoramiento en materia legislativa </w:t>
      </w:r>
      <w:r w:rsidR="008353A2" w:rsidRPr="00A34388">
        <w:rPr>
          <w:lang w:val="es-ES_tradnl"/>
        </w:rPr>
        <w:t xml:space="preserve">relacionado con los </w:t>
      </w:r>
      <w:r w:rsidRPr="00A34388">
        <w:rPr>
          <w:lang w:val="es-ES_tradnl"/>
        </w:rPr>
        <w:t>derecho</w:t>
      </w:r>
      <w:r w:rsidR="008353A2" w:rsidRPr="00A34388">
        <w:rPr>
          <w:lang w:val="es-ES_tradnl"/>
        </w:rPr>
        <w:t>s</w:t>
      </w:r>
      <w:r w:rsidRPr="00A34388">
        <w:rPr>
          <w:lang w:val="es-ES_tradnl"/>
        </w:rPr>
        <w:t xml:space="preserve"> de autor y derechos conexos, previa solicitud, a 24 Estados miembros</w:t>
      </w:r>
      <w:r w:rsidR="00537926" w:rsidRPr="00A34388">
        <w:rPr>
          <w:lang w:val="es-ES_tradnl"/>
        </w:rPr>
        <w:t xml:space="preserve">. </w:t>
      </w:r>
      <w:r w:rsidRPr="00A34388">
        <w:rPr>
          <w:lang w:val="es-ES_tradnl"/>
        </w:rPr>
        <w:t xml:space="preserve"> </w:t>
      </w:r>
      <w:r w:rsidRPr="00332758">
        <w:rPr>
          <w:lang w:val="es-ES_tradnl"/>
        </w:rPr>
        <w:t>Se produjo un aumento de las solicitudes de asesoramiento, en parte debido al interés de algunos Estados miembros por ratificar el Tratado de Beijing y el Tratado de Marrakech.</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525604">
      <w:pPr>
        <w:tabs>
          <w:tab w:val="left" w:pos="709"/>
        </w:tabs>
        <w:jc w:val="both"/>
        <w:rPr>
          <w:rFonts w:eastAsia="SimSun" w:cs="Arial"/>
          <w:szCs w:val="20"/>
          <w:lang w:val="es-ES_tradnl"/>
        </w:rPr>
      </w:pPr>
      <w:r w:rsidRPr="00332758">
        <w:rPr>
          <w:lang w:val="es-ES_tradnl"/>
        </w:rPr>
        <w:t>3.5.</w:t>
      </w:r>
      <w:r w:rsidRPr="00A34388">
        <w:rPr>
          <w:lang w:val="es-ES_tradnl"/>
        </w:rPr>
        <w:tab/>
      </w:r>
      <w:r w:rsidRPr="00332758">
        <w:rPr>
          <w:lang w:val="es-ES_tradnl"/>
        </w:rPr>
        <w:t>Además, se han obtenido asimismo avances positivos en relación con varios proyectos destinados a potenciar el papel que desempeña la OMPI en el ámbito del derecho de autor en el entorno digital.</w:t>
      </w:r>
      <w:r w:rsidRPr="00A34388">
        <w:rPr>
          <w:lang w:val="es-ES_tradnl"/>
        </w:rPr>
        <w:t xml:space="preserve">  </w:t>
      </w:r>
      <w:r w:rsidRPr="00332758">
        <w:rPr>
          <w:lang w:val="es-ES_tradnl"/>
        </w:rPr>
        <w:t xml:space="preserve">En el marco del programa se realizaron dos estudios con el objetivo de encontrar puntos de convergencia en la forma en que se aborda la responsabilidad de los intermediarios de Internet en las distintas jurisdicciones.  Los organismos multilaterales involucrados han acordado modificar las licencias </w:t>
      </w:r>
      <w:proofErr w:type="spellStart"/>
      <w:r w:rsidRPr="00332758">
        <w:rPr>
          <w:i/>
          <w:lang w:val="es-ES_tradnl"/>
        </w:rPr>
        <w:t>Creative</w:t>
      </w:r>
      <w:proofErr w:type="spellEnd"/>
      <w:r w:rsidRPr="00332758">
        <w:rPr>
          <w:i/>
          <w:lang w:val="es-ES_tradnl"/>
        </w:rPr>
        <w:t xml:space="preserve"> </w:t>
      </w:r>
      <w:proofErr w:type="spellStart"/>
      <w:r w:rsidRPr="00332758">
        <w:rPr>
          <w:i/>
          <w:lang w:val="es-ES_tradnl"/>
        </w:rPr>
        <w:t>Commons</w:t>
      </w:r>
      <w:proofErr w:type="spellEnd"/>
      <w:r w:rsidRPr="00332758">
        <w:rPr>
          <w:lang w:val="es-ES_tradnl"/>
        </w:rPr>
        <w:t xml:space="preserve"> con el fin de flexibilizar la concesión de licencias respecto de los materiales de organizaciones intergubernamentales y, al mismo tiempo, se ha completado la labor en materia de contratos audiovisuales. </w:t>
      </w:r>
      <w:r w:rsidRPr="00A34388">
        <w:rPr>
          <w:lang w:val="es-ES_tradnl"/>
        </w:rPr>
        <w:t xml:space="preserve"> También se publicó un estudio sobre el tratamiento de </w:t>
      </w:r>
      <w:r w:rsidR="00733827" w:rsidRPr="00A34388">
        <w:rPr>
          <w:lang w:val="es-ES_tradnl"/>
        </w:rPr>
        <w:t xml:space="preserve">los </w:t>
      </w:r>
      <w:r w:rsidRPr="00A34388">
        <w:rPr>
          <w:lang w:val="es-ES_tradnl"/>
        </w:rPr>
        <w:t xml:space="preserve">videojuegos con diversos sistemas de </w:t>
      </w:r>
      <w:r w:rsidR="00733827" w:rsidRPr="00A34388">
        <w:rPr>
          <w:lang w:val="es-ES_tradnl"/>
        </w:rPr>
        <w:t>d</w:t>
      </w:r>
      <w:r w:rsidRPr="00A34388">
        <w:rPr>
          <w:lang w:val="es-ES_tradnl"/>
        </w:rPr>
        <w:t xml:space="preserve">erecho de autor. </w:t>
      </w:r>
    </w:p>
    <w:p w:rsidR="00525604" w:rsidRPr="00A34388" w:rsidRDefault="00525604" w:rsidP="00525604">
      <w:pPr>
        <w:tabs>
          <w:tab w:val="left" w:pos="709"/>
        </w:tabs>
        <w:jc w:val="both"/>
        <w:rPr>
          <w:rFonts w:eastAsia="SimSun" w:cs="Arial"/>
          <w:szCs w:val="20"/>
          <w:lang w:val="es-ES_tradnl"/>
        </w:rPr>
      </w:pPr>
    </w:p>
    <w:p w:rsidR="00525604" w:rsidRPr="00332758" w:rsidRDefault="00525604" w:rsidP="00525604">
      <w:pPr>
        <w:tabs>
          <w:tab w:val="left" w:pos="709"/>
        </w:tabs>
        <w:jc w:val="both"/>
        <w:rPr>
          <w:rFonts w:cs="Arial"/>
          <w:szCs w:val="20"/>
          <w:u w:val="single"/>
          <w:lang w:val="es-ES_tradnl"/>
        </w:rPr>
      </w:pPr>
      <w:r w:rsidRPr="00332758">
        <w:rPr>
          <w:u w:val="single"/>
          <w:lang w:val="es-ES_tradnl"/>
        </w:rPr>
        <w:t>Infraestructura en el ámbito del derecho de autor</w:t>
      </w:r>
    </w:p>
    <w:p w:rsidR="00525604" w:rsidRPr="00A34388" w:rsidRDefault="00525604" w:rsidP="00525604">
      <w:pPr>
        <w:tabs>
          <w:tab w:val="left" w:pos="709"/>
        </w:tabs>
        <w:jc w:val="both"/>
        <w:rPr>
          <w:rFonts w:cs="Arial"/>
          <w:sz w:val="16"/>
          <w:szCs w:val="16"/>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3.6.</w:t>
      </w:r>
      <w:r w:rsidRPr="00A34388">
        <w:rPr>
          <w:lang w:val="es-ES_tradnl"/>
        </w:rPr>
        <w:tab/>
        <w:t xml:space="preserve">Se realizaron importantes avances en el desarrollo de una nueva norma internacional de garantía de calidad, de aplicación voluntaria, para organismos de gestión colectiva.  La norma se conocerá por el nombre de “TAG of </w:t>
      </w:r>
      <w:proofErr w:type="spellStart"/>
      <w:r w:rsidRPr="00A34388">
        <w:rPr>
          <w:lang w:val="es-ES_tradnl"/>
        </w:rPr>
        <w:t>Excellence</w:t>
      </w:r>
      <w:proofErr w:type="spellEnd"/>
      <w:r w:rsidRPr="00A34388">
        <w:rPr>
          <w:lang w:val="es-ES_tradnl"/>
        </w:rPr>
        <w:t>” (es decir, excelencia en transparencia, rendición de cuentas y gobernanza).  Este trabajo ya cuenta con un apoyo considerable.  Se creó un grupo de referencia de sectores interesados clave, que se reunió en varias ocasiones para desarrollar los principios en los que se basará la TAG.</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3.7.</w:t>
      </w:r>
      <w:r w:rsidRPr="00A34388">
        <w:rPr>
          <w:lang w:val="es-ES_tradnl"/>
        </w:rPr>
        <w:tab/>
        <w:t xml:space="preserve">También se progresó en el refuerzo del respaldo por parte de la OMPI de los sistemas de gestión de datos de los organismos de gestión colectiva.  Una encuesta independiente y confidencial realizada a los usuarios en 2013 reveló un índice medio de satisfacción superior al 75% por lo que respecta a WIPOCOS (el actual sistema de gestión de datos de la OMPI para organismos de gestión colectiva).  La </w:t>
      </w:r>
      <w:r w:rsidRPr="00A34388">
        <w:rPr>
          <w:lang w:val="es-ES_tradnl"/>
        </w:rPr>
        <w:lastRenderedPageBreak/>
        <w:t xml:space="preserve">OMPI se ha comprometido a mantener el actual WIPOCOS hasta que se haya desarrollado un sistema mejorado.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3.8.</w:t>
      </w:r>
      <w:r w:rsidRPr="00A34388">
        <w:rPr>
          <w:lang w:val="es-ES_tradnl"/>
        </w:rPr>
        <w:tab/>
        <w:t xml:space="preserve">Entre otros proyectos destacados orientados a mejorar el funcionamiento de los organismos de gestión colectiva se incluyen el desarrollo de un manual </w:t>
      </w:r>
      <w:r w:rsidR="004F7424" w:rsidRPr="00A34388">
        <w:rPr>
          <w:lang w:val="es-ES_tradnl"/>
        </w:rPr>
        <w:t xml:space="preserve">piloto </w:t>
      </w:r>
      <w:r w:rsidRPr="00A34388">
        <w:rPr>
          <w:lang w:val="es-ES_tradnl"/>
        </w:rPr>
        <w:t xml:space="preserve">de gestión colectiva, en versión interactiva en línea, que contenga hechos y cifras claves sobre los organismos de gestión colectiva de todo el mundo;  una encuesta internacional sobre los sistemas de remuneración por copia privada; </w:t>
      </w:r>
      <w:r w:rsidR="00267DA6" w:rsidRPr="00A34388">
        <w:rPr>
          <w:lang w:val="es-ES_tradnl"/>
        </w:rPr>
        <w:t xml:space="preserve"> </w:t>
      </w:r>
      <w:r w:rsidRPr="00A34388">
        <w:rPr>
          <w:lang w:val="es-ES_tradnl"/>
        </w:rPr>
        <w:t>un programa piloto de enseñanza a distancia sobre organismos de gestión colectiva, de 100 horas de duración;  y un vídeo de formación sobre gestión colectiva.  Durante 2013 se puso en marcha un programa de orientación que vincula a organismos de gestión colectiva de países desarrollados con los de países en desarrollo y países menos adelantados.  Estos programas (diez de ellos ya se han puesto en marcha) consisten en el suministro de asesoramiento sobre el terreno y a distancia por parte de asesores expertos de un organismo de gestión colectiva establecido.</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3.9.</w:t>
      </w:r>
      <w:r w:rsidRPr="00A34388">
        <w:rPr>
          <w:lang w:val="es-ES_tradnl"/>
        </w:rPr>
        <w:tab/>
        <w:t>Se continuó trabajando para ampliar el alcance geográfico de los estudios de la OMPI relativos a la contribución económica de las industrias creativas.  Estos estudios se han convertido en una de las fuentes acreditadas más citadas en todo el mundo por lo que respecta a la contribución económica del derecho de autor.  Se han completado estudios en 42 países, 15 de ellos en este bienio.  Se realizaron más de 53.000 descargas de publicaciones de la OMPI para creadores relativas a la gestión de su derecho de autor en industrias creativas.</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3.10.</w:t>
      </w:r>
      <w:r w:rsidRPr="00A34388">
        <w:rPr>
          <w:lang w:val="es-ES_tradnl"/>
        </w:rPr>
        <w:tab/>
        <w:t xml:space="preserve">Gracias a la colaboración de diversos socios, el proyecto TIGAR avanzó de la fase piloto a la fase operativa.  TIGAR es una base de datos centralizada que contiene los títulos de obras disponibles en formatos accesibles en todo el mundo.  El proyecto tiene por objeto mejorar el conocimiento y acceso a la información por parte de las personas con discapacidad visual, ampliando el acceso a obras </w:t>
      </w:r>
      <w:r w:rsidR="00733827" w:rsidRPr="00A34388">
        <w:rPr>
          <w:lang w:val="es-ES_tradnl"/>
        </w:rPr>
        <w:t xml:space="preserve">protegidas por </w:t>
      </w:r>
      <w:r w:rsidRPr="00A34388">
        <w:rPr>
          <w:lang w:val="es-ES_tradnl"/>
        </w:rPr>
        <w:t xml:space="preserve">derecho de autor, como los libros.  Para finales de 2013, la base de datos TIGAR contenía más de 218.000 títulos en 45 idiomas y se habían descargado unos 600 libros.  La OMPI también puso en marcha un programa de fortalecimiento de capacidades orientado a mejorar las capacidades de las entidades autorizadas de países en desarrollo y PMA para crear y distribuir obras en formato accesible para personas ciegas, con discapacidad visual o con otras dificultades para acceder al texto impreso.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3.11.</w:t>
      </w:r>
      <w:r w:rsidRPr="00A34388">
        <w:rPr>
          <w:lang w:val="es-ES_tradnl"/>
        </w:rPr>
        <w:tab/>
        <w:t xml:space="preserve">Por último, se mantuvo el apoyo al GDA de la OMPI, un sistema de información para la documentación y el registro público de obras </w:t>
      </w:r>
      <w:r w:rsidR="00841118" w:rsidRPr="00A34388">
        <w:rPr>
          <w:lang w:val="es-ES_tradnl"/>
        </w:rPr>
        <w:t xml:space="preserve">protegidas por </w:t>
      </w:r>
      <w:r w:rsidRPr="00A34388">
        <w:rPr>
          <w:lang w:val="es-ES_tradnl"/>
        </w:rPr>
        <w:t xml:space="preserve">derecho de autor, que ayuda a las oficinas de derecho de autor a mejorar la eficiencia en los procesos de registro de este derecho.  El GDA ya se utiliza en 18 oficinas de derecho de autor de América Latina y el Caribe y África. </w:t>
      </w:r>
    </w:p>
    <w:p w:rsidR="00525604" w:rsidRPr="00A34388" w:rsidRDefault="00525604" w:rsidP="00525604">
      <w:pPr>
        <w:tabs>
          <w:tab w:val="left" w:pos="709"/>
        </w:tabs>
        <w:jc w:val="both"/>
        <w:rPr>
          <w:rFonts w:cs="Arial"/>
          <w:szCs w:val="20"/>
          <w:lang w:val="es-ES_tradnl"/>
        </w:rPr>
      </w:pPr>
    </w:p>
    <w:p w:rsidR="00525604" w:rsidRPr="00332758" w:rsidRDefault="00525604" w:rsidP="008018CA">
      <w:pPr>
        <w:tabs>
          <w:tab w:val="left" w:pos="709"/>
        </w:tabs>
        <w:jc w:val="both"/>
        <w:rPr>
          <w:u w:val="single"/>
          <w:lang w:val="es-ES_tradnl"/>
        </w:rPr>
      </w:pPr>
      <w:r w:rsidRPr="00332758">
        <w:rPr>
          <w:u w:val="single"/>
          <w:lang w:val="es-ES_tradnl"/>
        </w:rPr>
        <w:t xml:space="preserve">Asistencia técnica a los países en desarrollo y los PMA </w:t>
      </w:r>
    </w:p>
    <w:p w:rsidR="00525604" w:rsidRPr="00A34388" w:rsidRDefault="00525604" w:rsidP="008018CA">
      <w:pPr>
        <w:tabs>
          <w:tab w:val="left" w:pos="709"/>
        </w:tabs>
        <w:jc w:val="both"/>
        <w:rPr>
          <w:rFonts w:cs="Arial"/>
          <w:bCs/>
          <w:szCs w:val="20"/>
          <w:u w:val="single"/>
          <w:lang w:val="es-ES_tradnl"/>
        </w:rPr>
      </w:pPr>
    </w:p>
    <w:p w:rsidR="00525604" w:rsidRPr="00A34388" w:rsidRDefault="00525604" w:rsidP="008018CA">
      <w:pPr>
        <w:tabs>
          <w:tab w:val="left" w:pos="709"/>
        </w:tabs>
        <w:jc w:val="both"/>
        <w:rPr>
          <w:rFonts w:cs="Arial"/>
          <w:bCs/>
          <w:szCs w:val="20"/>
          <w:lang w:val="es-ES_tradnl"/>
        </w:rPr>
      </w:pPr>
      <w:r w:rsidRPr="00A34388">
        <w:rPr>
          <w:lang w:val="es-ES_tradnl"/>
        </w:rPr>
        <w:t>3.12.</w:t>
      </w:r>
      <w:r w:rsidRPr="00A34388">
        <w:rPr>
          <w:lang w:val="es-ES_tradnl"/>
        </w:rPr>
        <w:tab/>
        <w:t>Los programas de asistencia técnica y fortalecimiento de capacidades en materia de derecho</w:t>
      </w:r>
      <w:r w:rsidR="00841118" w:rsidRPr="00A34388">
        <w:rPr>
          <w:lang w:val="es-ES_tradnl"/>
        </w:rPr>
        <w:t>s</w:t>
      </w:r>
      <w:r w:rsidRPr="00A34388">
        <w:rPr>
          <w:lang w:val="es-ES_tradnl"/>
        </w:rPr>
        <w:t xml:space="preserve"> de autor y derechos conexos se guiaron por los cuatro pilares de desarrollo</w:t>
      </w:r>
      <w:proofErr w:type="gramStart"/>
      <w:r w:rsidRPr="00A34388">
        <w:rPr>
          <w:lang w:val="es-ES_tradnl"/>
        </w:rPr>
        <w:t xml:space="preserve">:  </w:t>
      </w:r>
      <w:r w:rsidR="004F7424">
        <w:rPr>
          <w:lang w:val="es-ES_tradnl"/>
        </w:rPr>
        <w:t>elaboración</w:t>
      </w:r>
      <w:proofErr w:type="gramEnd"/>
      <w:r w:rsidRPr="00A34388">
        <w:rPr>
          <w:lang w:val="es-ES_tradnl"/>
        </w:rPr>
        <w:t xml:space="preserve"> de estrategias y políticas nacionales de P.I., mejora de los marcos legislativos y reguladores, mejora de la infraestructura y </w:t>
      </w:r>
      <w:r w:rsidR="004F7424">
        <w:rPr>
          <w:lang w:val="es-ES_tradnl"/>
        </w:rPr>
        <w:t>perfeccionamiento</w:t>
      </w:r>
      <w:r w:rsidRPr="00A34388">
        <w:rPr>
          <w:lang w:val="es-ES_tradnl"/>
        </w:rPr>
        <w:t xml:space="preserve"> de conocimientos técnicos</w:t>
      </w:r>
      <w:r w:rsidR="004F7424">
        <w:rPr>
          <w:lang w:val="es-ES_tradnl"/>
        </w:rPr>
        <w:t xml:space="preserve"> a escala local.</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3.13.</w:t>
      </w:r>
      <w:r w:rsidRPr="00A34388">
        <w:rPr>
          <w:lang w:val="es-ES_tradnl"/>
        </w:rPr>
        <w:tab/>
        <w:t xml:space="preserve">Durante el bienio, se organizó un total de 105 programas de formación en el plano nacional, regional e interregional.  Más de 3.300 funcionarios gubernamentales, profesionales del derecho de autor y representantes de las organizaciones interesadas, provenientes de 118 países en desarrollo y PMA y de cuatro organizaciones intergubernamentales participaron en los programas.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3.14.</w:t>
      </w:r>
      <w:r w:rsidRPr="00A34388">
        <w:rPr>
          <w:lang w:val="es-ES_tradnl"/>
        </w:rPr>
        <w:tab/>
        <w:t xml:space="preserve">La información y los conocimientos compartidos a través de los programas contribuyeron a mejorar la capacidad institucional y humana de las oficinas de derecho de autor y otras organizaciones relacionadas y </w:t>
      </w:r>
      <w:r w:rsidR="004F7424">
        <w:rPr>
          <w:lang w:val="es-ES_tradnl"/>
        </w:rPr>
        <w:t xml:space="preserve">permitieron a los </w:t>
      </w:r>
      <w:r w:rsidRPr="00A34388">
        <w:rPr>
          <w:lang w:val="es-ES_tradnl"/>
        </w:rPr>
        <w:t xml:space="preserve">funcionarios gubernamentales autorizados, directores y otros profesionales clave gestionar más eficazmente el amplio </w:t>
      </w:r>
      <w:r w:rsidR="00841118" w:rsidRPr="00A34388">
        <w:rPr>
          <w:lang w:val="es-ES_tradnl"/>
        </w:rPr>
        <w:t xml:space="preserve">elenco </w:t>
      </w:r>
      <w:r w:rsidRPr="00A34388">
        <w:rPr>
          <w:lang w:val="es-ES_tradnl"/>
        </w:rPr>
        <w:t xml:space="preserve">de requisitos necesarios para </w:t>
      </w:r>
      <w:r w:rsidR="004F7424">
        <w:rPr>
          <w:lang w:val="es-ES_tradnl"/>
        </w:rPr>
        <w:t>l</w:t>
      </w:r>
      <w:r w:rsidRPr="00A34388">
        <w:rPr>
          <w:lang w:val="es-ES_tradnl"/>
        </w:rPr>
        <w:t xml:space="preserve">a gestión y </w:t>
      </w:r>
      <w:r w:rsidR="004F7424">
        <w:rPr>
          <w:lang w:val="es-ES_tradnl"/>
        </w:rPr>
        <w:t xml:space="preserve">la </w:t>
      </w:r>
      <w:r w:rsidRPr="00A34388">
        <w:rPr>
          <w:lang w:val="es-ES_tradnl"/>
        </w:rPr>
        <w:t xml:space="preserve">utilización </w:t>
      </w:r>
      <w:r w:rsidR="004F7424">
        <w:rPr>
          <w:lang w:val="es-ES_tradnl"/>
        </w:rPr>
        <w:t xml:space="preserve">eficaces </w:t>
      </w:r>
      <w:r w:rsidRPr="00A34388">
        <w:rPr>
          <w:lang w:val="es-ES_tradnl"/>
        </w:rPr>
        <w:t>del sistema de derecho</w:t>
      </w:r>
      <w:r w:rsidR="00841118" w:rsidRPr="00A34388">
        <w:rPr>
          <w:lang w:val="es-ES_tradnl"/>
        </w:rPr>
        <w:t>s</w:t>
      </w:r>
      <w:r w:rsidRPr="00A34388">
        <w:rPr>
          <w:lang w:val="es-ES_tradnl"/>
        </w:rPr>
        <w:t xml:space="preserve"> de autor y derechos conexos.  Este trabajo también incluyó un objetivo muy importante, como es el de </w:t>
      </w:r>
      <w:r w:rsidR="00841118" w:rsidRPr="00A34388">
        <w:rPr>
          <w:lang w:val="es-ES_tradnl"/>
        </w:rPr>
        <w:t xml:space="preserve">fomentar </w:t>
      </w:r>
      <w:r w:rsidRPr="00A34388">
        <w:rPr>
          <w:lang w:val="es-ES_tradnl"/>
        </w:rPr>
        <w:t xml:space="preserve">la sensibilización pública con respecto a la relevancia económica y cultural de </w:t>
      </w:r>
      <w:r w:rsidR="00841118" w:rsidRPr="00A34388">
        <w:rPr>
          <w:lang w:val="es-ES_tradnl"/>
        </w:rPr>
        <w:t xml:space="preserve">los </w:t>
      </w:r>
      <w:r w:rsidRPr="00A34388">
        <w:rPr>
          <w:lang w:val="es-ES_tradnl"/>
        </w:rPr>
        <w:t>derecho</w:t>
      </w:r>
      <w:r w:rsidR="00841118" w:rsidRPr="00A34388">
        <w:rPr>
          <w:lang w:val="es-ES_tradnl"/>
        </w:rPr>
        <w:t>s</w:t>
      </w:r>
      <w:r w:rsidRPr="00A34388">
        <w:rPr>
          <w:lang w:val="es-ES_tradnl"/>
        </w:rPr>
        <w:t xml:space="preserve"> de autor y derechos conexos en el entorno digital.</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A34388">
        <w:rPr>
          <w:lang w:val="es-ES_tradnl"/>
        </w:rPr>
        <w:t>3.15.</w:t>
      </w:r>
      <w:r w:rsidRPr="00A34388">
        <w:rPr>
          <w:lang w:val="es-ES_tradnl"/>
        </w:rPr>
        <w:tab/>
        <w:t>Se realizó un esfuerzo por mejorar el establecimiento de prioridades por lo que respecta a los programas de asistencia técnica, potenciar la colaboración interna con la correspondiente reducción de costos, controlar y realizar un seguimiento de la asistencia para fomentar acciones en el plano nacional, e incrementar el uso de expertos externos.</w:t>
      </w:r>
    </w:p>
    <w:p w:rsidR="00525604" w:rsidRPr="00A34388" w:rsidRDefault="00525604" w:rsidP="00525604">
      <w:pPr>
        <w:tabs>
          <w:tab w:val="left" w:pos="709"/>
        </w:tabs>
        <w:jc w:val="both"/>
        <w:rPr>
          <w:rFonts w:cs="Arial"/>
          <w:bCs/>
          <w:sz w:val="22"/>
          <w:szCs w:val="22"/>
          <w:lang w:val="es-ES_tradnl"/>
        </w:rPr>
      </w:pPr>
    </w:p>
    <w:p w:rsidR="00525604" w:rsidRPr="00A34388" w:rsidRDefault="00525604" w:rsidP="00525604">
      <w:pPr>
        <w:tabs>
          <w:tab w:val="left" w:pos="709"/>
        </w:tabs>
        <w:jc w:val="both"/>
        <w:rPr>
          <w:szCs w:val="20"/>
          <w:lang w:val="es-ES_tradnl"/>
        </w:rPr>
      </w:pPr>
      <w:r w:rsidRPr="00332758">
        <w:rPr>
          <w:lang w:val="es-ES_tradnl"/>
        </w:rPr>
        <w:lastRenderedPageBreak/>
        <w:t>APLICACIÓN DE LA AGENDA PARA EL DESARROLLO</w:t>
      </w:r>
    </w:p>
    <w:p w:rsidR="00525604" w:rsidRPr="00A34388" w:rsidRDefault="00525604" w:rsidP="00525604">
      <w:pPr>
        <w:tabs>
          <w:tab w:val="left" w:pos="709"/>
        </w:tabs>
        <w:jc w:val="both"/>
        <w:rPr>
          <w:rFonts w:cs="Arial"/>
          <w:bCs/>
          <w:sz w:val="22"/>
          <w:szCs w:val="22"/>
          <w:lang w:val="es-ES_tradnl"/>
        </w:rPr>
      </w:pPr>
    </w:p>
    <w:p w:rsidR="00525604" w:rsidRPr="00A34388" w:rsidRDefault="00525604" w:rsidP="00525604">
      <w:pPr>
        <w:tabs>
          <w:tab w:val="left" w:pos="709"/>
        </w:tabs>
        <w:jc w:val="both"/>
        <w:rPr>
          <w:szCs w:val="20"/>
          <w:lang w:val="es-ES_tradnl"/>
        </w:rPr>
      </w:pPr>
      <w:r w:rsidRPr="00332758">
        <w:rPr>
          <w:lang w:val="es-ES_tradnl"/>
        </w:rPr>
        <w:t>3.16.</w:t>
      </w:r>
      <w:r w:rsidRPr="00A34388">
        <w:rPr>
          <w:lang w:val="es-ES_tradnl"/>
        </w:rPr>
        <w:tab/>
      </w:r>
      <w:r w:rsidRPr="00332758">
        <w:rPr>
          <w:lang w:val="es-ES_tradnl"/>
        </w:rPr>
        <w:t>El diseño, la planificación y la ejecución de las actividades del programa 3 se basaron en las recomendaciones pertinentes de la A.D. y se guiaron por ellas.  Las actividades normativas del programa dentro del SCCR se siguieron caracterizando por ser incluyentes y estar orientadas hacia los miembros (recomendación 15), considerar debidamente los límites, la función y el alcance del “dominio público” (recomendaciones 16 y 20) y tener en cuenta las flexibilidades de los acuerdos internacionales sobre P.I. (recomendación 17).</w:t>
      </w:r>
      <w:r w:rsidRPr="00A34388">
        <w:rPr>
          <w:lang w:val="es-ES_tradnl"/>
        </w:rPr>
        <w:t xml:space="preserve">  </w:t>
      </w:r>
    </w:p>
    <w:p w:rsidR="00525604" w:rsidRPr="00A34388" w:rsidRDefault="00525604" w:rsidP="00525604">
      <w:pPr>
        <w:tabs>
          <w:tab w:val="left" w:pos="709"/>
        </w:tabs>
        <w:jc w:val="both"/>
        <w:rPr>
          <w:szCs w:val="20"/>
          <w:lang w:val="es-ES_tradnl"/>
        </w:rPr>
      </w:pPr>
    </w:p>
    <w:p w:rsidR="00525604" w:rsidRPr="00A34388" w:rsidRDefault="00525604" w:rsidP="00525604">
      <w:pPr>
        <w:tabs>
          <w:tab w:val="left" w:pos="709"/>
        </w:tabs>
        <w:jc w:val="both"/>
        <w:rPr>
          <w:szCs w:val="20"/>
          <w:lang w:val="es-ES_tradnl"/>
        </w:rPr>
      </w:pPr>
      <w:r w:rsidRPr="00332758">
        <w:rPr>
          <w:lang w:val="es-ES_tradnl"/>
        </w:rPr>
        <w:t>3.17.</w:t>
      </w:r>
      <w:r w:rsidRPr="00A34388">
        <w:rPr>
          <w:lang w:val="es-ES_tradnl"/>
        </w:rPr>
        <w:tab/>
      </w:r>
      <w:r w:rsidRPr="00332758">
        <w:rPr>
          <w:lang w:val="es-ES_tradnl"/>
        </w:rPr>
        <w:t>Las negociaciones del SCCR se basaron en consultas abiertas y equilibradas (recomendaciones 21 y 42) y contribuyeron a los objetivos de desarrollo de las Naciones Unidas (recomendación 22).</w:t>
      </w:r>
      <w:r w:rsidRPr="00A34388">
        <w:rPr>
          <w:lang w:val="es-ES_tradnl"/>
        </w:rPr>
        <w:t xml:space="preserve">  Además, en 2013 el Comité dedicó un tiempo considerable a las limitaciones y excepciones para las personas ciegas, con discapacidad visual o con otras dificultades para acceder al texto impreso.  La conferencia diplomática celebrada en Marrakech (Marruecos), entre los días 17 y 28 de junio de 2013, concluyó su trabajo con la adopción del Tratado de Marrakech para facilitar el acceso a las obras publicadas a las personas ciegas, con discapacidad visual o con otras dificultades para acceder al texto impreso.</w:t>
      </w:r>
    </w:p>
    <w:p w:rsidR="00525604" w:rsidRPr="00A34388" w:rsidRDefault="00525604" w:rsidP="00525604">
      <w:pPr>
        <w:tabs>
          <w:tab w:val="left" w:pos="709"/>
        </w:tabs>
        <w:jc w:val="both"/>
        <w:rPr>
          <w:szCs w:val="20"/>
          <w:lang w:val="es-ES_tradnl"/>
        </w:rPr>
      </w:pPr>
    </w:p>
    <w:p w:rsidR="00525604" w:rsidRPr="00332758" w:rsidRDefault="00525604" w:rsidP="00525604">
      <w:pPr>
        <w:tabs>
          <w:tab w:val="left" w:pos="709"/>
        </w:tabs>
        <w:jc w:val="both"/>
        <w:rPr>
          <w:szCs w:val="20"/>
          <w:lang w:val="es-ES_tradnl"/>
        </w:rPr>
      </w:pPr>
      <w:r w:rsidRPr="00332758">
        <w:rPr>
          <w:lang w:val="es-ES_tradnl"/>
        </w:rPr>
        <w:t>3.18.</w:t>
      </w:r>
      <w:r w:rsidRPr="00A34388">
        <w:rPr>
          <w:lang w:val="es-ES_tradnl"/>
        </w:rPr>
        <w:tab/>
      </w:r>
      <w:r w:rsidRPr="00332758">
        <w:rPr>
          <w:lang w:val="es-ES_tradnl"/>
        </w:rPr>
        <w:t>Las actividades del programa en las esferas de la asistencia técnica, el fortalecimiento de capacidades y la asistencia legislativa estuvieron orientadas a potenciar el desarrollo, obedecieron a la demanda y fueron objeto de informes presentados a tiempo (recomendaciones 1 y 13).  Además, la asistencia legislativa que se prestó a los Estados miembros estuvo orientada a potenciar el desarrollo, fue equilibrada y se adaptó a las solicitudes específicas de cada Estado miembro, de acuerdo con los principios de la A.D. (recomendación 13), y teniendo en cuenta las flexibilidades aplicables a los países según sus distintos niveles de desarrollo (recomendaciones 14 y 17).</w:t>
      </w:r>
    </w:p>
    <w:p w:rsidR="00525604" w:rsidRPr="00332758" w:rsidRDefault="00525604" w:rsidP="00525604">
      <w:pPr>
        <w:tabs>
          <w:tab w:val="left" w:pos="709"/>
        </w:tabs>
        <w:jc w:val="both"/>
        <w:rPr>
          <w:szCs w:val="20"/>
          <w:lang w:val="es-ES_tradnl"/>
        </w:rPr>
      </w:pPr>
    </w:p>
    <w:p w:rsidR="00525604" w:rsidRPr="00332758" w:rsidRDefault="00525604" w:rsidP="00525604">
      <w:pPr>
        <w:tabs>
          <w:tab w:val="left" w:pos="709"/>
        </w:tabs>
        <w:jc w:val="both"/>
        <w:rPr>
          <w:szCs w:val="20"/>
          <w:lang w:val="es-ES_tradnl"/>
        </w:rPr>
      </w:pPr>
      <w:r w:rsidRPr="00332758">
        <w:rPr>
          <w:lang w:val="es-ES_tradnl"/>
        </w:rPr>
        <w:t>3.19</w:t>
      </w:r>
      <w:r w:rsidRPr="00A34388">
        <w:rPr>
          <w:lang w:val="es-ES_tradnl"/>
        </w:rPr>
        <w:tab/>
      </w:r>
      <w:r w:rsidRPr="00332758">
        <w:rPr>
          <w:lang w:val="es-ES_tradnl"/>
        </w:rPr>
        <w:t xml:space="preserve">Igualmente, en el marco del programa se han realizado actividades relacionadas con la ejecución de los siguientes proyectos de la A.D.: </w:t>
      </w:r>
    </w:p>
    <w:p w:rsidR="00525604" w:rsidRPr="00332758" w:rsidRDefault="00525604" w:rsidP="00525604">
      <w:pPr>
        <w:tabs>
          <w:tab w:val="left" w:pos="709"/>
        </w:tabs>
        <w:jc w:val="both"/>
        <w:rPr>
          <w:szCs w:val="20"/>
          <w:lang w:val="es-ES_tradnl"/>
        </w:rPr>
      </w:pPr>
    </w:p>
    <w:p w:rsidR="00525604" w:rsidRPr="00332758" w:rsidRDefault="00525604" w:rsidP="00525604">
      <w:pPr>
        <w:pStyle w:val="ListParagraph"/>
        <w:numPr>
          <w:ilvl w:val="0"/>
          <w:numId w:val="7"/>
        </w:numPr>
        <w:tabs>
          <w:tab w:val="left" w:pos="1134"/>
        </w:tabs>
        <w:ind w:left="1134" w:hanging="425"/>
        <w:jc w:val="both"/>
        <w:rPr>
          <w:lang w:val="es-ES_tradnl"/>
        </w:rPr>
      </w:pPr>
      <w:r w:rsidRPr="00332758">
        <w:rPr>
          <w:lang w:val="es-ES_tradnl"/>
        </w:rPr>
        <w:t>Reorientación del proyecto “Fortalecer la capacidad de las instituciones nacionales de P.I. públicas y privadas para administrar, supervisar y fomentar el funcionamiento de las industrias culturales, además de mejorar el rendimiento e intensificar la red de organizaciones de gestión colectiva del derecho de autor”, ampliando el alcance del mismo para crear instituciones de P.I. más eficaces y para alentar un equilibrio adecuado entre la protección de la P.I. y el interés público.</w:t>
      </w:r>
    </w:p>
    <w:p w:rsidR="00525604" w:rsidRPr="00A34388" w:rsidRDefault="00525604" w:rsidP="00525604">
      <w:pPr>
        <w:tabs>
          <w:tab w:val="left" w:pos="1134"/>
        </w:tabs>
        <w:ind w:left="1134" w:hanging="425"/>
        <w:jc w:val="both"/>
        <w:rPr>
          <w:szCs w:val="20"/>
          <w:lang w:val="es-ES_tradnl"/>
        </w:rPr>
      </w:pPr>
    </w:p>
    <w:p w:rsidR="00525604" w:rsidRPr="00A34388" w:rsidRDefault="00525604" w:rsidP="00525604">
      <w:pPr>
        <w:pStyle w:val="ListParagraph"/>
        <w:numPr>
          <w:ilvl w:val="0"/>
          <w:numId w:val="7"/>
        </w:numPr>
        <w:tabs>
          <w:tab w:val="left" w:pos="1134"/>
        </w:tabs>
        <w:ind w:left="1134" w:hanging="425"/>
        <w:jc w:val="both"/>
        <w:rPr>
          <w:lang w:val="es-ES_tradnl"/>
        </w:rPr>
      </w:pPr>
      <w:r w:rsidRPr="00A34388">
        <w:rPr>
          <w:lang w:val="es-ES_tradnl"/>
        </w:rPr>
        <w:t xml:space="preserve">Preparación del </w:t>
      </w:r>
      <w:r w:rsidR="004F7424" w:rsidRPr="00A34388">
        <w:rPr>
          <w:lang w:val="es-ES_tradnl"/>
        </w:rPr>
        <w:t xml:space="preserve">Análisis </w:t>
      </w:r>
      <w:r w:rsidRPr="00A34388">
        <w:rPr>
          <w:lang w:val="es-ES_tradnl"/>
        </w:rPr>
        <w:t xml:space="preserve">comparado de los regímenes nacionales de renuncia voluntaria al derecho de autor, de acuerdo con el mandato aprobado por el CDIP en el marco de la aplicación de las recomendaciones 1c, 1f y 2a del Estudio exploratorio sobre el derecho de autor y los derechos conexos y el dominio público. </w:t>
      </w:r>
    </w:p>
    <w:p w:rsidR="00525604" w:rsidRPr="00A34388" w:rsidRDefault="00525604" w:rsidP="00525604">
      <w:pPr>
        <w:tabs>
          <w:tab w:val="left" w:pos="1134"/>
        </w:tabs>
        <w:ind w:left="1134" w:hanging="425"/>
        <w:jc w:val="both"/>
        <w:rPr>
          <w:szCs w:val="20"/>
          <w:lang w:val="es-ES_tradnl"/>
        </w:rPr>
      </w:pPr>
    </w:p>
    <w:p w:rsidR="00525604" w:rsidRPr="00A34388" w:rsidRDefault="00525604" w:rsidP="00525604">
      <w:pPr>
        <w:pStyle w:val="ListParagraph"/>
        <w:numPr>
          <w:ilvl w:val="0"/>
          <w:numId w:val="7"/>
        </w:numPr>
        <w:tabs>
          <w:tab w:val="left" w:pos="1134"/>
        </w:tabs>
        <w:ind w:left="1134" w:hanging="425"/>
        <w:jc w:val="both"/>
        <w:rPr>
          <w:lang w:val="es-ES_tradnl"/>
        </w:rPr>
      </w:pPr>
      <w:r w:rsidRPr="00A34388">
        <w:rPr>
          <w:lang w:val="es-ES_tradnl"/>
        </w:rPr>
        <w:t>Finalización y evaluación del proyecto “La P.I., las tecnologías de la información y la comunicación (TIC), la brecha digital y el acceso a los conocimientos”.  En el marco de este proyecto, un grupo de expertos externos preparó un estudio sobre la utilización del derecho de autor para promover el acceso a la información y al contenido creativo, que se presentó en la novena sesión del CDIP.  A título de actividad de seguimiento de este proyecto, en la undécima sesión del CDIP se presentó una evaluación de la viabilidad de posibles nuevas actividades de la OMPI relacionadas con la utilización del derecho de autor para promover el acceso a la información y al contenido creativo (CDIP/11/6).  Además, basándose en e</w:t>
      </w:r>
      <w:r w:rsidR="004F7424">
        <w:rPr>
          <w:lang w:val="es-ES_tradnl"/>
        </w:rPr>
        <w:t>l</w:t>
      </w:r>
      <w:r w:rsidRPr="00A34388">
        <w:rPr>
          <w:lang w:val="es-ES_tradnl"/>
        </w:rPr>
        <w:t xml:space="preserve"> documento CDIP/11/6, en la duodécima sesión del CDIP se presentó una propuesta de aplicación de posibles nuevas actividades de la OMPI relacionadas con la utilización del derecho de autor para promover el acceso a la información y al contenido creativo (CDIP/12/9).  Basándose en este debate y teniendo en cuenta los comentarios de los Estados miembros, se preparó una versión revisada del plan de aplicación para su consideración en la decimotercera sesión.  </w:t>
      </w:r>
    </w:p>
    <w:p w:rsidR="00525604" w:rsidRPr="00A34388" w:rsidRDefault="00525604" w:rsidP="00525604">
      <w:pPr>
        <w:tabs>
          <w:tab w:val="left" w:pos="1134"/>
        </w:tabs>
        <w:ind w:left="1134" w:hanging="425"/>
        <w:jc w:val="both"/>
        <w:rPr>
          <w:szCs w:val="20"/>
          <w:lang w:val="es-ES_tradnl"/>
        </w:rPr>
      </w:pPr>
    </w:p>
    <w:p w:rsidR="00525604" w:rsidRPr="00332758" w:rsidRDefault="00525604" w:rsidP="00525604">
      <w:pPr>
        <w:pStyle w:val="ListParagraph"/>
        <w:numPr>
          <w:ilvl w:val="0"/>
          <w:numId w:val="7"/>
        </w:numPr>
        <w:tabs>
          <w:tab w:val="left" w:pos="1134"/>
        </w:tabs>
        <w:ind w:left="1134" w:hanging="425"/>
        <w:jc w:val="both"/>
        <w:rPr>
          <w:lang w:val="es-ES_tradnl"/>
        </w:rPr>
      </w:pPr>
      <w:r w:rsidRPr="00332758">
        <w:rPr>
          <w:lang w:val="es-ES_tradnl"/>
        </w:rPr>
        <w:t>La ejecución del proyecto “Fortalecimiento y desarrollo del sector audiovisual en Burkina Faso y en determinados países de África”, presentado por la Delegación de Burkina Faso, fue aprobada en la novena sesión del CDIP.</w:t>
      </w:r>
    </w:p>
    <w:p w:rsidR="00525604" w:rsidRPr="00A34388" w:rsidRDefault="00525604" w:rsidP="00525604">
      <w:pPr>
        <w:rPr>
          <w:rFonts w:cs="Arial"/>
          <w:sz w:val="22"/>
          <w:szCs w:val="22"/>
          <w:lang w:val="es-ES_tradnl"/>
        </w:rPr>
      </w:pPr>
    </w:p>
    <w:p w:rsidR="00525604" w:rsidRPr="00A34388" w:rsidRDefault="00525604" w:rsidP="008018CA">
      <w:pPr>
        <w:keepNext/>
        <w:keepLines/>
        <w:rPr>
          <w:rFonts w:cs="Arial"/>
          <w:sz w:val="22"/>
          <w:szCs w:val="22"/>
          <w:lang w:val="es-ES_tradnl"/>
        </w:rPr>
      </w:pPr>
    </w:p>
    <w:p w:rsidR="00525604" w:rsidRPr="00A34388" w:rsidRDefault="00525604" w:rsidP="008018CA">
      <w:pPr>
        <w:keepNext/>
        <w:keepLines/>
        <w:rPr>
          <w:rFonts w:cs="Arial"/>
          <w:sz w:val="22"/>
          <w:szCs w:val="22"/>
          <w:lang w:val="es-ES_tradnl"/>
        </w:rPr>
      </w:pPr>
      <w:r w:rsidRPr="00332758">
        <w:rPr>
          <w:sz w:val="22"/>
          <w:lang w:val="es-ES_tradnl"/>
        </w:rPr>
        <w:t>DATOS SOBRE EL RENDIMIENTO</w:t>
      </w:r>
    </w:p>
    <w:p w:rsidR="00525604" w:rsidRPr="00A34388" w:rsidRDefault="00525604" w:rsidP="008018CA">
      <w:pPr>
        <w:keepNext/>
        <w:keepLines/>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8"/>
        <w:gridCol w:w="1843"/>
        <w:gridCol w:w="1432"/>
        <w:gridCol w:w="2964"/>
        <w:gridCol w:w="144"/>
        <w:gridCol w:w="1276"/>
      </w:tblGrid>
      <w:tr w:rsidR="00525604" w:rsidRPr="00E94BEA"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0" w:type="pct"/>
            <w:gridSpan w:val="2"/>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auto"/>
          </w:tcPr>
          <w:p w:rsidR="00525604" w:rsidRPr="00A34388" w:rsidRDefault="00525604" w:rsidP="00853209">
            <w:pPr>
              <w:rPr>
                <w:rFonts w:cs="Arial"/>
                <w:sz w:val="16"/>
                <w:szCs w:val="16"/>
                <w:lang w:val="es-ES_tradnl"/>
              </w:rPr>
            </w:pPr>
            <w:r w:rsidRPr="00332758">
              <w:rPr>
                <w:sz w:val="16"/>
                <w:lang w:val="es-ES_tradnl"/>
              </w:rPr>
              <w:t>Conclusiones de los Estados miembros en cada sesión del SCCR</w:t>
            </w:r>
          </w:p>
        </w:tc>
        <w:tc>
          <w:tcPr>
            <w:tcW w:w="985"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Conclusiones alcanzadas en las sesiones del SCCR </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sz w:val="16"/>
                <w:lang w:val="es-ES_tradnl"/>
              </w:rPr>
              <w:t xml:space="preserve">  Conclusiones alcanzadas en las sesiones del SCCR durante el bienio 2010/11 (3)  (marzo de 2011)</w:t>
            </w:r>
          </w:p>
          <w:p w:rsidR="00525604" w:rsidRPr="00A34388" w:rsidRDefault="00525604" w:rsidP="00853209">
            <w:pPr>
              <w:rPr>
                <w:rFonts w:cs="Arial"/>
                <w:sz w:val="16"/>
                <w:szCs w:val="16"/>
                <w:lang w:val="es-ES_tradnl"/>
              </w:rPr>
            </w:pPr>
          </w:p>
        </w:tc>
        <w:tc>
          <w:tcPr>
            <w:tcW w:w="765"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Conclusiones alcanzadas</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en todas las sesiones del SCCR</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durante el bienio</w:t>
            </w:r>
          </w:p>
          <w:p w:rsidR="00525604" w:rsidRPr="00A34388" w:rsidRDefault="00525604" w:rsidP="00853209">
            <w:pPr>
              <w:rPr>
                <w:rFonts w:cs="Arial"/>
                <w:sz w:val="16"/>
                <w:szCs w:val="16"/>
                <w:lang w:val="es-ES_tradnl"/>
              </w:rPr>
            </w:pPr>
            <w:r w:rsidRPr="00A34388">
              <w:rPr>
                <w:sz w:val="16"/>
                <w:lang w:val="es-ES_tradnl"/>
              </w:rPr>
              <w:t>2012/13</w:t>
            </w:r>
          </w:p>
        </w:tc>
        <w:tc>
          <w:tcPr>
            <w:tcW w:w="1660" w:type="pct"/>
            <w:gridSpan w:val="2"/>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En tres sesiones</w:t>
            </w:r>
            <w:r w:rsidRPr="00332758">
              <w:rPr>
                <w:rStyle w:val="FootnoteReference"/>
                <w:sz w:val="16"/>
                <w:lang w:val="es-ES_tradnl"/>
              </w:rPr>
              <w:footnoteReference w:id="3"/>
            </w:r>
            <w:r w:rsidRPr="00332758">
              <w:rPr>
                <w:sz w:val="16"/>
                <w:lang w:val="es-ES_tradnl"/>
              </w:rPr>
              <w:t xml:space="preserve"> del SCCR los Estados miembros acordaron proseguir la labor relativa a todos los aspectos sustantivos del orden del día, en particular, respecto a las limitaciones y excepciones para las personas con discapacidad visual y personas con dificultades para acceder al texto impreso;  la protección de los organismos de radiodifusión;  las limitaciones y excepciones para las bibliotecas y archivos;  y las limitaciones y excepciones en favor de las instituciones educativas y de investigación.</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tcBorders>
              <w:bottom w:val="single" w:sz="4" w:space="0" w:color="auto"/>
            </w:tcBorders>
            <w:shd w:val="clear" w:color="auto" w:fill="auto"/>
          </w:tcPr>
          <w:p w:rsidR="00525604" w:rsidRPr="00A34388" w:rsidRDefault="00525604" w:rsidP="00853209">
            <w:pPr>
              <w:keepNext/>
              <w:rPr>
                <w:rFonts w:cs="Arial"/>
                <w:sz w:val="16"/>
                <w:szCs w:val="16"/>
                <w:lang w:val="es-ES_tradnl"/>
              </w:rPr>
            </w:pPr>
            <w:r w:rsidRPr="00332758">
              <w:rPr>
                <w:sz w:val="16"/>
                <w:lang w:val="es-ES_tradnl"/>
              </w:rPr>
              <w:t>Progresos en pos de un acuerdo relativo a las cuestiones que están en el orden del día del SCCR.</w:t>
            </w:r>
          </w:p>
        </w:tc>
        <w:tc>
          <w:tcPr>
            <w:tcW w:w="985" w:type="pct"/>
            <w:tcBorders>
              <w:bottom w:val="single" w:sz="4" w:space="0" w:color="auto"/>
            </w:tcBorders>
            <w:shd w:val="clear" w:color="auto" w:fill="auto"/>
          </w:tcPr>
          <w:p w:rsidR="00525604" w:rsidRPr="00A34388" w:rsidRDefault="00525604" w:rsidP="00853209">
            <w:pPr>
              <w:keepNext/>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Progresos logrados respecto al orden del día del SCCR </w:t>
            </w:r>
          </w:p>
          <w:p w:rsidR="00525604" w:rsidRPr="00A34388" w:rsidRDefault="00525604" w:rsidP="00853209">
            <w:pPr>
              <w:keepNext/>
              <w:rPr>
                <w:rFonts w:cs="Arial"/>
                <w:i/>
                <w:sz w:val="8"/>
                <w:szCs w:val="8"/>
                <w:lang w:val="es-ES_tradnl"/>
              </w:rPr>
            </w:pPr>
          </w:p>
          <w:p w:rsidR="00525604" w:rsidRPr="00A34388" w:rsidRDefault="00525604" w:rsidP="00853209">
            <w:pPr>
              <w:keepNext/>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xml:space="preserve">. 2012/13: </w:t>
            </w:r>
            <w:r w:rsidRPr="00A34388">
              <w:rPr>
                <w:sz w:val="16"/>
                <w:lang w:val="es-ES_tradnl"/>
              </w:rPr>
              <w:t xml:space="preserve"> WCT, WPPT (1996), Convención de Roma (1961) (marzo de 2011)</w:t>
            </w:r>
          </w:p>
          <w:p w:rsidR="00525604" w:rsidRPr="00A34388" w:rsidRDefault="00525604" w:rsidP="00853209">
            <w:pPr>
              <w:keepNext/>
              <w:rPr>
                <w:rFonts w:cs="Arial"/>
                <w:sz w:val="16"/>
                <w:szCs w:val="16"/>
                <w:lang w:val="es-ES_tradnl"/>
              </w:rPr>
            </w:pPr>
          </w:p>
        </w:tc>
        <w:tc>
          <w:tcPr>
            <w:tcW w:w="765" w:type="pct"/>
            <w:tcBorders>
              <w:bottom w:val="single" w:sz="4" w:space="0" w:color="auto"/>
            </w:tcBorders>
            <w:shd w:val="clear" w:color="auto" w:fill="auto"/>
            <w:tcMar>
              <w:top w:w="110" w:type="dxa"/>
            </w:tcMar>
          </w:tcPr>
          <w:p w:rsidR="00525604" w:rsidRPr="00A34388" w:rsidRDefault="00525604" w:rsidP="003709B3">
            <w:pPr>
              <w:keepNext/>
              <w:rPr>
                <w:rFonts w:cs="Arial"/>
                <w:sz w:val="16"/>
                <w:szCs w:val="16"/>
                <w:lang w:val="es-ES_tradnl"/>
              </w:rPr>
            </w:pPr>
            <w:r w:rsidRPr="00A34388">
              <w:rPr>
                <w:sz w:val="16"/>
                <w:lang w:val="es-ES_tradnl"/>
              </w:rPr>
              <w:t xml:space="preserve">Instrumentos internacionales adoptados </w:t>
            </w:r>
            <w:r w:rsidR="003709B3" w:rsidRPr="00A34388">
              <w:rPr>
                <w:sz w:val="16"/>
                <w:lang w:val="es-ES_tradnl"/>
              </w:rPr>
              <w:t xml:space="preserve">en materia de </w:t>
            </w:r>
            <w:r w:rsidRPr="00A34388">
              <w:rPr>
                <w:sz w:val="16"/>
                <w:lang w:val="es-ES_tradnl"/>
              </w:rPr>
              <w:t xml:space="preserve">excepciones y limitaciones, radiodifusión </w:t>
            </w:r>
            <w:r w:rsidR="003709B3" w:rsidRPr="00A34388">
              <w:rPr>
                <w:sz w:val="16"/>
                <w:lang w:val="es-ES_tradnl"/>
              </w:rPr>
              <w:t xml:space="preserve">e </w:t>
            </w:r>
            <w:r w:rsidRPr="00A34388">
              <w:rPr>
                <w:sz w:val="16"/>
                <w:lang w:val="es-ES_tradnl"/>
              </w:rPr>
              <w:t>interpretaciones y ejecuciones audiovisuales.</w:t>
            </w:r>
          </w:p>
        </w:tc>
        <w:tc>
          <w:tcPr>
            <w:tcW w:w="1661" w:type="pct"/>
            <w:gridSpan w:val="2"/>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Se adoptó el texto del Tratado de Beijing en junio de 2012.  Se adoptó el texto del Tratado de Marrakech en junio de 2013.  Los progresos están en sintonía con el plan de trabajo del SCCR sobre todos los puntos que figuran en el orden del día.</w:t>
            </w:r>
          </w:p>
        </w:tc>
        <w:tc>
          <w:tcPr>
            <w:tcW w:w="682"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94BEA" w:rsidTr="00853209">
        <w:tc>
          <w:tcPr>
            <w:tcW w:w="5000" w:type="pct"/>
            <w:gridSpan w:val="6"/>
            <w:tcBorders>
              <w:top w:val="single" w:sz="4" w:space="0" w:color="auto"/>
              <w:bottom w:val="single" w:sz="4" w:space="0" w:color="auto"/>
            </w:tcBorders>
            <w:shd w:val="clear" w:color="auto" w:fill="CCFFFF"/>
            <w:vAlign w:val="center"/>
          </w:tcPr>
          <w:p w:rsidR="00525604" w:rsidRPr="00A34388" w:rsidRDefault="00525604" w:rsidP="00853209">
            <w:pPr>
              <w:keepNext/>
              <w:keepLines/>
              <w:tabs>
                <w:tab w:val="left" w:pos="1452"/>
              </w:tabs>
              <w:spacing w:before="120" w:after="120"/>
              <w:ind w:left="1452" w:hanging="1452"/>
              <w:rPr>
                <w:rFonts w:cs="Arial"/>
                <w:b/>
                <w:bCs/>
                <w:color w:val="FF00FF"/>
                <w:sz w:val="16"/>
                <w:szCs w:val="16"/>
                <w:lang w:val="es-ES_tradnl"/>
              </w:rPr>
            </w:pPr>
            <w:r w:rsidRPr="00332758">
              <w:rPr>
                <w:b/>
                <w:sz w:val="16"/>
                <w:lang w:val="es-ES_tradnl"/>
              </w:rPr>
              <w:t>Resultado previsto:</w:t>
            </w:r>
            <w:r w:rsidRPr="00332758">
              <w:rPr>
                <w:sz w:val="16"/>
                <w:lang w:val="es-ES_tradnl"/>
              </w:rPr>
              <w:t xml:space="preserve"> </w:t>
            </w:r>
            <w:r w:rsidRPr="00332758">
              <w:rPr>
                <w:b/>
                <w:sz w:val="16"/>
                <w:lang w:val="es-ES_tradnl"/>
              </w:rPr>
              <w:t xml:space="preserve"> </w:t>
            </w:r>
            <w:r w:rsidRPr="00332758">
              <w:rPr>
                <w:sz w:val="16"/>
                <w:lang w:val="es-ES_tradnl"/>
              </w:rPr>
              <w:t>Decisión fundamentada sobre cuestiones de derecho de autor</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1" w:type="pct"/>
            <w:gridSpan w:val="2"/>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FFFFFF"/>
          </w:tcPr>
          <w:p w:rsidR="00525604" w:rsidRPr="00A34388" w:rsidRDefault="00525604" w:rsidP="00853209">
            <w:pPr>
              <w:rPr>
                <w:rFonts w:cs="Arial"/>
                <w:sz w:val="16"/>
                <w:szCs w:val="16"/>
                <w:lang w:val="es-ES_tradnl"/>
              </w:rPr>
            </w:pPr>
            <w:r w:rsidRPr="00332758">
              <w:rPr>
                <w:sz w:val="16"/>
                <w:lang w:val="es-ES_tradnl"/>
              </w:rPr>
              <w:t>Número de solicitudes de realización de estudios específicos o de formulación de orientaciones sobre actividades que contribuyen a decisiones de política.</w:t>
            </w:r>
          </w:p>
        </w:tc>
        <w:tc>
          <w:tcPr>
            <w:tcW w:w="985" w:type="pct"/>
            <w:shd w:val="clear" w:color="auto" w:fill="auto"/>
          </w:tcPr>
          <w:p w:rsidR="00525604" w:rsidRPr="00A34388" w:rsidRDefault="00525604" w:rsidP="00853209">
            <w:pPr>
              <w:keepNext/>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993300"/>
                <w:sz w:val="16"/>
                <w:lang w:val="es-ES_tradnl"/>
              </w:rPr>
              <w:t xml:space="preserve">  </w:t>
            </w:r>
            <w:r w:rsidRPr="00A34388">
              <w:rPr>
                <w:color w:val="002060"/>
                <w:sz w:val="16"/>
                <w:lang w:val="es-ES_tradnl"/>
              </w:rPr>
              <w:t>Seis solicitudes</w:t>
            </w:r>
          </w:p>
          <w:p w:rsidR="00525604" w:rsidRPr="00A34388" w:rsidRDefault="00525604" w:rsidP="00853209">
            <w:pPr>
              <w:rPr>
                <w:rFonts w:cs="Arial"/>
                <w:i/>
                <w:color w:val="000000"/>
                <w:sz w:val="8"/>
                <w:szCs w:val="8"/>
                <w:lang w:val="es-ES_tradnl"/>
              </w:rPr>
            </w:pPr>
          </w:p>
          <w:p w:rsidR="00525604" w:rsidRPr="00A34388" w:rsidRDefault="00525604" w:rsidP="004F7424">
            <w:pPr>
              <w:rPr>
                <w:rFonts w:cs="Arial"/>
                <w:sz w:val="16"/>
                <w:szCs w:val="16"/>
                <w:lang w:val="es-ES_tradnl"/>
              </w:rPr>
            </w:pPr>
            <w:r w:rsidRPr="00A34388">
              <w:rPr>
                <w:i/>
                <w:color w:val="000000"/>
                <w:sz w:val="16"/>
                <w:lang w:val="es-ES_tradnl"/>
              </w:rPr>
              <w:t xml:space="preserve">Referencia original </w:t>
            </w:r>
            <w:proofErr w:type="spellStart"/>
            <w:r w:rsidRPr="00A34388">
              <w:rPr>
                <w:i/>
                <w:color w:val="000000"/>
                <w:sz w:val="16"/>
                <w:lang w:val="es-ES_tradnl"/>
              </w:rPr>
              <w:t>Presup</w:t>
            </w:r>
            <w:proofErr w:type="spellEnd"/>
            <w:r w:rsidRPr="00A34388">
              <w:rPr>
                <w:i/>
                <w:color w:val="000000"/>
                <w:sz w:val="16"/>
                <w:lang w:val="es-ES_tradnl"/>
              </w:rPr>
              <w:t xml:space="preserve">. </w:t>
            </w:r>
            <w:proofErr w:type="gramStart"/>
            <w:r w:rsidRPr="00A34388">
              <w:rPr>
                <w:i/>
                <w:color w:val="000000"/>
                <w:sz w:val="16"/>
                <w:lang w:val="es-ES_tradnl"/>
              </w:rPr>
              <w:t>por</w:t>
            </w:r>
            <w:proofErr w:type="gramEnd"/>
            <w:r w:rsidRPr="00A34388">
              <w:rPr>
                <w:i/>
                <w:color w:val="000000"/>
                <w:sz w:val="16"/>
                <w:lang w:val="es-ES_tradnl"/>
              </w:rPr>
              <w:t xml:space="preserve"> </w:t>
            </w:r>
            <w:proofErr w:type="spellStart"/>
            <w:r w:rsidRPr="00A34388">
              <w:rPr>
                <w:i/>
                <w:color w:val="000000"/>
                <w:sz w:val="16"/>
                <w:lang w:val="es-ES_tradnl"/>
              </w:rPr>
              <w:t>prog</w:t>
            </w:r>
            <w:proofErr w:type="spellEnd"/>
            <w:r w:rsidRPr="00A34388">
              <w:rPr>
                <w:i/>
                <w:color w:val="000000"/>
                <w:sz w:val="16"/>
                <w:lang w:val="es-ES_tradnl"/>
              </w:rPr>
              <w:t>. 2012/13</w:t>
            </w:r>
            <w:proofErr w:type="gramStart"/>
            <w:r w:rsidRPr="00A34388">
              <w:rPr>
                <w:i/>
                <w:color w:val="000000"/>
                <w:sz w:val="16"/>
                <w:lang w:val="es-ES_tradnl"/>
              </w:rPr>
              <w:t xml:space="preserve">: </w:t>
            </w:r>
            <w:r w:rsidRPr="00A34388">
              <w:rPr>
                <w:color w:val="000000"/>
                <w:sz w:val="16"/>
                <w:lang w:val="es-ES_tradnl"/>
              </w:rPr>
              <w:t xml:space="preserve"> </w:t>
            </w:r>
            <w:r w:rsidRPr="00A34388">
              <w:rPr>
                <w:sz w:val="16"/>
                <w:lang w:val="es-ES_tradnl"/>
              </w:rPr>
              <w:t>Seis</w:t>
            </w:r>
            <w:proofErr w:type="gramEnd"/>
            <w:r w:rsidRPr="00A34388">
              <w:rPr>
                <w:sz w:val="16"/>
                <w:lang w:val="es-ES_tradnl"/>
              </w:rPr>
              <w:t xml:space="preserve"> </w:t>
            </w:r>
            <w:r w:rsidR="004F7424">
              <w:rPr>
                <w:sz w:val="16"/>
                <w:lang w:val="es-ES_tradnl"/>
              </w:rPr>
              <w:t>al mes de</w:t>
            </w:r>
            <w:r w:rsidRPr="00A34388">
              <w:rPr>
                <w:sz w:val="16"/>
                <w:lang w:val="es-ES_tradnl"/>
              </w:rPr>
              <w:t xml:space="preserve"> febrero de 2011.</w:t>
            </w:r>
          </w:p>
        </w:tc>
        <w:tc>
          <w:tcPr>
            <w:tcW w:w="765"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15 (en 2012/13)</w:t>
            </w:r>
          </w:p>
        </w:tc>
        <w:tc>
          <w:tcPr>
            <w:tcW w:w="1661" w:type="pct"/>
            <w:gridSpan w:val="2"/>
            <w:shd w:val="clear" w:color="auto" w:fill="FFFFFF"/>
            <w:tcMar>
              <w:top w:w="110" w:type="dxa"/>
            </w:tcMar>
          </w:tcPr>
          <w:p w:rsidR="00525604" w:rsidRPr="00A34388" w:rsidRDefault="00525604" w:rsidP="003709B3">
            <w:pPr>
              <w:rPr>
                <w:rFonts w:cs="Arial"/>
                <w:sz w:val="16"/>
                <w:szCs w:val="16"/>
                <w:lang w:val="es-ES_tradnl"/>
              </w:rPr>
            </w:pPr>
            <w:r w:rsidRPr="00A34388">
              <w:rPr>
                <w:sz w:val="16"/>
                <w:lang w:val="es-ES_tradnl"/>
              </w:rPr>
              <w:t xml:space="preserve">16 solicitudes en 2012/13 </w:t>
            </w:r>
            <w:r w:rsidR="003709B3" w:rsidRPr="00A34388">
              <w:rPr>
                <w:sz w:val="16"/>
                <w:lang w:val="es-ES_tradnl"/>
              </w:rPr>
              <w:t xml:space="preserve">acerca del rendimiento </w:t>
            </w:r>
            <w:r w:rsidRPr="00A34388">
              <w:rPr>
                <w:sz w:val="16"/>
                <w:lang w:val="es-ES_tradnl"/>
              </w:rPr>
              <w:t>económico de industrias creativas concretas.  África (2)</w:t>
            </w:r>
            <w:r w:rsidR="003709B3" w:rsidRPr="00A34388">
              <w:rPr>
                <w:sz w:val="16"/>
                <w:lang w:val="es-ES_tradnl"/>
              </w:rPr>
              <w:t xml:space="preserve">, </w:t>
            </w:r>
            <w:r w:rsidRPr="00A34388">
              <w:rPr>
                <w:sz w:val="16"/>
                <w:lang w:val="es-ES_tradnl"/>
              </w:rPr>
              <w:t>región árabe (1)</w:t>
            </w:r>
            <w:r w:rsidR="003709B3" w:rsidRPr="00A34388">
              <w:rPr>
                <w:sz w:val="16"/>
                <w:lang w:val="es-ES_tradnl"/>
              </w:rPr>
              <w:t xml:space="preserve">, </w:t>
            </w:r>
            <w:r w:rsidRPr="00A34388">
              <w:rPr>
                <w:sz w:val="16"/>
                <w:lang w:val="es-ES_tradnl"/>
              </w:rPr>
              <w:t xml:space="preserve">Asia y el Pacífico (7), América Latina y el Caribe (4) y otros (2). </w:t>
            </w:r>
          </w:p>
        </w:tc>
        <w:tc>
          <w:tcPr>
            <w:tcW w:w="682" w:type="pct"/>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países que utilizan los estudios de la OMPI en el marco de sus industrias creativas a los fines de formular estrategias en relación con ese sector.</w:t>
            </w:r>
          </w:p>
        </w:tc>
        <w:tc>
          <w:tcPr>
            <w:tcW w:w="985" w:type="pct"/>
            <w:shd w:val="clear" w:color="auto" w:fill="auto"/>
          </w:tcPr>
          <w:p w:rsidR="00525604" w:rsidRPr="00A34388" w:rsidRDefault="00525604" w:rsidP="00853209">
            <w:pPr>
              <w:rPr>
                <w:rFonts w:cs="Arial"/>
                <w:sz w:val="16"/>
                <w:szCs w:val="16"/>
                <w:lang w:val="es-ES_tradnl"/>
              </w:rPr>
            </w:pPr>
            <w:r w:rsidRPr="00332758">
              <w:rPr>
                <w:sz w:val="16"/>
                <w:lang w:val="es-ES_tradnl"/>
              </w:rPr>
              <w:t>Tres países.</w:t>
            </w:r>
          </w:p>
        </w:tc>
        <w:tc>
          <w:tcPr>
            <w:tcW w:w="765"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10 países.</w:t>
            </w:r>
          </w:p>
          <w:p w:rsidR="00525604" w:rsidRPr="00A34388" w:rsidRDefault="00525604" w:rsidP="00853209">
            <w:pPr>
              <w:rPr>
                <w:rFonts w:cs="Arial"/>
                <w:sz w:val="16"/>
                <w:szCs w:val="16"/>
                <w:lang w:val="es-ES_tradnl"/>
              </w:rPr>
            </w:pPr>
            <w:r w:rsidRPr="00A34388">
              <w:rPr>
                <w:sz w:val="16"/>
                <w:lang w:val="es-ES_tradnl"/>
              </w:rPr>
              <w:t>(en total)</w:t>
            </w:r>
          </w:p>
        </w:tc>
        <w:tc>
          <w:tcPr>
            <w:tcW w:w="1661" w:type="pct"/>
            <w:gridSpan w:val="2"/>
            <w:shd w:val="clear" w:color="auto" w:fill="FFFFFF"/>
            <w:tcMar>
              <w:top w:w="110" w:type="dxa"/>
            </w:tcMar>
          </w:tcPr>
          <w:p w:rsidR="00525604" w:rsidRPr="00A34388" w:rsidRDefault="00525604" w:rsidP="003709B3">
            <w:pPr>
              <w:rPr>
                <w:rFonts w:cs="Arial"/>
                <w:sz w:val="16"/>
                <w:szCs w:val="16"/>
                <w:lang w:val="es-ES_tradnl"/>
              </w:rPr>
            </w:pPr>
            <w:r w:rsidRPr="00A34388">
              <w:rPr>
                <w:sz w:val="16"/>
                <w:lang w:val="es-ES_tradnl"/>
              </w:rPr>
              <w:t>10 países en 2012/13</w:t>
            </w:r>
            <w:proofErr w:type="gramStart"/>
            <w:r w:rsidRPr="00A34388">
              <w:rPr>
                <w:sz w:val="16"/>
                <w:lang w:val="es-ES_tradnl"/>
              </w:rPr>
              <w:t>:  Bulgaria</w:t>
            </w:r>
            <w:proofErr w:type="gramEnd"/>
            <w:r w:rsidRPr="00A34388">
              <w:rPr>
                <w:sz w:val="16"/>
                <w:lang w:val="es-ES_tradnl"/>
              </w:rPr>
              <w:t xml:space="preserve">, China, Colombia, Croacia, Jamaica, </w:t>
            </w:r>
            <w:proofErr w:type="spellStart"/>
            <w:r w:rsidRPr="00A34388">
              <w:rPr>
                <w:sz w:val="16"/>
                <w:lang w:val="es-ES_tradnl"/>
              </w:rPr>
              <w:t>Kenya</w:t>
            </w:r>
            <w:proofErr w:type="spellEnd"/>
            <w:r w:rsidRPr="00A34388">
              <w:rPr>
                <w:sz w:val="16"/>
                <w:lang w:val="es-ES_tradnl"/>
              </w:rPr>
              <w:t xml:space="preserve">, Malasia, </w:t>
            </w:r>
            <w:r w:rsidR="00246125" w:rsidRPr="00A34388">
              <w:rPr>
                <w:sz w:val="16"/>
                <w:lang w:val="es-ES_tradnl"/>
              </w:rPr>
              <w:t xml:space="preserve">la </w:t>
            </w:r>
            <w:r w:rsidRPr="00A34388">
              <w:rPr>
                <w:sz w:val="16"/>
                <w:lang w:val="es-ES_tradnl"/>
              </w:rPr>
              <w:t xml:space="preserve">República Unida de </w:t>
            </w:r>
            <w:proofErr w:type="spellStart"/>
            <w:r w:rsidRPr="00A34388">
              <w:rPr>
                <w:sz w:val="16"/>
                <w:lang w:val="es-ES_tradnl"/>
              </w:rPr>
              <w:t>Tanzanía</w:t>
            </w:r>
            <w:proofErr w:type="spellEnd"/>
            <w:r w:rsidRPr="00A34388">
              <w:rPr>
                <w:sz w:val="16"/>
                <w:lang w:val="es-ES_tradnl"/>
              </w:rPr>
              <w:t>, Tailandia</w:t>
            </w:r>
            <w:r w:rsidR="003709B3" w:rsidRPr="00A34388">
              <w:rPr>
                <w:sz w:val="16"/>
                <w:lang w:val="es-ES_tradnl"/>
              </w:rPr>
              <w:t>,</w:t>
            </w:r>
            <w:r w:rsidRPr="00A34388">
              <w:rPr>
                <w:sz w:val="16"/>
                <w:lang w:val="es-ES_tradnl"/>
              </w:rPr>
              <w:t xml:space="preserve"> y Trinidad y </w:t>
            </w:r>
            <w:proofErr w:type="spellStart"/>
            <w:r w:rsidRPr="00A34388">
              <w:rPr>
                <w:sz w:val="16"/>
                <w:lang w:val="es-ES_tradnl"/>
              </w:rPr>
              <w:t>Tabago</w:t>
            </w:r>
            <w:proofErr w:type="spellEnd"/>
            <w:r w:rsidRPr="00A34388">
              <w:rPr>
                <w:sz w:val="16"/>
                <w:lang w:val="es-ES_tradnl"/>
              </w:rPr>
              <w:t xml:space="preserve">. </w:t>
            </w:r>
          </w:p>
        </w:tc>
        <w:tc>
          <w:tcPr>
            <w:tcW w:w="682"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tcBorders>
              <w:bottom w:val="single" w:sz="4" w:space="0" w:color="auto"/>
            </w:tcBorders>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 xml:space="preserve">Número de descargas y solicitudes y distribución de </w:t>
            </w:r>
            <w:r w:rsidRPr="00332758">
              <w:rPr>
                <w:sz w:val="16"/>
                <w:lang w:val="es-ES_tradnl"/>
              </w:rPr>
              <w:lastRenderedPageBreak/>
              <w:t>herramientas de la OMPI para la gestión del derecho de autor en industrias creativas específicas.</w:t>
            </w:r>
          </w:p>
          <w:p w:rsidR="00525604" w:rsidRPr="00A34388" w:rsidRDefault="00525604" w:rsidP="00853209">
            <w:pPr>
              <w:rPr>
                <w:rFonts w:cs="Arial"/>
                <w:color w:val="000000"/>
                <w:sz w:val="16"/>
                <w:szCs w:val="16"/>
                <w:lang w:val="es-ES_tradnl"/>
              </w:rPr>
            </w:pPr>
          </w:p>
        </w:tc>
        <w:tc>
          <w:tcPr>
            <w:tcW w:w="985" w:type="pct"/>
            <w:tcBorders>
              <w:bottom w:val="single" w:sz="4" w:space="0" w:color="auto"/>
            </w:tcBorders>
            <w:shd w:val="clear" w:color="auto" w:fill="auto"/>
          </w:tcPr>
          <w:p w:rsidR="00525604" w:rsidRPr="00A34388" w:rsidRDefault="00525604" w:rsidP="00853209">
            <w:pPr>
              <w:rPr>
                <w:rFonts w:cs="Arial"/>
                <w:i/>
                <w:color w:val="000000"/>
                <w:sz w:val="16"/>
                <w:szCs w:val="16"/>
                <w:lang w:val="es-ES_tradnl"/>
              </w:rPr>
            </w:pPr>
            <w:r w:rsidRPr="00332758">
              <w:rPr>
                <w:i/>
                <w:sz w:val="16"/>
                <w:lang w:val="es-ES_tradnl"/>
              </w:rPr>
              <w:lastRenderedPageBreak/>
              <w:t>Por determinar.</w:t>
            </w:r>
          </w:p>
        </w:tc>
        <w:tc>
          <w:tcPr>
            <w:tcW w:w="765" w:type="pct"/>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Aumento de las descargas, 10 solicitudes, más de 500 copias </w:t>
            </w:r>
            <w:r w:rsidRPr="00A34388">
              <w:rPr>
                <w:sz w:val="16"/>
                <w:lang w:val="es-ES_tradnl"/>
              </w:rPr>
              <w:lastRenderedPageBreak/>
              <w:t>distribuidas (en 2012/13)</w:t>
            </w:r>
          </w:p>
        </w:tc>
        <w:tc>
          <w:tcPr>
            <w:tcW w:w="1661" w:type="pct"/>
            <w:gridSpan w:val="2"/>
            <w:tcBorders>
              <w:bottom w:val="single" w:sz="4" w:space="0" w:color="auto"/>
            </w:tcBorders>
            <w:shd w:val="clear" w:color="auto" w:fill="FFFFFF"/>
            <w:tcMar>
              <w:top w:w="110" w:type="dxa"/>
            </w:tcMar>
          </w:tcPr>
          <w:p w:rsidR="00525604" w:rsidRPr="00A34388" w:rsidRDefault="00525604" w:rsidP="004F7424">
            <w:pPr>
              <w:rPr>
                <w:rFonts w:cs="Arial"/>
                <w:sz w:val="16"/>
                <w:szCs w:val="16"/>
                <w:lang w:val="es-ES_tradnl"/>
              </w:rPr>
            </w:pPr>
            <w:r w:rsidRPr="00A34388">
              <w:rPr>
                <w:sz w:val="16"/>
                <w:lang w:val="es-ES_tradnl"/>
              </w:rPr>
              <w:lastRenderedPageBreak/>
              <w:t xml:space="preserve">53.185 descargas de herramientas de la OMPI </w:t>
            </w:r>
            <w:r w:rsidR="00836B35">
              <w:rPr>
                <w:sz w:val="16"/>
                <w:lang w:val="es-ES_tradnl"/>
              </w:rPr>
              <w:t>relativas</w:t>
            </w:r>
            <w:r w:rsidR="004F7424">
              <w:rPr>
                <w:sz w:val="16"/>
                <w:lang w:val="es-ES_tradnl"/>
              </w:rPr>
              <w:t xml:space="preserve"> a las</w:t>
            </w:r>
            <w:r w:rsidRPr="00A34388">
              <w:rPr>
                <w:sz w:val="16"/>
                <w:lang w:val="es-ES_tradnl"/>
              </w:rPr>
              <w:t xml:space="preserve"> industrias creativas. </w:t>
            </w:r>
            <w:r w:rsidR="00267DA6" w:rsidRPr="00A34388">
              <w:rPr>
                <w:sz w:val="16"/>
                <w:lang w:val="es-ES_tradnl"/>
              </w:rPr>
              <w:t xml:space="preserve"> </w:t>
            </w:r>
            <w:r w:rsidRPr="00A34388">
              <w:rPr>
                <w:sz w:val="16"/>
                <w:lang w:val="es-ES_tradnl"/>
              </w:rPr>
              <w:t xml:space="preserve">13 solicitudes de publicaciones recibidas.  1.800 copias de herramientas </w:t>
            </w:r>
            <w:r w:rsidRPr="00A34388">
              <w:rPr>
                <w:sz w:val="16"/>
                <w:lang w:val="es-ES_tradnl"/>
              </w:rPr>
              <w:lastRenderedPageBreak/>
              <w:t>de la OMPI para creadores distribuidas.</w:t>
            </w:r>
          </w:p>
        </w:tc>
        <w:tc>
          <w:tcPr>
            <w:tcW w:w="682" w:type="pct"/>
            <w:tcBorders>
              <w:bottom w:val="single" w:sz="4" w:space="0" w:color="auto"/>
            </w:tcBorders>
            <w:shd w:val="clear" w:color="auto" w:fill="auto"/>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lastRenderedPageBreak/>
              <w:t>Plenamente</w:t>
            </w:r>
            <w:r w:rsidRPr="00A34388">
              <w:rPr>
                <w:rFonts w:cs="Arial"/>
                <w:bCs/>
                <w:color w:val="008000"/>
                <w:sz w:val="16"/>
                <w:szCs w:val="16"/>
                <w:lang w:val="es-ES_tradnl"/>
              </w:rPr>
              <w:br/>
            </w:r>
            <w:r w:rsidRPr="00A34388">
              <w:rPr>
                <w:color w:val="008000"/>
                <w:sz w:val="16"/>
                <w:lang w:val="es-ES_tradnl"/>
              </w:rPr>
              <w:t>logrado</w:t>
            </w:r>
          </w:p>
        </w:tc>
      </w:tr>
      <w:tr w:rsidR="00525604" w:rsidRPr="00E94BEA"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tabs>
                <w:tab w:val="left" w:pos="1452"/>
              </w:tabs>
              <w:spacing w:before="120" w:after="120"/>
              <w:ind w:left="1452" w:hanging="1452"/>
              <w:rPr>
                <w:rFonts w:cs="Arial"/>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Marcos de P.I. adaptados y equilibrados en el ámbito legislativo, reglamentario y de política</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1" w:type="pct"/>
            <w:gridSpan w:val="2"/>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Número de países que han iniciado reformas legislativas en la esfera del derecho de autor y los derechos conexos.</w:t>
            </w:r>
          </w:p>
        </w:tc>
        <w:tc>
          <w:tcPr>
            <w:tcW w:w="985" w:type="pct"/>
            <w:tcBorders>
              <w:bottom w:val="single" w:sz="4" w:space="0" w:color="auto"/>
            </w:tcBorders>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19</w:t>
            </w:r>
            <w:proofErr w:type="gramEnd"/>
            <w:r w:rsidRPr="00A34388">
              <w:rPr>
                <w:color w:val="002060"/>
                <w:sz w:val="16"/>
                <w:lang w:val="es-ES_tradnl"/>
              </w:rPr>
              <w:t xml:space="preserve"> países. </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roofErr w:type="gramStart"/>
            <w:r w:rsidRPr="00A34388">
              <w:rPr>
                <w:i/>
                <w:sz w:val="16"/>
                <w:lang w:val="es-ES_tradnl"/>
              </w:rPr>
              <w:t xml:space="preserve">: </w:t>
            </w:r>
            <w:r w:rsidRPr="00A34388">
              <w:rPr>
                <w:sz w:val="16"/>
                <w:lang w:val="es-ES_tradnl"/>
              </w:rPr>
              <w:t xml:space="preserve"> 19</w:t>
            </w:r>
            <w:proofErr w:type="gramEnd"/>
            <w:r w:rsidRPr="00A34388">
              <w:rPr>
                <w:sz w:val="16"/>
                <w:lang w:val="es-ES_tradnl"/>
              </w:rPr>
              <w:t xml:space="preserve"> países recibieron asesoramiento de la OMPI en el ámbito legislativo en 2010/11 (marzo de 2011).</w:t>
            </w:r>
          </w:p>
          <w:p w:rsidR="00525604" w:rsidRPr="00A34388" w:rsidRDefault="00525604" w:rsidP="00853209">
            <w:pPr>
              <w:rPr>
                <w:rFonts w:cs="Arial"/>
                <w:sz w:val="16"/>
                <w:szCs w:val="16"/>
                <w:lang w:val="es-ES_tradnl"/>
              </w:rPr>
            </w:pPr>
          </w:p>
        </w:tc>
        <w:tc>
          <w:tcPr>
            <w:tcW w:w="765" w:type="pct"/>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18 países.</w:t>
            </w:r>
          </w:p>
        </w:tc>
        <w:tc>
          <w:tcPr>
            <w:tcW w:w="1661" w:type="pct"/>
            <w:gridSpan w:val="2"/>
            <w:tcBorders>
              <w:bottom w:val="single" w:sz="4" w:space="0" w:color="auto"/>
            </w:tcBorders>
            <w:shd w:val="clear" w:color="auto" w:fill="FFFFFF"/>
            <w:tcMar>
              <w:top w:w="110" w:type="dxa"/>
            </w:tcMar>
          </w:tcPr>
          <w:p w:rsidR="00525604" w:rsidRPr="00A34388" w:rsidRDefault="00525604" w:rsidP="003709B3">
            <w:pPr>
              <w:rPr>
                <w:rFonts w:cs="Arial"/>
                <w:sz w:val="16"/>
                <w:szCs w:val="16"/>
                <w:lang w:val="es-ES_tradnl"/>
              </w:rPr>
            </w:pPr>
            <w:r w:rsidRPr="00A34388">
              <w:rPr>
                <w:sz w:val="16"/>
                <w:lang w:val="es-ES_tradnl"/>
              </w:rPr>
              <w:t>24 países de las siguientes regiones recibieron asesoramiento en el ámbito legislativo en 2012/13</w:t>
            </w:r>
            <w:proofErr w:type="gramStart"/>
            <w:r w:rsidRPr="00A34388">
              <w:rPr>
                <w:sz w:val="16"/>
                <w:lang w:val="es-ES_tradnl"/>
              </w:rPr>
              <w:t xml:space="preserve">: </w:t>
            </w:r>
            <w:r w:rsidR="007E4D96" w:rsidRPr="00A34388">
              <w:rPr>
                <w:sz w:val="16"/>
                <w:lang w:val="es-ES_tradnl"/>
              </w:rPr>
              <w:t xml:space="preserve"> </w:t>
            </w:r>
            <w:r w:rsidRPr="00A34388">
              <w:rPr>
                <w:sz w:val="16"/>
                <w:lang w:val="es-ES_tradnl"/>
              </w:rPr>
              <w:t>África</w:t>
            </w:r>
            <w:proofErr w:type="gramEnd"/>
            <w:r w:rsidRPr="00A34388">
              <w:rPr>
                <w:sz w:val="16"/>
                <w:lang w:val="es-ES_tradnl"/>
              </w:rPr>
              <w:t xml:space="preserve"> (10), región </w:t>
            </w:r>
            <w:r w:rsidR="003709B3" w:rsidRPr="00A34388">
              <w:rPr>
                <w:sz w:val="16"/>
                <w:lang w:val="es-ES_tradnl"/>
              </w:rPr>
              <w:t xml:space="preserve">árabe </w:t>
            </w:r>
            <w:r w:rsidRPr="00A34388">
              <w:rPr>
                <w:sz w:val="16"/>
                <w:lang w:val="es-ES_tradnl"/>
              </w:rPr>
              <w:t>(6), Asia y el Pacífico (6), y determinados países de Europa y Asia (2).</w:t>
            </w:r>
          </w:p>
        </w:tc>
        <w:tc>
          <w:tcPr>
            <w:tcW w:w="682" w:type="pct"/>
            <w:tcBorders>
              <w:bottom w:val="single" w:sz="4" w:space="0" w:color="auto"/>
            </w:tcBorders>
            <w:shd w:val="clear" w:color="auto" w:fill="auto"/>
            <w:tcMar>
              <w:top w:w="110" w:type="dxa"/>
            </w:tcMar>
          </w:tcPr>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94BEA"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keepNext/>
              <w:keepLines/>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keepNext/>
              <w:keepLines/>
              <w:rPr>
                <w:rFonts w:cs="Arial"/>
                <w:b/>
                <w:color w:val="808080"/>
                <w:sz w:val="16"/>
                <w:szCs w:val="16"/>
                <w:lang w:val="es-ES_tradnl"/>
              </w:rPr>
            </w:pPr>
            <w:r w:rsidRPr="00332758">
              <w:rPr>
                <w:b/>
                <w:sz w:val="16"/>
                <w:lang w:val="es-ES_tradnl"/>
              </w:rPr>
              <w:t>Objetivos</w:t>
            </w:r>
          </w:p>
        </w:tc>
        <w:tc>
          <w:tcPr>
            <w:tcW w:w="1584" w:type="pct"/>
            <w:tcBorders>
              <w:top w:val="single" w:sz="4" w:space="0" w:color="auto"/>
            </w:tcBorders>
            <w:shd w:val="clear" w:color="auto" w:fill="FFFFFF"/>
            <w:tcMar>
              <w:top w:w="110" w:type="dxa"/>
            </w:tcMar>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Datos sobre el rendimiento</w:t>
            </w:r>
          </w:p>
        </w:tc>
        <w:tc>
          <w:tcPr>
            <w:tcW w:w="759" w:type="pct"/>
            <w:gridSpan w:val="2"/>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Porcentaje de participantes en talleres de creación de capacidad sobre cuestiones de derecho de autor que expresaron satisfacción al respecto.</w:t>
            </w:r>
          </w:p>
        </w:tc>
        <w:tc>
          <w:tcPr>
            <w:tcW w:w="985"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Aproximadamente el 70%</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xml:space="preserve">. 2012/13:  </w:t>
            </w:r>
            <w:proofErr w:type="spellStart"/>
            <w:r w:rsidRPr="00A34388">
              <w:rPr>
                <w:sz w:val="16"/>
                <w:lang w:val="es-ES_tradnl"/>
              </w:rPr>
              <w:t>n.d</w:t>
            </w:r>
            <w:proofErr w:type="spellEnd"/>
            <w:r w:rsidRPr="00A34388">
              <w:rPr>
                <w:sz w:val="16"/>
                <w:lang w:val="es-ES_tradnl"/>
              </w:rPr>
              <w:t>.</w:t>
            </w:r>
          </w:p>
        </w:tc>
        <w:tc>
          <w:tcPr>
            <w:tcW w:w="765"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332758">
              <w:rPr>
                <w:sz w:val="16"/>
                <w:lang w:val="es-ES_tradnl"/>
              </w:rPr>
              <w:t>70%  de acuerdo o completamente de acuerdo.</w:t>
            </w:r>
          </w:p>
        </w:tc>
        <w:tc>
          <w:tcPr>
            <w:tcW w:w="1584"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Más del 80% de los participantes en programas de fortalecimiento de capacidades en materia de derecho de autor y derechos conexos calificaron de útil la formación recibida.</w:t>
            </w:r>
          </w:p>
        </w:tc>
        <w:tc>
          <w:tcPr>
            <w:tcW w:w="759" w:type="pct"/>
            <w:gridSpan w:val="2"/>
            <w:shd w:val="clear" w:color="auto" w:fill="auto"/>
            <w:tcMar>
              <w:top w:w="110" w:type="dxa"/>
            </w:tcMar>
          </w:tcPr>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Porcentaje de participantes en talleres sobre derecho de autor que manifestaron satisfacción al respecto además de la utilidad práctica de los conocimientos adquiridos seis meses después del taller.</w:t>
            </w:r>
          </w:p>
          <w:p w:rsidR="00525604" w:rsidRPr="00A34388" w:rsidRDefault="00525604" w:rsidP="00853209">
            <w:pPr>
              <w:rPr>
                <w:rFonts w:cs="Arial"/>
                <w:sz w:val="16"/>
                <w:szCs w:val="16"/>
                <w:lang w:val="es-ES_tradnl"/>
              </w:rPr>
            </w:pPr>
          </w:p>
        </w:tc>
        <w:tc>
          <w:tcPr>
            <w:tcW w:w="985" w:type="pct"/>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Aproximadamente el 70% </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xml:space="preserve">. 2012/13: </w:t>
            </w:r>
            <w:r w:rsidRPr="00A34388">
              <w:rPr>
                <w:sz w:val="16"/>
                <w:lang w:val="es-ES_tradnl"/>
              </w:rPr>
              <w:t xml:space="preserve"> </w:t>
            </w:r>
            <w:proofErr w:type="spellStart"/>
            <w:r w:rsidRPr="00A34388">
              <w:rPr>
                <w:sz w:val="16"/>
                <w:lang w:val="es-ES_tradnl"/>
              </w:rPr>
              <w:t>n.d</w:t>
            </w:r>
            <w:proofErr w:type="spellEnd"/>
            <w:r w:rsidRPr="00A34388">
              <w:rPr>
                <w:sz w:val="16"/>
                <w:lang w:val="es-ES_tradnl"/>
              </w:rPr>
              <w:t>.</w:t>
            </w:r>
          </w:p>
        </w:tc>
        <w:tc>
          <w:tcPr>
            <w:tcW w:w="765"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70%</w:t>
            </w:r>
          </w:p>
        </w:tc>
        <w:tc>
          <w:tcPr>
            <w:tcW w:w="1584"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Más del 70% de los participantes en talleres sobre derecho de autor y derechos conexos expresaron que los conocimientos adquiridos resultaban útiles en la práctica seis meses después del taller.</w:t>
            </w:r>
          </w:p>
        </w:tc>
        <w:tc>
          <w:tcPr>
            <w:tcW w:w="759" w:type="pct"/>
            <w:gridSpan w:val="2"/>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tcBorders>
              <w:bottom w:val="single" w:sz="4" w:space="0" w:color="auto"/>
            </w:tcBorders>
            <w:shd w:val="clear" w:color="auto" w:fill="auto"/>
          </w:tcPr>
          <w:p w:rsidR="00525604" w:rsidRPr="00A34388" w:rsidRDefault="00525604" w:rsidP="00334845">
            <w:pPr>
              <w:rPr>
                <w:rFonts w:cs="Arial"/>
                <w:color w:val="000000"/>
                <w:sz w:val="16"/>
                <w:szCs w:val="16"/>
                <w:lang w:val="es-ES_tradnl"/>
              </w:rPr>
            </w:pPr>
            <w:r w:rsidRPr="00332758">
              <w:rPr>
                <w:sz w:val="16"/>
                <w:lang w:val="es-ES_tradnl"/>
              </w:rPr>
              <w:t>Número de iniciativas nacionales en el ámbito del derecho de autor y los derechos conexos emprendidas y directamente relacionadas con los temas objeto de los talleres.</w:t>
            </w:r>
          </w:p>
          <w:p w:rsidR="00525604" w:rsidRPr="00A34388" w:rsidRDefault="00525604" w:rsidP="00334845">
            <w:pPr>
              <w:rPr>
                <w:rFonts w:cs="Arial"/>
                <w:color w:val="000000"/>
                <w:sz w:val="16"/>
                <w:szCs w:val="16"/>
                <w:lang w:val="es-ES_tradnl"/>
              </w:rPr>
            </w:pPr>
          </w:p>
        </w:tc>
        <w:tc>
          <w:tcPr>
            <w:tcW w:w="985" w:type="pct"/>
            <w:tcBorders>
              <w:bottom w:val="single" w:sz="4" w:space="0" w:color="auto"/>
            </w:tcBorders>
            <w:shd w:val="clear" w:color="auto" w:fill="auto"/>
          </w:tcPr>
          <w:p w:rsidR="00525604" w:rsidRPr="00A34388" w:rsidRDefault="00525604" w:rsidP="00334845">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50</w:t>
            </w:r>
            <w:proofErr w:type="gramEnd"/>
            <w:r w:rsidRPr="00A34388">
              <w:rPr>
                <w:color w:val="002060"/>
                <w:sz w:val="16"/>
                <w:lang w:val="es-ES_tradnl"/>
              </w:rPr>
              <w:t>%, como mínimo.</w:t>
            </w:r>
          </w:p>
          <w:p w:rsidR="00525604" w:rsidRPr="00A34388" w:rsidRDefault="00525604" w:rsidP="00334845">
            <w:pPr>
              <w:rPr>
                <w:rFonts w:cs="Arial"/>
                <w:sz w:val="8"/>
                <w:szCs w:val="8"/>
                <w:lang w:val="es-ES_tradnl"/>
              </w:rPr>
            </w:pPr>
          </w:p>
          <w:p w:rsidR="00525604" w:rsidRPr="00A34388" w:rsidRDefault="00525604" w:rsidP="00334845">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xml:space="preserve">. 2012/13:  </w:t>
            </w:r>
            <w:proofErr w:type="spellStart"/>
            <w:r w:rsidRPr="00A34388">
              <w:rPr>
                <w:sz w:val="16"/>
                <w:lang w:val="es-ES_tradnl"/>
              </w:rPr>
              <w:t>n.d</w:t>
            </w:r>
            <w:proofErr w:type="spellEnd"/>
            <w:r w:rsidRPr="00A34388">
              <w:rPr>
                <w:sz w:val="16"/>
                <w:lang w:val="es-ES_tradnl"/>
              </w:rPr>
              <w:t>.</w:t>
            </w:r>
          </w:p>
        </w:tc>
        <w:tc>
          <w:tcPr>
            <w:tcW w:w="765" w:type="pct"/>
            <w:tcBorders>
              <w:bottom w:val="single" w:sz="4" w:space="0" w:color="auto"/>
            </w:tcBorders>
            <w:shd w:val="clear" w:color="auto" w:fill="auto"/>
            <w:tcMar>
              <w:top w:w="110" w:type="dxa"/>
            </w:tcMar>
          </w:tcPr>
          <w:p w:rsidR="00525604" w:rsidRPr="00A34388" w:rsidRDefault="00525604" w:rsidP="00334845">
            <w:pPr>
              <w:rPr>
                <w:rFonts w:cs="Arial"/>
                <w:sz w:val="16"/>
                <w:szCs w:val="16"/>
                <w:lang w:val="es-ES_tradnl"/>
              </w:rPr>
            </w:pPr>
            <w:r w:rsidRPr="00A34388">
              <w:rPr>
                <w:sz w:val="16"/>
                <w:lang w:val="es-ES_tradnl"/>
              </w:rPr>
              <w:t>70%</w:t>
            </w:r>
          </w:p>
        </w:tc>
        <w:tc>
          <w:tcPr>
            <w:tcW w:w="1584" w:type="pct"/>
            <w:tcBorders>
              <w:bottom w:val="single" w:sz="4" w:space="0" w:color="auto"/>
            </w:tcBorders>
            <w:shd w:val="clear" w:color="auto" w:fill="FFFFFF"/>
            <w:tcMar>
              <w:top w:w="110" w:type="dxa"/>
            </w:tcMar>
          </w:tcPr>
          <w:p w:rsidR="00525604" w:rsidRPr="00A34388" w:rsidRDefault="00525604" w:rsidP="00334845">
            <w:pPr>
              <w:rPr>
                <w:rFonts w:cs="Arial"/>
                <w:sz w:val="16"/>
                <w:szCs w:val="16"/>
                <w:lang w:val="es-ES_tradnl"/>
              </w:rPr>
            </w:pPr>
            <w:r w:rsidRPr="00A34388">
              <w:rPr>
                <w:sz w:val="16"/>
                <w:lang w:val="es-ES_tradnl"/>
              </w:rPr>
              <w:t xml:space="preserve">Más del 60% de las iniciativas nacionales en el ámbito del derecho de autor y los derechos conexos emprendieron iniciativas directamente relacionadas con los temas objeto de los talleres o de otros programas de fortalecimiento de capacidades. </w:t>
            </w:r>
          </w:p>
        </w:tc>
        <w:tc>
          <w:tcPr>
            <w:tcW w:w="759" w:type="pct"/>
            <w:gridSpan w:val="2"/>
            <w:tcBorders>
              <w:bottom w:val="single" w:sz="4" w:space="0" w:color="auto"/>
            </w:tcBorders>
            <w:shd w:val="clear" w:color="auto" w:fill="auto"/>
          </w:tcPr>
          <w:p w:rsidR="00525604" w:rsidRPr="00A34388" w:rsidRDefault="00525604" w:rsidP="00334845">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94BEA"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334845">
            <w:pPr>
              <w:keepNext/>
              <w:tabs>
                <w:tab w:val="left" w:pos="1452"/>
              </w:tabs>
              <w:spacing w:before="120" w:after="120"/>
              <w:ind w:left="1701" w:hanging="1701"/>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334845">
            <w:pPr>
              <w:keepNext/>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334845">
            <w:pPr>
              <w:keepNext/>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334845">
            <w:pPr>
              <w:keepNext/>
              <w:rPr>
                <w:rFonts w:cs="Arial"/>
                <w:b/>
                <w:color w:val="808080"/>
                <w:sz w:val="16"/>
                <w:szCs w:val="16"/>
                <w:lang w:val="es-ES_tradnl"/>
              </w:rPr>
            </w:pPr>
            <w:r w:rsidRPr="00332758">
              <w:rPr>
                <w:b/>
                <w:sz w:val="16"/>
                <w:lang w:val="es-ES_tradnl"/>
              </w:rPr>
              <w:t>Objetivos</w:t>
            </w:r>
          </w:p>
        </w:tc>
        <w:tc>
          <w:tcPr>
            <w:tcW w:w="1661" w:type="pct"/>
            <w:gridSpan w:val="2"/>
            <w:tcBorders>
              <w:top w:val="single" w:sz="4" w:space="0" w:color="auto"/>
            </w:tcBorders>
            <w:shd w:val="clear" w:color="auto" w:fill="FFFFFF"/>
            <w:tcMar>
              <w:top w:w="110" w:type="dxa"/>
            </w:tcMar>
            <w:vAlign w:val="center"/>
          </w:tcPr>
          <w:p w:rsidR="00525604" w:rsidRPr="00A34388" w:rsidRDefault="00525604" w:rsidP="00334845">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334845">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auto"/>
          </w:tcPr>
          <w:p w:rsidR="00525604" w:rsidRPr="00A34388" w:rsidRDefault="00525604" w:rsidP="00334845">
            <w:pPr>
              <w:keepNext/>
              <w:rPr>
                <w:rFonts w:cs="Arial"/>
                <w:sz w:val="16"/>
                <w:szCs w:val="16"/>
                <w:lang w:val="es-ES_tradnl"/>
              </w:rPr>
            </w:pPr>
            <w:r w:rsidRPr="00332758">
              <w:rPr>
                <w:sz w:val="16"/>
                <w:lang w:val="es-ES_tradnl"/>
              </w:rPr>
              <w:t>Número de intermediarios de confianza y titulares de derechos que se han adherido a la red de sistemas TIGAR, incluidos los procedentes de países en desarrollo y PMA.</w:t>
            </w:r>
          </w:p>
        </w:tc>
        <w:tc>
          <w:tcPr>
            <w:tcW w:w="985" w:type="pct"/>
            <w:shd w:val="clear" w:color="auto" w:fill="auto"/>
          </w:tcPr>
          <w:p w:rsidR="00525604" w:rsidRPr="00A34388" w:rsidRDefault="00525604" w:rsidP="00334845">
            <w:pPr>
              <w:keepNext/>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4 intermediarios de confianza y 3 titulares de derechos </w:t>
            </w:r>
          </w:p>
          <w:p w:rsidR="00525604" w:rsidRPr="00A34388" w:rsidRDefault="00525604" w:rsidP="00334845">
            <w:pPr>
              <w:keepNext/>
              <w:rPr>
                <w:rFonts w:cs="Arial"/>
                <w:i/>
                <w:sz w:val="16"/>
                <w:szCs w:val="16"/>
                <w:lang w:val="es-ES_tradnl"/>
              </w:rPr>
            </w:pPr>
          </w:p>
          <w:p w:rsidR="00525604" w:rsidRPr="00A34388" w:rsidRDefault="00525604" w:rsidP="00334845">
            <w:pPr>
              <w:keepNext/>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roofErr w:type="gramStart"/>
            <w:r w:rsidRPr="00A34388">
              <w:rPr>
                <w:i/>
                <w:sz w:val="16"/>
                <w:lang w:val="es-ES_tradnl"/>
              </w:rPr>
              <w:t xml:space="preserve">: </w:t>
            </w:r>
            <w:r w:rsidRPr="00A34388">
              <w:rPr>
                <w:sz w:val="16"/>
                <w:lang w:val="es-ES_tradnl"/>
              </w:rPr>
              <w:t xml:space="preserve"> Cuatro</w:t>
            </w:r>
            <w:proofErr w:type="gramEnd"/>
            <w:r w:rsidRPr="00A34388">
              <w:rPr>
                <w:sz w:val="16"/>
                <w:lang w:val="es-ES_tradnl"/>
              </w:rPr>
              <w:t xml:space="preserve"> intermediarios de confianza y tres titulares de derechos.</w:t>
            </w:r>
          </w:p>
        </w:tc>
        <w:tc>
          <w:tcPr>
            <w:tcW w:w="765" w:type="pct"/>
            <w:shd w:val="clear" w:color="auto" w:fill="auto"/>
            <w:tcMar>
              <w:top w:w="110" w:type="dxa"/>
            </w:tcMar>
          </w:tcPr>
          <w:p w:rsidR="00525604" w:rsidRPr="00A34388" w:rsidRDefault="00525604" w:rsidP="00334845">
            <w:pPr>
              <w:keepNext/>
              <w:autoSpaceDE w:val="0"/>
              <w:autoSpaceDN w:val="0"/>
              <w:adjustRightInd w:val="0"/>
              <w:rPr>
                <w:rFonts w:cs="Arial"/>
                <w:sz w:val="16"/>
                <w:szCs w:val="16"/>
                <w:lang w:val="es-ES_tradnl"/>
              </w:rPr>
            </w:pPr>
            <w:r w:rsidRPr="00A34388">
              <w:rPr>
                <w:sz w:val="16"/>
                <w:lang w:val="es-ES_tradnl"/>
              </w:rPr>
              <w:t>10 nuevos intermediarios de confianza y</w:t>
            </w:r>
          </w:p>
          <w:p w:rsidR="00525604" w:rsidRPr="00A34388" w:rsidRDefault="00525604" w:rsidP="00334845">
            <w:pPr>
              <w:keepNext/>
              <w:autoSpaceDE w:val="0"/>
              <w:autoSpaceDN w:val="0"/>
              <w:adjustRightInd w:val="0"/>
              <w:rPr>
                <w:rFonts w:cs="Arial"/>
                <w:sz w:val="16"/>
                <w:szCs w:val="16"/>
                <w:lang w:val="es-ES_tradnl"/>
              </w:rPr>
            </w:pPr>
            <w:r w:rsidRPr="00A34388">
              <w:rPr>
                <w:sz w:val="16"/>
                <w:lang w:val="es-ES_tradnl"/>
              </w:rPr>
              <w:t>4 nuevos titulares de derechos</w:t>
            </w:r>
          </w:p>
          <w:p w:rsidR="00525604" w:rsidRPr="00A34388" w:rsidRDefault="00525604" w:rsidP="00334845">
            <w:pPr>
              <w:pStyle w:val="Default"/>
              <w:keepNext/>
              <w:rPr>
                <w:color w:val="auto"/>
                <w:sz w:val="16"/>
                <w:szCs w:val="16"/>
                <w:lang w:val="es-ES_tradnl"/>
              </w:rPr>
            </w:pPr>
            <w:r w:rsidRPr="00A34388">
              <w:rPr>
                <w:color w:val="auto"/>
                <w:sz w:val="16"/>
                <w:lang w:val="es-ES_tradnl"/>
              </w:rPr>
              <w:t>(en 2012/13)</w:t>
            </w:r>
          </w:p>
        </w:tc>
        <w:tc>
          <w:tcPr>
            <w:tcW w:w="1661" w:type="pct"/>
            <w:gridSpan w:val="2"/>
            <w:shd w:val="clear" w:color="auto" w:fill="FFFFFF"/>
            <w:tcMar>
              <w:top w:w="110" w:type="dxa"/>
            </w:tcMar>
          </w:tcPr>
          <w:p w:rsidR="00525604" w:rsidRPr="00A34388" w:rsidRDefault="00525604" w:rsidP="00334845">
            <w:pPr>
              <w:keepNext/>
              <w:rPr>
                <w:rFonts w:cs="Arial"/>
                <w:sz w:val="16"/>
                <w:szCs w:val="16"/>
                <w:lang w:val="es-ES_tradnl"/>
              </w:rPr>
            </w:pPr>
            <w:r w:rsidRPr="00A34388">
              <w:rPr>
                <w:sz w:val="16"/>
                <w:lang w:val="es-ES_tradnl"/>
              </w:rPr>
              <w:t>Para finales de 2013, 25 intermediarios de confianza y 45 titulares de derechos habían firmado el memor</w:t>
            </w:r>
            <w:r w:rsidR="00987449" w:rsidRPr="00A34388">
              <w:rPr>
                <w:sz w:val="16"/>
                <w:lang w:val="es-ES_tradnl"/>
              </w:rPr>
              <w:t>a</w:t>
            </w:r>
            <w:r w:rsidRPr="00A34388">
              <w:rPr>
                <w:sz w:val="16"/>
                <w:lang w:val="es-ES_tradnl"/>
              </w:rPr>
              <w:t>nd</w:t>
            </w:r>
            <w:r w:rsidR="00987449" w:rsidRPr="00A34388">
              <w:rPr>
                <w:sz w:val="16"/>
                <w:lang w:val="es-ES_tradnl"/>
              </w:rPr>
              <w:t>o</w:t>
            </w:r>
            <w:r w:rsidRPr="00A34388">
              <w:rPr>
                <w:sz w:val="16"/>
                <w:lang w:val="es-ES_tradnl"/>
              </w:rPr>
              <w:t xml:space="preserve"> de entendimiento del proyecto TIGAR, incluyendo intermediarios de confianza procedentes de países en desarrollo y países menos adelantados.  </w:t>
            </w:r>
            <w:r w:rsidR="009D3374" w:rsidRPr="00A34388">
              <w:rPr>
                <w:sz w:val="16"/>
                <w:lang w:val="es-ES_tradnl"/>
              </w:rPr>
              <w:t xml:space="preserve">A fines de 2013, </w:t>
            </w:r>
            <w:r w:rsidRPr="00A34388">
              <w:rPr>
                <w:sz w:val="16"/>
                <w:lang w:val="es-ES_tradnl"/>
              </w:rPr>
              <w:t>11 intermediarios de confianza habían cargado sus títulos en formato accesible en la base de datos del proyecto TIGAR.</w:t>
            </w:r>
          </w:p>
        </w:tc>
        <w:tc>
          <w:tcPr>
            <w:tcW w:w="682" w:type="pct"/>
            <w:shd w:val="clear" w:color="auto" w:fill="auto"/>
            <w:tcMar>
              <w:top w:w="110" w:type="dxa"/>
            </w:tcMar>
          </w:tcPr>
          <w:p w:rsidR="00525604" w:rsidRPr="00A34388" w:rsidRDefault="00525604" w:rsidP="00334845">
            <w:pPr>
              <w:keepNext/>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Número de obras protegidas por derecho de autor y distribuidas entre intermediarios de confianza puestas a disposición de las personas con discapacidad visual a escala internacional por medio de la red de sistemas TIGAR.</w:t>
            </w:r>
          </w:p>
        </w:tc>
        <w:tc>
          <w:tcPr>
            <w:tcW w:w="985" w:type="pct"/>
            <w:tcBorders>
              <w:bottom w:val="single" w:sz="4" w:space="0" w:color="auto"/>
            </w:tcBorders>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300</w:t>
            </w:r>
            <w:proofErr w:type="gramEnd"/>
            <w:r w:rsidRPr="00A34388">
              <w:rPr>
                <w:color w:val="002060"/>
                <w:sz w:val="16"/>
                <w:lang w:val="es-ES_tradnl"/>
              </w:rPr>
              <w:t xml:space="preserve"> libros en formatos accesibles descargados del sistema TIGAR. </w:t>
            </w:r>
          </w:p>
          <w:p w:rsidR="00525604" w:rsidRPr="00A34388" w:rsidRDefault="00525604" w:rsidP="00853209">
            <w:pPr>
              <w:rPr>
                <w:rFonts w:cs="Arial"/>
                <w:i/>
                <w:sz w:val="16"/>
                <w:szCs w:val="16"/>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roofErr w:type="gramStart"/>
            <w:r w:rsidRPr="00A34388">
              <w:rPr>
                <w:i/>
                <w:sz w:val="16"/>
                <w:lang w:val="es-ES_tradnl"/>
              </w:rPr>
              <w:t xml:space="preserve">: </w:t>
            </w:r>
            <w:r w:rsidR="007E4D96" w:rsidRPr="00A34388">
              <w:rPr>
                <w:i/>
                <w:sz w:val="16"/>
                <w:lang w:val="es-ES_tradnl"/>
              </w:rPr>
              <w:t xml:space="preserve"> </w:t>
            </w:r>
            <w:r w:rsidRPr="00A34388">
              <w:rPr>
                <w:sz w:val="16"/>
                <w:lang w:val="es-ES_tradnl"/>
              </w:rPr>
              <w:t>Todavía</w:t>
            </w:r>
            <w:proofErr w:type="gramEnd"/>
            <w:r w:rsidRPr="00A34388">
              <w:rPr>
                <w:sz w:val="16"/>
                <w:lang w:val="es-ES_tradnl"/>
              </w:rPr>
              <w:t xml:space="preserve"> no han comenzado las actividades.</w:t>
            </w:r>
          </w:p>
          <w:p w:rsidR="00525604" w:rsidRPr="00A34388" w:rsidRDefault="00525604" w:rsidP="00853209">
            <w:pPr>
              <w:autoSpaceDE w:val="0"/>
              <w:autoSpaceDN w:val="0"/>
              <w:adjustRightInd w:val="0"/>
              <w:rPr>
                <w:rFonts w:cs="Arial"/>
                <w:sz w:val="16"/>
                <w:szCs w:val="16"/>
                <w:lang w:val="es-ES_tradnl"/>
              </w:rPr>
            </w:pPr>
          </w:p>
        </w:tc>
        <w:tc>
          <w:tcPr>
            <w:tcW w:w="765" w:type="pct"/>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Disponibilidad de al menos 300 libros o títulos (en total)</w:t>
            </w:r>
          </w:p>
        </w:tc>
        <w:tc>
          <w:tcPr>
            <w:tcW w:w="1661" w:type="pct"/>
            <w:gridSpan w:val="2"/>
            <w:tcBorders>
              <w:bottom w:val="single" w:sz="4" w:space="0" w:color="auto"/>
            </w:tcBorders>
            <w:shd w:val="clear" w:color="auto" w:fill="FFFFFF"/>
            <w:tcMar>
              <w:top w:w="110" w:type="dxa"/>
            </w:tcMar>
          </w:tcPr>
          <w:p w:rsidR="00525604" w:rsidRPr="00A34388" w:rsidRDefault="009D3374" w:rsidP="009D3374">
            <w:pPr>
              <w:rPr>
                <w:rFonts w:cs="Arial"/>
                <w:sz w:val="16"/>
                <w:szCs w:val="16"/>
                <w:lang w:val="es-ES_tradnl"/>
              </w:rPr>
            </w:pPr>
            <w:r w:rsidRPr="00A34388">
              <w:rPr>
                <w:sz w:val="16"/>
                <w:lang w:val="es-ES_tradnl"/>
              </w:rPr>
              <w:t xml:space="preserve">A fines </w:t>
            </w:r>
            <w:r w:rsidR="00525604" w:rsidRPr="00A34388">
              <w:rPr>
                <w:sz w:val="16"/>
                <w:lang w:val="es-ES_tradnl"/>
              </w:rPr>
              <w:t>de 2013, se habían descargado de la base de datos del proyecto TIGAR aproximadamente 600 libros en formatos accesibles en distintos países.</w:t>
            </w:r>
          </w:p>
        </w:tc>
        <w:tc>
          <w:tcPr>
            <w:tcW w:w="682" w:type="pct"/>
            <w:tcBorders>
              <w:bottom w:val="single" w:sz="4" w:space="0" w:color="auto"/>
            </w:tcBorders>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94BEA" w:rsidTr="00853209">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r>
      <w:tr w:rsidR="00525604" w:rsidRPr="00A34388" w:rsidTr="00853209">
        <w:tc>
          <w:tcPr>
            <w:tcW w:w="907"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8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765"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1" w:type="pct"/>
            <w:gridSpan w:val="2"/>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907"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instituciones que utilizan los sistemas de la OMPI de infraestructura de derecho de autor (WIPOCOS y GDA).</w:t>
            </w:r>
          </w:p>
        </w:tc>
        <w:tc>
          <w:tcPr>
            <w:tcW w:w="985"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20</w:t>
            </w:r>
            <w:proofErr w:type="gramEnd"/>
            <w:r w:rsidRPr="00A34388">
              <w:rPr>
                <w:color w:val="002060"/>
                <w:sz w:val="16"/>
                <w:lang w:val="es-ES_tradnl"/>
              </w:rPr>
              <w:t xml:space="preserve"> OGC cuentan con WIPOCOS.  </w:t>
            </w:r>
          </w:p>
          <w:p w:rsidR="00525604" w:rsidRPr="00A34388" w:rsidRDefault="00525604" w:rsidP="00853209">
            <w:pPr>
              <w:rPr>
                <w:rFonts w:cs="Arial"/>
                <w:color w:val="002060"/>
                <w:sz w:val="16"/>
                <w:szCs w:val="16"/>
                <w:lang w:val="es-ES_tradnl"/>
              </w:rPr>
            </w:pPr>
            <w:r w:rsidRPr="00A34388">
              <w:rPr>
                <w:color w:val="002060"/>
                <w:sz w:val="16"/>
                <w:lang w:val="es-ES_tradnl"/>
              </w:rPr>
              <w:t>8 oficinas de derecho de autor que utilizan el sistema GDA</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xml:space="preserve">. 2012/13:  </w:t>
            </w:r>
            <w:r w:rsidRPr="00A34388">
              <w:rPr>
                <w:sz w:val="16"/>
                <w:lang w:val="es-ES_tradnl"/>
              </w:rPr>
              <w:t>20 OGC cuentan con WIPOCOS (fin</w:t>
            </w:r>
            <w:r w:rsidR="00293A53" w:rsidRPr="00A34388">
              <w:rPr>
                <w:sz w:val="16"/>
                <w:lang w:val="es-ES_tradnl"/>
              </w:rPr>
              <w:t>es</w:t>
            </w:r>
            <w:r w:rsidRPr="00A34388">
              <w:rPr>
                <w:sz w:val="16"/>
                <w:lang w:val="es-ES_tradnl"/>
              </w:rPr>
              <w:t xml:space="preserve"> de 2011)</w:t>
            </w:r>
          </w:p>
          <w:p w:rsidR="00525604" w:rsidRPr="00A34388" w:rsidRDefault="00525604" w:rsidP="00853209">
            <w:pPr>
              <w:rPr>
                <w:rFonts w:cs="Arial"/>
                <w:sz w:val="8"/>
                <w:szCs w:val="8"/>
                <w:lang w:val="es-ES_tradnl"/>
              </w:rPr>
            </w:pPr>
          </w:p>
          <w:p w:rsidR="00525604" w:rsidRPr="00A34388" w:rsidRDefault="00525604" w:rsidP="00293A53">
            <w:pPr>
              <w:rPr>
                <w:rFonts w:cs="Arial"/>
                <w:sz w:val="16"/>
                <w:szCs w:val="16"/>
                <w:lang w:val="es-ES_tradnl"/>
              </w:rPr>
            </w:pPr>
            <w:r w:rsidRPr="00332758">
              <w:rPr>
                <w:sz w:val="16"/>
                <w:lang w:val="es-ES_tradnl"/>
              </w:rPr>
              <w:t>8 oficinas de derecho de autor que utilizan el sistema GDA (fin</w:t>
            </w:r>
            <w:r w:rsidR="00293A53" w:rsidRPr="00332758">
              <w:rPr>
                <w:sz w:val="16"/>
                <w:lang w:val="es-ES_tradnl"/>
              </w:rPr>
              <w:t>es</w:t>
            </w:r>
            <w:r w:rsidRPr="00332758">
              <w:rPr>
                <w:sz w:val="16"/>
                <w:lang w:val="es-ES_tradnl"/>
              </w:rPr>
              <w:t xml:space="preserve"> de 2011)</w:t>
            </w:r>
          </w:p>
        </w:tc>
        <w:tc>
          <w:tcPr>
            <w:tcW w:w="765"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40 OGC cuentan</w:t>
            </w:r>
          </w:p>
          <w:p w:rsidR="00525604" w:rsidRPr="00A34388" w:rsidRDefault="00525604" w:rsidP="00853209">
            <w:pPr>
              <w:rPr>
                <w:rFonts w:cs="Arial"/>
                <w:sz w:val="16"/>
                <w:szCs w:val="16"/>
                <w:lang w:val="es-ES_tradnl"/>
              </w:rPr>
            </w:pPr>
            <w:r w:rsidRPr="00A34388">
              <w:rPr>
                <w:sz w:val="16"/>
                <w:lang w:val="es-ES_tradnl"/>
              </w:rPr>
              <w:t>con WIPOCOS</w:t>
            </w:r>
          </w:p>
          <w:p w:rsidR="00525604" w:rsidRPr="00A34388" w:rsidRDefault="00525604" w:rsidP="00853209">
            <w:pPr>
              <w:rPr>
                <w:rFonts w:cs="Arial"/>
                <w:sz w:val="16"/>
                <w:szCs w:val="16"/>
                <w:lang w:val="es-ES_tradnl"/>
              </w:rPr>
            </w:pPr>
            <w:r w:rsidRPr="00A34388">
              <w:rPr>
                <w:sz w:val="16"/>
                <w:lang w:val="es-ES_tradnl"/>
              </w:rPr>
              <w:t>(en total)</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sz w:val="16"/>
                <w:lang w:val="es-ES_tradnl"/>
              </w:rPr>
              <w:t>15 oficinas de derecho de autor</w:t>
            </w:r>
          </w:p>
          <w:p w:rsidR="00525604" w:rsidRPr="00A34388" w:rsidRDefault="00525604" w:rsidP="00853209">
            <w:pPr>
              <w:rPr>
                <w:rFonts w:cs="Arial"/>
                <w:sz w:val="16"/>
                <w:szCs w:val="16"/>
                <w:lang w:val="es-ES_tradnl"/>
              </w:rPr>
            </w:pPr>
            <w:r w:rsidRPr="00A34388">
              <w:rPr>
                <w:sz w:val="16"/>
                <w:lang w:val="es-ES_tradnl"/>
              </w:rPr>
              <w:t>utilizan el sistema GDA (en total)</w:t>
            </w:r>
          </w:p>
        </w:tc>
        <w:tc>
          <w:tcPr>
            <w:tcW w:w="1661" w:type="pct"/>
            <w:gridSpan w:val="2"/>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26 OGC cuentan con WIPOCOS</w:t>
            </w:r>
            <w:r w:rsidRPr="00A34388">
              <w:rPr>
                <w:sz w:val="16"/>
                <w:lang w:val="es-ES_tradnl"/>
              </w:rPr>
              <w:t xml:space="preserve"> </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18 oficinas de derecho de autor que utilizan el sistema GDA</w:t>
            </w:r>
          </w:p>
        </w:tc>
        <w:tc>
          <w:tcPr>
            <w:tcW w:w="682" w:type="pct"/>
            <w:shd w:val="clear" w:color="auto" w:fill="auto"/>
            <w:tcMar>
              <w:top w:w="110" w:type="dxa"/>
            </w:tcMar>
          </w:tcPr>
          <w:p w:rsidR="00525604" w:rsidRPr="00A34388" w:rsidRDefault="00525604" w:rsidP="00853209">
            <w:pPr>
              <w:spacing w:after="120"/>
              <w:jc w:val="center"/>
              <w:rPr>
                <w:rStyle w:val="Style5"/>
                <w:rFonts w:ascii="Arial" w:hAnsi="Arial" w:cs="Arial"/>
                <w:sz w:val="16"/>
                <w:szCs w:val="16"/>
                <w:lang w:val="es-ES_tradnl"/>
              </w:rPr>
            </w:pPr>
            <w:r w:rsidRPr="00A34388">
              <w:rPr>
                <w:rStyle w:val="Style5"/>
                <w:rFonts w:ascii="Arial" w:hAnsi="Arial"/>
                <w:sz w:val="16"/>
                <w:lang w:val="es-ES_tradnl"/>
              </w:rPr>
              <w:t>Interrumpido</w:t>
            </w:r>
          </w:p>
          <w:p w:rsidR="00525604" w:rsidRPr="00A34388" w:rsidRDefault="00525604" w:rsidP="00853209">
            <w:pPr>
              <w:spacing w:after="120"/>
              <w:jc w:val="center"/>
              <w:rPr>
                <w:rStyle w:val="Style5"/>
                <w:rFonts w:ascii="Arial" w:hAnsi="Arial" w:cs="Arial"/>
                <w:sz w:val="16"/>
                <w:szCs w:val="16"/>
                <w:lang w:val="es-ES_tradnl"/>
              </w:rPr>
            </w:pPr>
          </w:p>
          <w:p w:rsidR="00525604" w:rsidRPr="00A34388" w:rsidRDefault="00525604" w:rsidP="00853209">
            <w:pPr>
              <w:spacing w:after="120"/>
              <w:jc w:val="center"/>
              <w:rPr>
                <w:rStyle w:val="Style5"/>
                <w:rFonts w:ascii="Arial" w:hAnsi="Arial" w:cs="Arial"/>
                <w:sz w:val="16"/>
                <w:szCs w:val="16"/>
                <w:lang w:val="es-ES_tradnl"/>
              </w:rPr>
            </w:pPr>
          </w:p>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907"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gobiernos que informan favorablemente acerca de la eficacia y la gobernanza de las instituciones encargadas del derecho de autor en el país.</w:t>
            </w:r>
          </w:p>
          <w:p w:rsidR="00525604" w:rsidRPr="00A34388" w:rsidRDefault="00525604" w:rsidP="00853209">
            <w:pPr>
              <w:rPr>
                <w:rFonts w:cs="Arial"/>
                <w:sz w:val="16"/>
                <w:szCs w:val="16"/>
                <w:lang w:val="es-ES_tradnl"/>
              </w:rPr>
            </w:pPr>
          </w:p>
        </w:tc>
        <w:tc>
          <w:tcPr>
            <w:tcW w:w="985"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proofErr w:type="gramStart"/>
            <w:r w:rsidRPr="00A34388">
              <w:rPr>
                <w:i/>
                <w:color w:val="002060"/>
                <w:sz w:val="16"/>
                <w:lang w:val="es-ES_tradnl"/>
              </w:rPr>
              <w:t>:</w:t>
            </w:r>
            <w:r w:rsidRPr="00A34388">
              <w:rPr>
                <w:color w:val="002060"/>
                <w:sz w:val="16"/>
                <w:lang w:val="es-ES_tradnl"/>
              </w:rPr>
              <w:t xml:space="preserve">  70</w:t>
            </w:r>
            <w:proofErr w:type="gramEnd"/>
            <w:r w:rsidRPr="00A34388">
              <w:rPr>
                <w:color w:val="002060"/>
                <w:sz w:val="16"/>
                <w:lang w:val="es-ES_tradnl"/>
              </w:rPr>
              <w:t>%, como mínimo.</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xml:space="preserve">. 2012/13: </w:t>
            </w:r>
            <w:r w:rsidRPr="00A34388">
              <w:rPr>
                <w:sz w:val="16"/>
                <w:lang w:val="es-ES_tradnl"/>
              </w:rPr>
              <w:t xml:space="preserve"> </w:t>
            </w:r>
            <w:proofErr w:type="spellStart"/>
            <w:r w:rsidRPr="00A34388">
              <w:rPr>
                <w:sz w:val="16"/>
                <w:lang w:val="es-ES_tradnl"/>
              </w:rPr>
              <w:t>n.d</w:t>
            </w:r>
            <w:proofErr w:type="spellEnd"/>
            <w:r w:rsidRPr="00A34388">
              <w:rPr>
                <w:sz w:val="16"/>
                <w:lang w:val="es-ES_tradnl"/>
              </w:rPr>
              <w:t>.</w:t>
            </w:r>
          </w:p>
        </w:tc>
        <w:tc>
          <w:tcPr>
            <w:tcW w:w="765" w:type="pct"/>
            <w:shd w:val="clear" w:color="auto" w:fill="auto"/>
            <w:tcMar>
              <w:top w:w="110" w:type="dxa"/>
            </w:tcMar>
          </w:tcPr>
          <w:p w:rsidR="00525604" w:rsidRPr="00A34388" w:rsidRDefault="004F7424" w:rsidP="00853209">
            <w:pPr>
              <w:pStyle w:val="Default"/>
              <w:rPr>
                <w:color w:val="auto"/>
                <w:sz w:val="16"/>
                <w:szCs w:val="16"/>
                <w:lang w:val="es-ES_tradnl"/>
              </w:rPr>
            </w:pPr>
            <w:r>
              <w:rPr>
                <w:color w:val="auto"/>
                <w:sz w:val="16"/>
                <w:lang w:val="es-ES_tradnl"/>
              </w:rPr>
              <w:t xml:space="preserve">El </w:t>
            </w:r>
            <w:r w:rsidR="00525604" w:rsidRPr="00A34388">
              <w:rPr>
                <w:color w:val="auto"/>
                <w:sz w:val="16"/>
                <w:lang w:val="es-ES_tradnl"/>
              </w:rPr>
              <w:t>80% de los países que solicitaron y recibieron asistencia técnica en este ámbito</w:t>
            </w:r>
          </w:p>
        </w:tc>
        <w:tc>
          <w:tcPr>
            <w:tcW w:w="1661"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Más del 70% de los gobiernos que recibieron asistencia informaron favorablemente por lo que respecta a la mejora de la eficacia y gobernanza de las instituciones relacionadas en el país después de la formación.</w:t>
            </w:r>
          </w:p>
        </w:tc>
        <w:tc>
          <w:tcPr>
            <w:tcW w:w="682" w:type="pct"/>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525604" w:rsidRPr="00A34388" w:rsidRDefault="00525604" w:rsidP="00525604">
      <w:pPr>
        <w:rPr>
          <w:rFonts w:cs="Arial"/>
          <w:b/>
          <w:sz w:val="22"/>
          <w:szCs w:val="22"/>
          <w:lang w:val="es-ES_tradnl"/>
        </w:rPr>
      </w:pPr>
    </w:p>
    <w:p w:rsidR="00525604" w:rsidRPr="00A34388" w:rsidRDefault="00525604" w:rsidP="00525604">
      <w:pPr>
        <w:rPr>
          <w:rFonts w:cs="Arial"/>
          <w:b/>
          <w:sz w:val="22"/>
          <w:szCs w:val="22"/>
          <w:lang w:val="es-ES_tradnl"/>
        </w:rPr>
      </w:pPr>
      <w:r w:rsidRPr="00A34388">
        <w:rPr>
          <w:lang w:val="es-ES_tradnl"/>
        </w:rPr>
        <w:br w:type="page"/>
      </w:r>
    </w:p>
    <w:p w:rsidR="00525604" w:rsidRPr="008018CA" w:rsidRDefault="00525604" w:rsidP="00525604">
      <w:pPr>
        <w:rPr>
          <w:rFonts w:cs="Arial"/>
          <w:color w:val="000000"/>
          <w:szCs w:val="20"/>
          <w:lang w:val="es-ES_tradnl"/>
        </w:rPr>
      </w:pPr>
    </w:p>
    <w:p w:rsidR="00525604" w:rsidRPr="00A34388" w:rsidRDefault="00525604" w:rsidP="00525604">
      <w:pPr>
        <w:keepNext/>
        <w:keepLines/>
        <w:rPr>
          <w:rFonts w:cs="Arial"/>
          <w:sz w:val="22"/>
          <w:szCs w:val="22"/>
          <w:lang w:val="es-ES_tradnl"/>
        </w:rPr>
      </w:pPr>
      <w:r w:rsidRPr="00332758">
        <w:rPr>
          <w:sz w:val="22"/>
          <w:lang w:val="es-ES_tradnl"/>
        </w:rPr>
        <w:t>PRESUPUESTO Y GASTOS REALES</w:t>
      </w:r>
    </w:p>
    <w:p w:rsidR="00525604" w:rsidRPr="00A34388" w:rsidRDefault="00525604" w:rsidP="00525604">
      <w:pPr>
        <w:pStyle w:val="NormalWeb"/>
        <w:spacing w:before="0" w:beforeAutospacing="0" w:after="0" w:afterAutospacing="0"/>
        <w:jc w:val="center"/>
        <w:rPr>
          <w:color w:val="000000"/>
          <w:sz w:val="20"/>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8018CA" w:rsidRDefault="00525604" w:rsidP="00525604">
      <w:pPr>
        <w:rPr>
          <w:rFonts w:cs="Arial"/>
          <w:szCs w:val="20"/>
          <w:lang w:val="es-ES_tradnl"/>
        </w:rPr>
      </w:pPr>
    </w:p>
    <w:tbl>
      <w:tblPr>
        <w:tblW w:w="0" w:type="auto"/>
        <w:tblInd w:w="103" w:type="dxa"/>
        <w:tblLayout w:type="fixed"/>
        <w:tblLook w:val="04A0" w:firstRow="1" w:lastRow="0" w:firstColumn="1" w:lastColumn="0" w:noHBand="0" w:noVBand="1"/>
      </w:tblPr>
      <w:tblGrid>
        <w:gridCol w:w="501"/>
        <w:gridCol w:w="4607"/>
        <w:gridCol w:w="1417"/>
        <w:gridCol w:w="1418"/>
        <w:gridCol w:w="1418"/>
      </w:tblGrid>
      <w:tr w:rsidR="00525604" w:rsidRPr="00A34388" w:rsidTr="00853209">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I.1</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3.364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5.621 </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5.179 </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I.3</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Decisión fundamentada sobre cuestiones de derecho de autor.</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2.754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2.405 </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2.687 </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I.4</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1.733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1.095</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938 </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III.2</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3.475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3.644</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3.683 </w:t>
            </w:r>
          </w:p>
        </w:tc>
      </w:tr>
      <w:tr w:rsidR="00525604" w:rsidRPr="00A34388" w:rsidTr="00853209">
        <w:tc>
          <w:tcPr>
            <w:tcW w:w="501"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IV.2</w:t>
            </w:r>
          </w:p>
        </w:tc>
        <w:tc>
          <w:tcPr>
            <w:tcW w:w="4607"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3.595 </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2.770 </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2.343 </w:t>
            </w:r>
          </w:p>
        </w:tc>
      </w:tr>
      <w:tr w:rsidR="00525604" w:rsidRPr="00A34388" w:rsidTr="00853209">
        <w:tc>
          <w:tcPr>
            <w:tcW w:w="501"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IV.5</w:t>
            </w:r>
          </w:p>
        </w:tc>
        <w:tc>
          <w:tcPr>
            <w:tcW w:w="4607"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417"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3.673 </w:t>
            </w:r>
          </w:p>
        </w:tc>
        <w:tc>
          <w:tcPr>
            <w:tcW w:w="1418"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4.165 </w:t>
            </w:r>
          </w:p>
        </w:tc>
        <w:tc>
          <w:tcPr>
            <w:tcW w:w="1418"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3.511 </w:t>
            </w:r>
          </w:p>
        </w:tc>
      </w:tr>
      <w:tr w:rsidR="00525604" w:rsidRPr="00A34388" w:rsidTr="00853209">
        <w:tc>
          <w:tcPr>
            <w:tcW w:w="501" w:type="dxa"/>
            <w:tcBorders>
              <w:top w:val="nil"/>
              <w:left w:val="single" w:sz="4" w:space="0" w:color="auto"/>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 </w:t>
            </w:r>
          </w:p>
        </w:tc>
        <w:tc>
          <w:tcPr>
            <w:tcW w:w="4607"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 xml:space="preserve">TOTAL  </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18.593</w:t>
            </w:r>
          </w:p>
        </w:tc>
        <w:tc>
          <w:tcPr>
            <w:tcW w:w="1418"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19.699</w:t>
            </w:r>
          </w:p>
        </w:tc>
        <w:tc>
          <w:tcPr>
            <w:tcW w:w="1418"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18.341</w:t>
            </w:r>
          </w:p>
        </w:tc>
      </w:tr>
    </w:tbl>
    <w:p w:rsidR="00525604" w:rsidRPr="008018CA" w:rsidRDefault="00525604" w:rsidP="008018CA">
      <w:pPr>
        <w:rPr>
          <w:rFonts w:cs="Arial"/>
          <w:szCs w:val="20"/>
          <w:lang w:val="es-ES_tradnl"/>
        </w:rPr>
      </w:pPr>
    </w:p>
    <w:p w:rsidR="00525604" w:rsidRPr="008018CA" w:rsidRDefault="00525604" w:rsidP="008018CA">
      <w:pPr>
        <w:rPr>
          <w:rFonts w:cs="Arial"/>
          <w:szCs w:val="20"/>
          <w:lang w:val="es-ES_tradnl"/>
        </w:rPr>
      </w:pPr>
    </w:p>
    <w:p w:rsidR="00525604" w:rsidRPr="00A34388" w:rsidRDefault="00525604" w:rsidP="008018CA">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8018CA">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8018CA">
      <w:pPr>
        <w:rPr>
          <w:rFonts w:cs="Arial"/>
          <w:szCs w:val="20"/>
          <w:lang w:val="es-ES_tradnl"/>
        </w:rPr>
      </w:pPr>
    </w:p>
    <w:tbl>
      <w:tblPr>
        <w:tblW w:w="9371" w:type="dxa"/>
        <w:tblInd w:w="93" w:type="dxa"/>
        <w:tblLook w:val="04A0" w:firstRow="1" w:lastRow="0" w:firstColumn="1" w:lastColumn="0" w:noHBand="0" w:noVBand="1"/>
      </w:tblPr>
      <w:tblGrid>
        <w:gridCol w:w="2283"/>
        <w:gridCol w:w="1772"/>
        <w:gridCol w:w="1772"/>
        <w:gridCol w:w="1772"/>
        <w:gridCol w:w="1772"/>
      </w:tblGrid>
      <w:tr w:rsidR="00525604" w:rsidRPr="00A34388" w:rsidTr="00853209">
        <w:trPr>
          <w:trHeight w:val="411"/>
        </w:trPr>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rPr>
                <w:rFonts w:cs="Arial"/>
                <w:color w:val="808080"/>
                <w:sz w:val="16"/>
                <w:szCs w:val="16"/>
                <w:lang w:val="es-ES_tradnl"/>
              </w:rPr>
            </w:pPr>
            <w:r w:rsidRPr="00332758">
              <w:rPr>
                <w:sz w:val="16"/>
                <w:lang w:val="es-ES_tradnl"/>
              </w:rPr>
              <w:t xml:space="preserve">Recursos de personal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10.866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10.811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10.811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sz w:val="16"/>
                <w:szCs w:val="16"/>
                <w:lang w:val="es-ES_tradnl"/>
              </w:rPr>
            </w:pPr>
            <w:r w:rsidRPr="00332758">
              <w:rPr>
                <w:sz w:val="16"/>
                <w:lang w:val="es-ES_tradnl"/>
              </w:rPr>
              <w:t>100%</w:t>
            </w:r>
          </w:p>
        </w:tc>
      </w:tr>
      <w:tr w:rsidR="00525604" w:rsidRPr="00A34388" w:rsidTr="0085320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rPr>
                <w:rFonts w:cs="Arial"/>
                <w:color w:val="808080"/>
                <w:sz w:val="16"/>
                <w:szCs w:val="16"/>
                <w:lang w:val="es-ES_tradnl"/>
              </w:rPr>
            </w:pPr>
            <w:r w:rsidRPr="00332758">
              <w:rPr>
                <w:sz w:val="16"/>
                <w:lang w:val="es-ES_tradnl"/>
              </w:rPr>
              <w:t xml:space="preserve">Recursos no relativos al personal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7.727</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8.888</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7.530</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sz w:val="16"/>
                <w:szCs w:val="16"/>
                <w:lang w:val="es-ES_tradnl"/>
              </w:rPr>
            </w:pPr>
            <w:r w:rsidRPr="00332758">
              <w:rPr>
                <w:sz w:val="16"/>
                <w:lang w:val="es-ES_tradnl"/>
              </w:rPr>
              <w:t>85%</w:t>
            </w:r>
          </w:p>
        </w:tc>
      </w:tr>
      <w:tr w:rsidR="00525604" w:rsidRPr="00A34388" w:rsidTr="0085320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jc w:val="right"/>
              <w:rPr>
                <w:rFonts w:cs="Arial"/>
                <w:b/>
                <w:bCs/>
                <w:color w:val="808080"/>
                <w:sz w:val="16"/>
                <w:szCs w:val="16"/>
                <w:lang w:val="es-ES_tradnl"/>
              </w:rPr>
            </w:pPr>
            <w:r w:rsidRPr="00332758">
              <w:rPr>
                <w:b/>
                <w:sz w:val="16"/>
                <w:lang w:val="es-ES_tradnl"/>
              </w:rPr>
              <w:t xml:space="preserve"> TOTAL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18.593</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19.699</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18.341</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b/>
                <w:bCs/>
                <w:sz w:val="16"/>
                <w:szCs w:val="16"/>
                <w:lang w:val="es-ES_tradnl"/>
              </w:rPr>
            </w:pPr>
            <w:r w:rsidRPr="00332758">
              <w:rPr>
                <w:b/>
                <w:sz w:val="16"/>
                <w:lang w:val="es-ES_tradnl"/>
              </w:rPr>
              <w:t>93%</w:t>
            </w:r>
          </w:p>
        </w:tc>
      </w:tr>
    </w:tbl>
    <w:p w:rsidR="00525604" w:rsidRPr="00A34388" w:rsidRDefault="00525604" w:rsidP="008018CA">
      <w:pPr>
        <w:rPr>
          <w:rFonts w:cs="Arial"/>
          <w:sz w:val="22"/>
          <w:szCs w:val="22"/>
          <w:lang w:val="es-ES_tradnl"/>
        </w:rPr>
      </w:pPr>
    </w:p>
    <w:p w:rsidR="00525604" w:rsidRPr="00A34388" w:rsidRDefault="00525604" w:rsidP="008018CA">
      <w:pPr>
        <w:autoSpaceDE w:val="0"/>
        <w:autoSpaceDN w:val="0"/>
        <w:rPr>
          <w:sz w:val="16"/>
          <w:szCs w:val="16"/>
          <w:lang w:val="es-ES_tradnl"/>
        </w:rPr>
      </w:pPr>
      <w:r w:rsidRPr="00332758">
        <w:rPr>
          <w:sz w:val="16"/>
          <w:lang w:val="es-ES_tradnl"/>
        </w:rPr>
        <w:t>NOTAS:</w:t>
      </w:r>
    </w:p>
    <w:p w:rsidR="00525604" w:rsidRPr="00A34388" w:rsidRDefault="00525604" w:rsidP="008018CA">
      <w:pPr>
        <w:autoSpaceDE w:val="0"/>
        <w:autoSpaceDN w:val="0"/>
        <w:rPr>
          <w:sz w:val="16"/>
          <w:szCs w:val="16"/>
          <w:lang w:val="es-ES_tradnl"/>
        </w:rPr>
      </w:pPr>
    </w:p>
    <w:p w:rsidR="00525604" w:rsidRPr="00A34388" w:rsidRDefault="00525604" w:rsidP="008018CA">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8018CA">
      <w:pPr>
        <w:autoSpaceDE w:val="0"/>
        <w:autoSpaceDN w:val="0"/>
        <w:rPr>
          <w:sz w:val="16"/>
          <w:szCs w:val="16"/>
          <w:lang w:val="es-ES_tradnl"/>
        </w:rPr>
      </w:pPr>
    </w:p>
    <w:p w:rsidR="009D3374" w:rsidRPr="00A34388" w:rsidRDefault="00525604" w:rsidP="008018CA">
      <w:pPr>
        <w:autoSpaceDE w:val="0"/>
        <w:autoSpaceDN w:val="0"/>
        <w:jc w:val="both"/>
        <w:rPr>
          <w:sz w:val="16"/>
          <w:lang w:val="es-ES_tradnl"/>
        </w:rPr>
      </w:pPr>
      <w:r w:rsidRPr="00A34388">
        <w:rPr>
          <w:sz w:val="16"/>
          <w:lang w:val="es-ES_tradnl"/>
        </w:rPr>
        <w:t>2) </w:t>
      </w:r>
      <w:r w:rsidR="009D3374" w:rsidRPr="00A34388">
        <w:rPr>
          <w:sz w:val="16"/>
          <w:lang w:val="es-ES_tradnl"/>
        </w:rPr>
        <w:t xml:space="preserve"> </w:t>
      </w:r>
      <w:r w:rsidRPr="00A34388">
        <w:rPr>
          <w:sz w:val="16"/>
          <w:lang w:val="es-ES_tradnl"/>
        </w:rPr>
        <w:t xml:space="preserve"> </w:t>
      </w:r>
      <w:r w:rsidR="009D3374" w:rsidRPr="00A34388">
        <w:rPr>
          <w:sz w:val="16"/>
          <w:lang w:val="es-ES_tradnl"/>
        </w:rPr>
        <w:t xml:space="preserve">La asignación para el personal del presupuesto de 2012/13 después de las transferencias representa los gastos reales efectuados en el bienio. </w:t>
      </w:r>
    </w:p>
    <w:p w:rsidR="00525604" w:rsidRPr="008018CA" w:rsidRDefault="00525604" w:rsidP="008018CA">
      <w:pPr>
        <w:rPr>
          <w:rFonts w:eastAsia="SimSun" w:cs="Arial"/>
          <w:szCs w:val="20"/>
          <w:lang w:val="es-ES_tradnl"/>
        </w:rPr>
      </w:pPr>
    </w:p>
    <w:p w:rsidR="00525604" w:rsidRPr="008018CA" w:rsidRDefault="00525604" w:rsidP="008018CA">
      <w:pPr>
        <w:rPr>
          <w:rFonts w:eastAsia="SimSun" w:cs="Arial"/>
          <w:szCs w:val="20"/>
          <w:lang w:val="es-ES_tradnl"/>
        </w:rPr>
      </w:pPr>
    </w:p>
    <w:p w:rsidR="00525604" w:rsidRPr="00A34388" w:rsidRDefault="00525604" w:rsidP="00525604">
      <w:pPr>
        <w:rPr>
          <w:rFonts w:eastAsia="SimSun" w:cs="Arial"/>
          <w:szCs w:val="20"/>
          <w:lang w:val="es-ES_tradnl"/>
        </w:rPr>
      </w:pPr>
      <w:r w:rsidRPr="00A34388">
        <w:rPr>
          <w:lang w:val="es-ES_tradnl"/>
        </w:rPr>
        <w:br w:type="page"/>
      </w:r>
    </w:p>
    <w:p w:rsidR="00525604" w:rsidRPr="00332758" w:rsidRDefault="00525604" w:rsidP="00525604">
      <w:pPr>
        <w:tabs>
          <w:tab w:val="left" w:pos="709"/>
        </w:tabs>
        <w:rPr>
          <w:rFonts w:eastAsia="SimSun" w:cs="Arial"/>
          <w:szCs w:val="20"/>
          <w:u w:val="single"/>
          <w:lang w:val="es-ES_tradnl"/>
        </w:rPr>
      </w:pPr>
      <w:r w:rsidRPr="00332758">
        <w:rPr>
          <w:lang w:val="es-ES_tradnl"/>
        </w:rPr>
        <w:lastRenderedPageBreak/>
        <w:t>A.</w:t>
      </w:r>
      <w:r w:rsidRPr="00A34388">
        <w:rPr>
          <w:lang w:val="es-ES_tradnl"/>
        </w:rPr>
        <w:tab/>
      </w:r>
      <w:r w:rsidRPr="00332758">
        <w:rPr>
          <w:u w:val="single"/>
          <w:lang w:val="es-ES_tradnl"/>
        </w:rPr>
        <w:t>Presupuesto 2012/13 después de las transferencias</w:t>
      </w:r>
    </w:p>
    <w:p w:rsidR="00525604" w:rsidRPr="00A34388" w:rsidRDefault="00525604" w:rsidP="00525604">
      <w:pPr>
        <w:tabs>
          <w:tab w:val="left" w:pos="709"/>
        </w:tabs>
        <w:rPr>
          <w:rFonts w:eastAsia="SimSun" w:cs="Arial"/>
          <w:szCs w:val="20"/>
          <w:u w:val="single"/>
          <w:lang w:val="es-ES_tradnl"/>
        </w:rPr>
      </w:pPr>
    </w:p>
    <w:p w:rsidR="00525604" w:rsidRPr="00A34388" w:rsidRDefault="00525604" w:rsidP="00525604">
      <w:pPr>
        <w:tabs>
          <w:tab w:val="left" w:pos="709"/>
        </w:tabs>
        <w:jc w:val="both"/>
        <w:rPr>
          <w:rFonts w:eastAsia="SimSun" w:cs="Arial"/>
          <w:szCs w:val="20"/>
          <w:lang w:val="es-ES_tradnl"/>
        </w:rPr>
      </w:pPr>
      <w:r w:rsidRPr="00A34388">
        <w:rPr>
          <w:lang w:val="es-ES_tradnl"/>
        </w:rPr>
        <w:t>3.20.</w:t>
      </w:r>
      <w:r w:rsidRPr="00A34388">
        <w:rPr>
          <w:lang w:val="es-ES_tradnl"/>
        </w:rPr>
        <w:tab/>
        <w:t xml:space="preserve">El incremento neto de los recursos asignados al programa se debió a la asignación de unos 1,8 millones de francos suizos para la celebración de las conferencias diplomáticas de Beijing en 2012 y Marrakech en 2013, tal como se refleja </w:t>
      </w:r>
      <w:r w:rsidR="009D3374" w:rsidRPr="00A34388">
        <w:rPr>
          <w:lang w:val="es-ES_tradnl"/>
        </w:rPr>
        <w:t xml:space="preserve">en </w:t>
      </w:r>
      <w:r w:rsidRPr="00A34388">
        <w:rPr>
          <w:lang w:val="es-ES_tradnl"/>
        </w:rPr>
        <w:t xml:space="preserve">el resultado I.1 (Elaboración de marcos normativos internacionales equilibrados para la P.I.). </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525604">
      <w:pPr>
        <w:tabs>
          <w:tab w:val="left" w:pos="709"/>
        </w:tabs>
        <w:jc w:val="both"/>
        <w:rPr>
          <w:rFonts w:eastAsia="SimSun" w:cs="Arial"/>
          <w:szCs w:val="20"/>
          <w:lang w:val="es-ES_tradnl"/>
        </w:rPr>
      </w:pPr>
      <w:r w:rsidRPr="00A34388">
        <w:rPr>
          <w:lang w:val="es-ES_tradnl"/>
        </w:rPr>
        <w:t>3.21.</w:t>
      </w:r>
      <w:r w:rsidRPr="00A34388">
        <w:rPr>
          <w:lang w:val="es-ES_tradnl"/>
        </w:rPr>
        <w:tab/>
        <w:t xml:space="preserve">La reducción neta de aproximadamente un millón de francos suizos </w:t>
      </w:r>
      <w:r w:rsidR="007D5C8A" w:rsidRPr="00A34388">
        <w:rPr>
          <w:lang w:val="es-ES_tradnl"/>
        </w:rPr>
        <w:t xml:space="preserve">sufrida por el </w:t>
      </w:r>
      <w:r w:rsidR="002D0B71" w:rsidRPr="00A34388">
        <w:rPr>
          <w:lang w:val="es-ES_tradnl"/>
        </w:rPr>
        <w:t xml:space="preserve">resto de </w:t>
      </w:r>
      <w:r w:rsidRPr="00A34388">
        <w:rPr>
          <w:lang w:val="es-ES_tradnl"/>
        </w:rPr>
        <w:t xml:space="preserve">resultados se debió fundamentalmente a:  i) ajustes a la baja de los recursos no relativos al personal efectuados para aumentar la eficacia en función de los costos, de conformidad con el compromiso de la Organización de reducir los gastos en 10,2 millones de francos suizos en el bienio 2012/2013;  y ii) </w:t>
      </w:r>
      <w:r w:rsidR="00AC4651" w:rsidRPr="00A34388">
        <w:rPr>
          <w:lang w:val="es-ES_tradnl"/>
        </w:rPr>
        <w:t xml:space="preserve">la </w:t>
      </w:r>
      <w:r w:rsidRPr="00A34388">
        <w:rPr>
          <w:lang w:val="es-ES_tradnl"/>
        </w:rPr>
        <w:t xml:space="preserve">redistribución de los recursos de personal asignados a la ejecución de </w:t>
      </w:r>
      <w:r w:rsidR="00AC4651" w:rsidRPr="00A34388">
        <w:rPr>
          <w:lang w:val="es-ES_tradnl"/>
        </w:rPr>
        <w:t xml:space="preserve">las </w:t>
      </w:r>
      <w:r w:rsidRPr="00A34388">
        <w:rPr>
          <w:lang w:val="es-ES_tradnl"/>
        </w:rPr>
        <w:t xml:space="preserve">actividades </w:t>
      </w:r>
      <w:r w:rsidR="00AC4651" w:rsidRPr="00A34388">
        <w:rPr>
          <w:lang w:val="es-ES_tradnl"/>
        </w:rPr>
        <w:t xml:space="preserve">reflejadas </w:t>
      </w:r>
      <w:r w:rsidRPr="00A34388">
        <w:rPr>
          <w:lang w:val="es-ES_tradnl"/>
        </w:rPr>
        <w:t xml:space="preserve">en </w:t>
      </w:r>
      <w:r w:rsidR="00AC4651" w:rsidRPr="00A34388">
        <w:rPr>
          <w:lang w:val="es-ES_tradnl"/>
        </w:rPr>
        <w:t xml:space="preserve">los </w:t>
      </w:r>
      <w:r w:rsidRPr="00A34388">
        <w:rPr>
          <w:lang w:val="es-ES_tradnl"/>
        </w:rPr>
        <w:t xml:space="preserve">distintos resultados. </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8018CA">
      <w:pPr>
        <w:tabs>
          <w:tab w:val="left" w:pos="709"/>
        </w:tabs>
        <w:jc w:val="both"/>
        <w:rPr>
          <w:rFonts w:eastAsia="Batang"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8018CA">
      <w:pPr>
        <w:tabs>
          <w:tab w:val="left" w:pos="709"/>
        </w:tabs>
        <w:jc w:val="both"/>
        <w:rPr>
          <w:rFonts w:eastAsia="Batang" w:cs="Arial"/>
          <w:szCs w:val="20"/>
          <w:lang w:val="es-ES_tradnl"/>
        </w:rPr>
      </w:pPr>
    </w:p>
    <w:p w:rsidR="00525604" w:rsidRPr="00A34388" w:rsidRDefault="00525604" w:rsidP="000557C0">
      <w:pPr>
        <w:tabs>
          <w:tab w:val="left" w:pos="709"/>
        </w:tabs>
        <w:jc w:val="both"/>
        <w:rPr>
          <w:rFonts w:cs="Arial"/>
          <w:szCs w:val="20"/>
          <w:lang w:val="es-ES_tradnl"/>
        </w:rPr>
      </w:pPr>
      <w:r w:rsidRPr="00A34388">
        <w:rPr>
          <w:lang w:val="es-ES_tradnl"/>
        </w:rPr>
        <w:t>3.22.</w:t>
      </w:r>
      <w:r w:rsidRPr="00A34388">
        <w:rPr>
          <w:lang w:val="es-ES_tradnl"/>
        </w:rPr>
        <w:tab/>
        <w:t xml:space="preserve">El índice de utilización </w:t>
      </w:r>
      <w:r w:rsidR="00AC4651" w:rsidRPr="00A34388">
        <w:rPr>
          <w:lang w:val="es-ES_tradnl"/>
        </w:rPr>
        <w:t xml:space="preserve">a cargo del </w:t>
      </w:r>
      <w:r w:rsidR="00041E08" w:rsidRPr="00A34388">
        <w:rPr>
          <w:lang w:val="es-ES_tradnl"/>
        </w:rPr>
        <w:t xml:space="preserve">programa </w:t>
      </w:r>
      <w:r w:rsidRPr="00A34388">
        <w:rPr>
          <w:lang w:val="es-ES_tradnl"/>
        </w:rPr>
        <w:t xml:space="preserve">del presupuesto no relativo al personal </w:t>
      </w:r>
      <w:r w:rsidR="00041E08" w:rsidRPr="00A34388">
        <w:rPr>
          <w:lang w:val="es-ES_tradnl"/>
        </w:rPr>
        <w:t xml:space="preserve">fue </w:t>
      </w:r>
      <w:r w:rsidRPr="00A34388">
        <w:rPr>
          <w:lang w:val="es-ES_tradnl"/>
        </w:rPr>
        <w:t xml:space="preserve">del 85% del presupuesto después de las transferencias.  </w:t>
      </w:r>
      <w:r w:rsidR="00041E08" w:rsidRPr="00A34388">
        <w:rPr>
          <w:lang w:val="es-ES_tradnl"/>
        </w:rPr>
        <w:t xml:space="preserve">Esta infrautilización </w:t>
      </w:r>
      <w:r w:rsidRPr="00A34388">
        <w:rPr>
          <w:lang w:val="es-ES_tradnl"/>
        </w:rPr>
        <w:t xml:space="preserve">de los recursos no relativos al personal se debió principalmente a: </w:t>
      </w:r>
    </w:p>
    <w:p w:rsidR="00525604" w:rsidRPr="00A34388" w:rsidRDefault="00525604" w:rsidP="008018CA">
      <w:pPr>
        <w:tabs>
          <w:tab w:val="left" w:pos="709"/>
        </w:tabs>
        <w:jc w:val="both"/>
        <w:rPr>
          <w:rFonts w:cs="Arial"/>
          <w:szCs w:val="20"/>
          <w:lang w:val="es-ES_tradnl"/>
        </w:rPr>
      </w:pPr>
    </w:p>
    <w:p w:rsidR="00525604" w:rsidRPr="00A34388" w:rsidRDefault="00525604" w:rsidP="000557C0">
      <w:pPr>
        <w:pStyle w:val="ListParagraph"/>
        <w:numPr>
          <w:ilvl w:val="0"/>
          <w:numId w:val="6"/>
        </w:numPr>
        <w:tabs>
          <w:tab w:val="left" w:pos="709"/>
        </w:tabs>
        <w:ind w:left="1134" w:hanging="425"/>
        <w:jc w:val="both"/>
        <w:rPr>
          <w:rFonts w:cs="Arial"/>
          <w:lang w:val="es-ES_tradnl"/>
        </w:rPr>
      </w:pPr>
      <w:r w:rsidRPr="00A34388">
        <w:rPr>
          <w:lang w:val="es-ES_tradnl"/>
        </w:rPr>
        <w:t xml:space="preserve">ahorros de costos como resultado de la </w:t>
      </w:r>
      <w:r w:rsidR="007D5C8A" w:rsidRPr="00A34388">
        <w:rPr>
          <w:lang w:val="es-ES_tradnl"/>
        </w:rPr>
        <w:t xml:space="preserve">mancomunación </w:t>
      </w:r>
      <w:r w:rsidRPr="00A34388">
        <w:rPr>
          <w:lang w:val="es-ES_tradnl"/>
        </w:rPr>
        <w:t xml:space="preserve">de recursos </w:t>
      </w:r>
      <w:r w:rsidR="007D5C8A" w:rsidRPr="00A34388">
        <w:rPr>
          <w:lang w:val="es-ES_tradnl"/>
        </w:rPr>
        <w:t xml:space="preserve">dentro del </w:t>
      </w:r>
      <w:r w:rsidRPr="00A34388">
        <w:rPr>
          <w:lang w:val="es-ES_tradnl"/>
        </w:rPr>
        <w:t>sector</w:t>
      </w:r>
      <w:r w:rsidR="007D5C8A" w:rsidRPr="00A34388">
        <w:rPr>
          <w:lang w:val="es-ES_tradnl"/>
        </w:rPr>
        <w:t xml:space="preserve"> y con </w:t>
      </w:r>
      <w:r w:rsidRPr="00A34388">
        <w:rPr>
          <w:lang w:val="es-ES_tradnl"/>
        </w:rPr>
        <w:t xml:space="preserve">divisiones ajenas a </w:t>
      </w:r>
      <w:r w:rsidR="007D5C8A" w:rsidRPr="00A34388">
        <w:rPr>
          <w:lang w:val="es-ES_tradnl"/>
        </w:rPr>
        <w:t xml:space="preserve">éste </w:t>
      </w:r>
      <w:r w:rsidRPr="00A34388">
        <w:rPr>
          <w:lang w:val="es-ES_tradnl"/>
        </w:rPr>
        <w:t>por lo que respecta al suministro de asistencia técnica;</w:t>
      </w:r>
    </w:p>
    <w:p w:rsidR="00525604" w:rsidRPr="008018CA" w:rsidRDefault="00525604" w:rsidP="008018CA">
      <w:pPr>
        <w:tabs>
          <w:tab w:val="left" w:pos="709"/>
        </w:tabs>
        <w:jc w:val="both"/>
        <w:rPr>
          <w:rFonts w:cs="Arial"/>
          <w:lang w:val="es-ES_tradnl"/>
        </w:rPr>
      </w:pPr>
    </w:p>
    <w:p w:rsidR="00525604" w:rsidRPr="00A34388" w:rsidRDefault="009D3374" w:rsidP="000557C0">
      <w:pPr>
        <w:numPr>
          <w:ilvl w:val="0"/>
          <w:numId w:val="5"/>
        </w:numPr>
        <w:tabs>
          <w:tab w:val="left" w:pos="709"/>
        </w:tabs>
        <w:ind w:left="1134" w:hanging="425"/>
        <w:jc w:val="both"/>
        <w:rPr>
          <w:rFonts w:cs="Arial"/>
          <w:szCs w:val="20"/>
          <w:lang w:val="es-ES_tradnl"/>
        </w:rPr>
      </w:pPr>
      <w:r w:rsidRPr="00A34388">
        <w:rPr>
          <w:lang w:val="es-ES_tradnl"/>
        </w:rPr>
        <w:t xml:space="preserve">significativos </w:t>
      </w:r>
      <w:r w:rsidR="00525604" w:rsidRPr="00A34388">
        <w:rPr>
          <w:lang w:val="es-ES_tradnl"/>
        </w:rPr>
        <w:t xml:space="preserve">ahorros de costos respecto de </w:t>
      </w:r>
      <w:r w:rsidR="007D5C8A" w:rsidRPr="00A34388">
        <w:rPr>
          <w:lang w:val="es-ES_tradnl"/>
        </w:rPr>
        <w:t xml:space="preserve">los </w:t>
      </w:r>
      <w:r w:rsidR="00284400" w:rsidRPr="00A34388">
        <w:rPr>
          <w:lang w:val="es-ES_tradnl"/>
        </w:rPr>
        <w:t>inicialmente</w:t>
      </w:r>
      <w:r w:rsidR="007D5C8A" w:rsidRPr="00A34388">
        <w:rPr>
          <w:lang w:val="es-ES_tradnl"/>
        </w:rPr>
        <w:t xml:space="preserve"> estimados </w:t>
      </w:r>
      <w:r w:rsidRPr="00A34388">
        <w:rPr>
          <w:lang w:val="es-ES_tradnl"/>
        </w:rPr>
        <w:t xml:space="preserve">en relación con </w:t>
      </w:r>
      <w:r w:rsidR="00525604" w:rsidRPr="00A34388">
        <w:rPr>
          <w:lang w:val="es-ES_tradnl"/>
        </w:rPr>
        <w:t>la organización de las dos conferencias diplomáticas.</w:t>
      </w:r>
    </w:p>
    <w:p w:rsidR="00525604" w:rsidRPr="008018CA" w:rsidRDefault="00525604" w:rsidP="008018CA">
      <w:pPr>
        <w:rPr>
          <w:rFonts w:cs="Arial"/>
          <w:szCs w:val="20"/>
          <w:lang w:val="es-ES_tradnl"/>
        </w:rPr>
      </w:pPr>
    </w:p>
    <w:p w:rsidR="00525604" w:rsidRPr="00A34388" w:rsidRDefault="00525604" w:rsidP="00525604">
      <w:pPr>
        <w:rPr>
          <w:szCs w:val="20"/>
          <w:lang w:val="es-ES_tradnl"/>
        </w:rPr>
      </w:pPr>
      <w:r w:rsidRPr="00A34388">
        <w:rPr>
          <w:lang w:val="es-ES_tradnl"/>
        </w:rPr>
        <w:br w:type="page"/>
      </w:r>
    </w:p>
    <w:p w:rsidR="00391D6B" w:rsidRPr="003934C8" w:rsidRDefault="00391D6B" w:rsidP="00391D6B">
      <w:pPr>
        <w:pStyle w:val="Heading3"/>
        <w:rPr>
          <w:rFonts w:hint="eastAsia"/>
          <w:lang w:val="es-ES"/>
        </w:rPr>
      </w:pPr>
      <w:bookmarkStart w:id="29" w:name="_Toc395279655"/>
      <w:r w:rsidRPr="003934C8">
        <w:rPr>
          <w:lang w:val="es-ES"/>
        </w:rPr>
        <w:lastRenderedPageBreak/>
        <w:t>Programa 4</w:t>
      </w:r>
      <w:r w:rsidRPr="003934C8">
        <w:rPr>
          <w:lang w:val="es-ES"/>
        </w:rPr>
        <w:tab/>
        <w:t>Conocimientos tradicionales, expresiones culturales tradicionales y recursos genéticos</w:t>
      </w:r>
      <w:bookmarkEnd w:id="29"/>
    </w:p>
    <w:p w:rsidR="00391D6B" w:rsidRPr="00332758" w:rsidRDefault="00391D6B" w:rsidP="00391D6B">
      <w:pPr>
        <w:rPr>
          <w:rFonts w:cs="Arial"/>
          <w:sz w:val="22"/>
          <w:szCs w:val="22"/>
          <w:lang w:val="es-ES_tradnl"/>
        </w:rPr>
      </w:pPr>
    </w:p>
    <w:p w:rsidR="00391D6B" w:rsidRPr="00332758" w:rsidRDefault="00391D6B" w:rsidP="00391D6B">
      <w:pPr>
        <w:tabs>
          <w:tab w:val="left" w:pos="2694"/>
        </w:tabs>
        <w:rPr>
          <w:rFonts w:cs="Arial"/>
          <w:b/>
          <w:sz w:val="22"/>
          <w:szCs w:val="22"/>
          <w:lang w:val="es-ES_tradnl"/>
        </w:rPr>
      </w:pPr>
      <w:r w:rsidRPr="00332758">
        <w:rPr>
          <w:b/>
          <w:sz w:val="22"/>
          <w:lang w:val="es-ES_tradnl"/>
        </w:rPr>
        <w:t>Director de Programa</w:t>
      </w:r>
      <w:r w:rsidRPr="00A34388">
        <w:rPr>
          <w:lang w:val="es-ES_tradnl"/>
        </w:rPr>
        <w:tab/>
      </w:r>
      <w:r w:rsidRPr="00332758">
        <w:rPr>
          <w:b/>
          <w:sz w:val="22"/>
          <w:lang w:val="es-ES_tradnl"/>
        </w:rPr>
        <w:t xml:space="preserve">Sr. J. C. </w:t>
      </w:r>
      <w:proofErr w:type="spellStart"/>
      <w:r w:rsidRPr="00332758">
        <w:rPr>
          <w:b/>
          <w:sz w:val="22"/>
          <w:lang w:val="es-ES_tradnl"/>
        </w:rPr>
        <w:t>Wichard</w:t>
      </w:r>
      <w:proofErr w:type="spellEnd"/>
    </w:p>
    <w:p w:rsidR="00525604" w:rsidRPr="008018CA" w:rsidRDefault="00525604" w:rsidP="00525604">
      <w:pPr>
        <w:rPr>
          <w:sz w:val="22"/>
          <w:szCs w:val="22"/>
          <w:lang w:val="es-ES_tradnl"/>
        </w:rPr>
      </w:pPr>
    </w:p>
    <w:p w:rsidR="00525604" w:rsidRPr="00A34388" w:rsidRDefault="00525604" w:rsidP="00525604">
      <w:pPr>
        <w:rPr>
          <w:bCs/>
          <w:sz w:val="22"/>
          <w:szCs w:val="22"/>
          <w:lang w:val="es-ES_tradnl"/>
        </w:rPr>
      </w:pPr>
    </w:p>
    <w:p w:rsidR="00525604" w:rsidRPr="00A34388" w:rsidRDefault="003E3F45" w:rsidP="00525604">
      <w:pPr>
        <w:rPr>
          <w:bCs/>
          <w:sz w:val="22"/>
          <w:szCs w:val="22"/>
          <w:lang w:val="es-ES_tradnl"/>
        </w:rPr>
      </w:pPr>
      <w:r>
        <w:rPr>
          <w:sz w:val="22"/>
          <w:lang w:val="es-ES_tradnl"/>
        </w:rPr>
        <w:t>AVANCES LOGRADOS EN EL BIENIO 2012/13</w:t>
      </w:r>
    </w:p>
    <w:p w:rsidR="00525604" w:rsidRPr="00A34388" w:rsidRDefault="00525604" w:rsidP="00525604">
      <w:pPr>
        <w:rPr>
          <w:lang w:val="es-ES_tradnl"/>
        </w:rPr>
      </w:pPr>
    </w:p>
    <w:p w:rsidR="008C3076" w:rsidRPr="00A34388" w:rsidRDefault="008C3076" w:rsidP="00525604">
      <w:pPr>
        <w:pStyle w:val="ListParagraph"/>
        <w:numPr>
          <w:ilvl w:val="1"/>
          <w:numId w:val="9"/>
        </w:numPr>
        <w:tabs>
          <w:tab w:val="left" w:pos="709"/>
        </w:tabs>
        <w:ind w:left="0" w:firstLine="0"/>
        <w:jc w:val="both"/>
        <w:rPr>
          <w:lang w:val="es-ES_tradnl"/>
        </w:rPr>
      </w:pPr>
      <w:r w:rsidRPr="00332758">
        <w:rPr>
          <w:lang w:val="es-ES_tradnl"/>
        </w:rPr>
        <w:t xml:space="preserve">Durante el </w:t>
      </w:r>
      <w:r w:rsidR="00536E54" w:rsidRPr="00332758">
        <w:rPr>
          <w:lang w:val="es-ES_tradnl"/>
        </w:rPr>
        <w:t>bienio</w:t>
      </w:r>
      <w:r w:rsidRPr="00332758">
        <w:rPr>
          <w:lang w:val="es-ES_tradnl"/>
        </w:rPr>
        <w:t xml:space="preserve"> objeto de examen las negociaciones del Comité Intergubernamental sobre Propiedad Intelectual y Recursos Genéticos, Conocimientos Tradicionales y Folclore (CIG) de la OMPI avanzaron con paso firme.  </w:t>
      </w:r>
      <w:r w:rsidRPr="00A34388">
        <w:rPr>
          <w:lang w:val="es-ES_tradnl"/>
        </w:rPr>
        <w:t>El CIG se reunió en seis ocasiones (</w:t>
      </w:r>
      <w:proofErr w:type="gramStart"/>
      <w:r w:rsidRPr="00A34388">
        <w:rPr>
          <w:lang w:val="es-ES_tradnl"/>
        </w:rPr>
        <w:t>sesiones vigésima</w:t>
      </w:r>
      <w:proofErr w:type="gramEnd"/>
      <w:r w:rsidRPr="00A34388">
        <w:rPr>
          <w:lang w:val="es-ES_tradnl"/>
        </w:rPr>
        <w:t xml:space="preserve"> a vigésima quinta).  El Comité estableció un programa de trabajo claramente definido y métodos de trabajo sólidos.  Tras su sexta sesión del bienio (la 25ª), el CIG consiguió mejorar los textos de negociación únicos y consolidados sobre cada uno de los tres temas del CIG (es decir, los recursos genéticos (RR.GG.), los conocimientos tradicionales (CC.TT.) y las expresiones culturales tradicionales (ECT)).  Las reuniones entre sesiones organizadas por los Estados miembros y celebradas fuera de Ginebra reforzaron este proceso.  La Asamblea General de la OMPI celebrada en octubre de 2013 acordó un mandato renovado para el CIG para 2014/15 y un programa de trabajo para 2014.  El CIG es un proceso orientado hacia los Estados miembros y la función de la Secretaría consiste en desempeñar un papel receptivo, de apoyo y facilitar el trabajo, y hacerlo además con profesionalidad, eficacia y neutralidad.  Una evaluación llevada a cabo por la División de la OMPI de Auditoría y Supervisión Internas en 2013 detectó un elevado índice de satisfacción entre los participantes en el CIG por lo que respecta a los servicios que la Secretaría presta a este Comité.   </w:t>
      </w:r>
    </w:p>
    <w:p w:rsidR="008C3076" w:rsidRPr="00332758" w:rsidRDefault="008C3076" w:rsidP="008C3076">
      <w:pPr>
        <w:pStyle w:val="ListParagraph"/>
        <w:tabs>
          <w:tab w:val="left" w:pos="709"/>
        </w:tabs>
        <w:ind w:left="0"/>
        <w:jc w:val="both"/>
        <w:rPr>
          <w:lang w:val="es-ES_tradnl"/>
        </w:rPr>
      </w:pPr>
    </w:p>
    <w:p w:rsidR="00525604" w:rsidRPr="00A34388" w:rsidRDefault="00525604" w:rsidP="00525604">
      <w:pPr>
        <w:pStyle w:val="ListParagraph"/>
        <w:numPr>
          <w:ilvl w:val="0"/>
          <w:numId w:val="9"/>
        </w:numPr>
        <w:tabs>
          <w:tab w:val="left" w:pos="709"/>
        </w:tabs>
        <w:ind w:left="0" w:firstLine="0"/>
        <w:jc w:val="both"/>
        <w:rPr>
          <w:rFonts w:cs="Arial"/>
          <w:lang w:val="es-ES_tradnl"/>
        </w:rPr>
      </w:pPr>
      <w:r w:rsidRPr="00A34388">
        <w:rPr>
          <w:lang w:val="es-ES_tradnl"/>
        </w:rPr>
        <w:t xml:space="preserve">En 2012/13, la Secretaría continuó reforzando la divulgación de las actividades de la OMPI entre los pueblos indígenas y las comunidades locales con vistas a facilitar su participación efectiva en el proceso del CIG, a través de la organización de un taller de expertos de las comunidades indígenas de la OMPI antes de la vigésima cuarta sesión del CIG y un cursillo práctico para pueblos indígenas a finales de 2013.  El Comité debatió y respaldó propuestas para intensificar la contribución positiva de los observadores al proceso del CIG.  La Secretaría creó un portal de las comunidades indígenas en el sitio web de la OMPI y designó un becario de la OMPI en cuestiones indígenas para 2012 y 2013.  Además, consolidó su buena relación de trabajo con el Foro Permanente de las Naciones Unidas para las Cuestiones Indígenas.  Sin embargo, a pesar de las iniciativas de movilización de fondos de la Secretaría de la OMPI y de dos contribuciones valiosas para los fines de la vigésima quinta sesión del CIG, los recursos del Fondo de la OMPI de Contribuciones Voluntarias para las Comunidades Indígenas y Locales Acreditadas continuaron descendiendo y para finales del bienio el Fondo se había quedado prácticamente sin recursos. </w:t>
      </w:r>
    </w:p>
    <w:p w:rsidR="00525604" w:rsidRPr="00A34388" w:rsidRDefault="00525604" w:rsidP="00525604">
      <w:pPr>
        <w:tabs>
          <w:tab w:val="left" w:pos="709"/>
        </w:tabs>
        <w:jc w:val="both"/>
        <w:rPr>
          <w:rFonts w:cs="Arial"/>
          <w:lang w:val="es-ES_tradnl"/>
        </w:rPr>
      </w:pPr>
    </w:p>
    <w:p w:rsidR="00525604" w:rsidRPr="008018CA" w:rsidRDefault="00525604" w:rsidP="00525604">
      <w:pPr>
        <w:pStyle w:val="ListParagraph"/>
        <w:numPr>
          <w:ilvl w:val="0"/>
          <w:numId w:val="9"/>
        </w:numPr>
        <w:tabs>
          <w:tab w:val="left" w:pos="709"/>
        </w:tabs>
        <w:ind w:left="0" w:firstLine="0"/>
        <w:jc w:val="both"/>
        <w:rPr>
          <w:rFonts w:cs="Arial"/>
          <w:lang w:val="es-ES_tradnl"/>
        </w:rPr>
      </w:pPr>
      <w:r w:rsidRPr="00A34388">
        <w:rPr>
          <w:lang w:val="es-ES_tradnl"/>
        </w:rPr>
        <w:t xml:space="preserve">El programa 4 también tenía por objeto </w:t>
      </w:r>
      <w:r w:rsidR="007D5C8A" w:rsidRPr="00A34388">
        <w:rPr>
          <w:lang w:val="es-ES_tradnl"/>
        </w:rPr>
        <w:t xml:space="preserve">fomentar </w:t>
      </w:r>
      <w:r w:rsidRPr="00A34388">
        <w:rPr>
          <w:lang w:val="es-ES_tradnl"/>
        </w:rPr>
        <w:t xml:space="preserve">una mayor sensibilización y capacidad entre los Estados, los pueblos indígenas y las comunidades locales, así como otros sectores interesados por lo que respecta a la relación entre la P.I. y los RR.GG., los CC.TT. y las ECT.  Estas actividades contribuyeron, previa petición, al desarrollo de legislación y políticas regionales y nacionales, así como al establecimiento de soluciones prácticas en el plano regional, nacional y de la comunidad;  además, al mejorar el conocimiento de las cuestiones y opciones, estas actividades complementaron las negociaciones basadas en los textos del CIG.  </w:t>
      </w:r>
      <w:r w:rsidRPr="00332758">
        <w:rPr>
          <w:lang w:val="es-ES_tradnl"/>
        </w:rPr>
        <w:t>En 2012/13 la Secretaría respondió de forma positiva a algo más de 80 solicitudes provenientes de Estados miembros, ONG, pueblos indígenas y comunidades locales, asociaciones profesionales y universidades para la celebración de sesiones informativas y otro tipo de exposiciones sobre P.I. y CC.TT., ECT y RR.GG., en Ginebra o en otros lugares.</w:t>
      </w:r>
      <w:r w:rsidRPr="00A34388">
        <w:rPr>
          <w:lang w:val="es-ES_tradnl"/>
        </w:rPr>
        <w:t xml:space="preserve">  La Secretaría organizó y/o participó, previa petición, en una serie de importantes </w:t>
      </w:r>
      <w:r w:rsidR="004F7424">
        <w:rPr>
          <w:lang w:val="es-ES_tradnl"/>
        </w:rPr>
        <w:t>reuniones</w:t>
      </w:r>
      <w:r w:rsidRPr="00A34388">
        <w:rPr>
          <w:lang w:val="es-ES_tradnl"/>
        </w:rPr>
        <w:t xml:space="preserve"> o proyectos de asistencia técnica y fortalecimiento de capacidades en África, la región de los países árabes, Asia, América Latina, el Pacífico y en países con economías en transición.  Varios países y organizaciones regionales solicitaron y recibieron asistencia </w:t>
      </w:r>
      <w:r w:rsidR="004F7424">
        <w:rPr>
          <w:lang w:val="es-ES_tradnl"/>
        </w:rPr>
        <w:t xml:space="preserve">en materia </w:t>
      </w:r>
      <w:r w:rsidRPr="00A34388">
        <w:rPr>
          <w:lang w:val="es-ES_tradnl"/>
        </w:rPr>
        <w:t xml:space="preserve">legislativa y </w:t>
      </w:r>
      <w:r w:rsidR="004F7424">
        <w:rPr>
          <w:lang w:val="es-ES_tradnl"/>
        </w:rPr>
        <w:t xml:space="preserve">de </w:t>
      </w:r>
      <w:r w:rsidRPr="00A34388">
        <w:rPr>
          <w:lang w:val="es-ES_tradnl"/>
        </w:rPr>
        <w:t>política</w:t>
      </w:r>
      <w:r w:rsidR="004F7424">
        <w:rPr>
          <w:lang w:val="es-ES_tradnl"/>
        </w:rPr>
        <w:t>s</w:t>
      </w:r>
      <w:r w:rsidRPr="00A34388">
        <w:rPr>
          <w:lang w:val="es-ES_tradnl"/>
        </w:rPr>
        <w:t xml:space="preserve">.  </w:t>
      </w:r>
      <w:r w:rsidRPr="00332758">
        <w:rPr>
          <w:lang w:val="es-ES_tradnl"/>
        </w:rPr>
        <w:t xml:space="preserve">La OMPI siguió ofreciéndose a colaborar en calidad de socio técnico en varios proyectos regionales, tales como el marco regional sobre CC.TT., ECT y RR.GG. para el Caribe, el plan de acción sobre CC.TT. para el Pacífico y un proyecto financiado por el Programa de las Naciones Unidas para el Medio Ambiente (PNUMA) y el Fondo para el Medio Ambiente Mundial (FMAM) sobre la aplicación del acceso a los RR.GG. y la participación en los beneficios en varios países de América Latina y el Caribe.  Por otra parte, facilitó una serie de publicaciones cortas y accesibles sobre las cuestiones fundamentales y publicó para su consulta un borrador de la Guía de la </w:t>
      </w:r>
      <w:r w:rsidRPr="00332758">
        <w:rPr>
          <w:rFonts w:cs="Arial"/>
          <w:lang w:val="es-ES_tradnl"/>
        </w:rPr>
        <w:t>OMPI para la catalogación de conocimientos tradicionales.</w:t>
      </w:r>
      <w:r w:rsidRPr="008018CA">
        <w:rPr>
          <w:rFonts w:cs="Arial"/>
          <w:lang w:val="es-ES_tradnl"/>
        </w:rPr>
        <w:t xml:space="preserve">  También se rediseñaron las páginas del sitio web de la OMPI sobre CC.TT. </w:t>
      </w:r>
    </w:p>
    <w:p w:rsidR="00525604" w:rsidRPr="008018CA" w:rsidRDefault="00525604" w:rsidP="00525604">
      <w:pPr>
        <w:pStyle w:val="ListParagraph"/>
        <w:tabs>
          <w:tab w:val="left" w:pos="709"/>
        </w:tabs>
        <w:ind w:left="0"/>
        <w:jc w:val="both"/>
        <w:rPr>
          <w:rFonts w:cs="Arial"/>
          <w:lang w:val="es-ES_tradnl"/>
        </w:rPr>
      </w:pPr>
    </w:p>
    <w:p w:rsidR="00525604" w:rsidRPr="00A34388" w:rsidRDefault="00525604" w:rsidP="00525604">
      <w:pPr>
        <w:pStyle w:val="ListParagraph"/>
        <w:numPr>
          <w:ilvl w:val="0"/>
          <w:numId w:val="9"/>
        </w:numPr>
        <w:tabs>
          <w:tab w:val="left" w:pos="709"/>
        </w:tabs>
        <w:ind w:left="0" w:firstLine="0"/>
        <w:jc w:val="both"/>
        <w:rPr>
          <w:rFonts w:cs="Arial"/>
          <w:bCs/>
          <w:sz w:val="22"/>
          <w:szCs w:val="22"/>
          <w:lang w:val="es-ES_tradnl"/>
        </w:rPr>
      </w:pPr>
      <w:r w:rsidRPr="008018CA">
        <w:rPr>
          <w:rFonts w:cs="Arial"/>
          <w:lang w:val="es-ES_tradnl"/>
        </w:rPr>
        <w:lastRenderedPageBreak/>
        <w:t xml:space="preserve">Por lo que respecta a la coordinación con las labores en otras instancias, la Secretaría de la OMPI siguió de cerca el trabajo relativo al Convenio sobre la Diversidad Biológica (CDB), </w:t>
      </w:r>
      <w:r w:rsidR="007D5C8A" w:rsidRPr="008018CA">
        <w:rPr>
          <w:rFonts w:cs="Arial"/>
          <w:lang w:val="es-ES_tradnl"/>
        </w:rPr>
        <w:t xml:space="preserve">el </w:t>
      </w:r>
      <w:r w:rsidRPr="008018CA">
        <w:rPr>
          <w:rFonts w:cs="Arial"/>
          <w:lang w:val="es-ES_tradnl"/>
        </w:rPr>
        <w:t xml:space="preserve">Protocolo de Nagoya sobre Acceso a los Recursos Genéticos y Participación Justa y Equitativa en los Beneficios que se Deriven de su Utilización y el Tratado Internacional sobre los Recursos </w:t>
      </w:r>
      <w:proofErr w:type="spellStart"/>
      <w:r w:rsidRPr="008018CA">
        <w:rPr>
          <w:rFonts w:cs="Arial"/>
          <w:lang w:val="es-ES_tradnl"/>
        </w:rPr>
        <w:t>Fitogenéticos</w:t>
      </w:r>
      <w:proofErr w:type="spellEnd"/>
      <w:r w:rsidRPr="008018CA">
        <w:rPr>
          <w:rFonts w:cs="Arial"/>
          <w:lang w:val="es-ES_tradnl"/>
        </w:rPr>
        <w:t xml:space="preserve"> para la Alimentación y</w:t>
      </w:r>
      <w:r w:rsidRPr="008018CA">
        <w:rPr>
          <w:lang w:val="es-ES_tradnl"/>
        </w:rPr>
        <w:t xml:space="preserve"> la Agricultura de la FAO, además de participar en actividades organizadas por la UNESCO, la</w:t>
      </w:r>
      <w:r w:rsidRPr="00A34388">
        <w:rPr>
          <w:lang w:val="es-ES_tradnl"/>
        </w:rPr>
        <w:t xml:space="preserve"> OMS, la OMC y la Oficina del Alto Comisionado para los Derechos Humanos (OACDH).  </w:t>
      </w:r>
      <w:r w:rsidRPr="00332758">
        <w:rPr>
          <w:lang w:val="es-ES_tradnl"/>
        </w:rPr>
        <w:t>Estas actividades sirvieron para potenciar la coordinación y la complementariedad, de conformidad con el mandato del CIG, en el que se establece que las negociaciones del CIG no deben ser incompatibles con la labor que se emprenda en otras instancias.</w:t>
      </w:r>
    </w:p>
    <w:p w:rsidR="007D5C8A" w:rsidRPr="00332758" w:rsidRDefault="007D5C8A" w:rsidP="00525604">
      <w:pPr>
        <w:rPr>
          <w:sz w:val="22"/>
          <w:lang w:val="es-ES_tradnl"/>
        </w:rPr>
      </w:pPr>
    </w:p>
    <w:p w:rsidR="00525604" w:rsidRPr="00A34388" w:rsidRDefault="00525604" w:rsidP="00525604">
      <w:pPr>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rPr>
          <w:lang w:val="es-ES_tradnl"/>
        </w:rPr>
      </w:pPr>
    </w:p>
    <w:p w:rsidR="00525604" w:rsidRPr="00A34388" w:rsidRDefault="00525604" w:rsidP="00525604">
      <w:pPr>
        <w:pStyle w:val="ListParagraph"/>
        <w:numPr>
          <w:ilvl w:val="0"/>
          <w:numId w:val="9"/>
        </w:numPr>
        <w:ind w:left="0" w:firstLine="0"/>
        <w:jc w:val="both"/>
        <w:rPr>
          <w:rFonts w:cs="Arial"/>
          <w:lang w:val="es-ES_tradnl"/>
        </w:rPr>
      </w:pPr>
      <w:r w:rsidRPr="00332758">
        <w:rPr>
          <w:lang w:val="es-ES_tradnl"/>
        </w:rPr>
        <w:t>El diseño, la planificación y la ejecución de las actividades del programa se basaron en las recomendaciones pertinentes de la A.D. y se guiaron por ellas</w:t>
      </w:r>
      <w:r w:rsidR="00537926" w:rsidRPr="00332758">
        <w:rPr>
          <w:lang w:val="es-ES_tradnl"/>
        </w:rPr>
        <w:t xml:space="preserve">. </w:t>
      </w:r>
      <w:r w:rsidRPr="00A34388">
        <w:rPr>
          <w:lang w:val="es-ES_tradnl"/>
        </w:rPr>
        <w:t xml:space="preserve"> </w:t>
      </w:r>
      <w:r w:rsidRPr="00332758">
        <w:rPr>
          <w:lang w:val="es-ES_tradnl"/>
        </w:rPr>
        <w:t>Las actividades normativas del programa dentro del CIG se siguieron caracterizando por ser inclusivas y estar orientadas hacia los miembros (recomendación 15), considerar debidamente los límites, la función y el alcance del “dominio público” (recomendaciones 16 y 20) y tener en cuenta las flexibilidades de los acuerdos internacionales sobre P.I. (recomendación 17)</w:t>
      </w:r>
      <w:r w:rsidR="00537926" w:rsidRPr="00332758">
        <w:rPr>
          <w:lang w:val="es-ES_tradnl"/>
        </w:rPr>
        <w:t xml:space="preserve">. </w:t>
      </w:r>
      <w:r w:rsidRPr="00A34388">
        <w:rPr>
          <w:lang w:val="es-ES_tradnl"/>
        </w:rPr>
        <w:t xml:space="preserve"> Las negociaciones del CIG se basaron en consultas abiertas y equilibradas (recomendaciones 21 y 42), tomando en cuenta los intereses y prioridades de todos los Estados miembros, así como los puntos de vista de otros sectores interesados, incluyendo organizaciones intergubernamentales acreditadas y ONG (recomendación 42), al tiempo que contribuyeron a los objetivos de desarrollo de las NN.UU. (recomendación 22)</w:t>
      </w:r>
      <w:r w:rsidR="00537926" w:rsidRPr="00A34388">
        <w:rPr>
          <w:lang w:val="es-ES_tradnl"/>
        </w:rPr>
        <w:t xml:space="preserve">. </w:t>
      </w:r>
      <w:r w:rsidRPr="00A34388">
        <w:rPr>
          <w:lang w:val="es-ES_tradnl"/>
        </w:rPr>
        <w:t xml:space="preserve"> </w:t>
      </w:r>
      <w:r w:rsidRPr="00332758">
        <w:rPr>
          <w:lang w:val="es-ES_tradnl"/>
        </w:rPr>
        <w:t>El objeto de la recomendación 18 de la A.D., en la que se insta al Comité a “agilizar el proceso sobre la protección de RR.GG., CC.TT. y folclore, sin perjuicio de ningún posible resultado, como pueda ser la elaboración de un instrumento o instrumentos de dimensión internacional”, es la conclusión de las negociaciones del CIG</w:t>
      </w:r>
      <w:r w:rsidR="00537926" w:rsidRPr="00332758">
        <w:rPr>
          <w:lang w:val="es-ES_tradnl"/>
        </w:rPr>
        <w:t xml:space="preserve">. </w:t>
      </w:r>
      <w:r w:rsidRPr="00332758">
        <w:rPr>
          <w:lang w:val="es-ES_tradnl"/>
        </w:rPr>
        <w:t xml:space="preserve"> Las actividades del programa en las esferas de la asistencia técnica, el fortalecimiento de capacidades y la asistencia legislativa estuvieron orientadas a potenciar el desarrollo y obedecieron a la demanda, y se informó de ellas en el curso normal del bienio  (recomendaciones 1 y 13).  La protección de los CC.TT., las ECT y los RR.GG. facilita la incorporación de las cuestiones de desarrollo a las actividades de la OMPI y la comprensión y el uso de las flexibilidades (recomendaciones 12 y 14).</w:t>
      </w:r>
      <w:r w:rsidRPr="00A34388">
        <w:rPr>
          <w:lang w:val="es-ES_tradnl"/>
        </w:rPr>
        <w:t xml:space="preserve">  </w:t>
      </w:r>
      <w:r w:rsidRPr="00332758">
        <w:rPr>
          <w:lang w:val="es-ES_tradnl"/>
        </w:rPr>
        <w:t>Por lo que se refiere a la participación, la financiación y otros aspectos institucionales, el mecanismo especial de acreditación de ONG del CIG y el Fondo de la OMPI de Contribuciones Voluntarias para las Comunidades Indígenas y Locales Acreditadas contribuyeron a garantizar una amplia participación de la sociedad civil (recomendación 42).</w:t>
      </w:r>
    </w:p>
    <w:p w:rsidR="00525604" w:rsidRPr="00A34388" w:rsidRDefault="00525604" w:rsidP="00525604">
      <w:pPr>
        <w:jc w:val="both"/>
        <w:rPr>
          <w:rFonts w:cs="Arial"/>
          <w:szCs w:val="20"/>
          <w:lang w:val="es-ES_tradnl"/>
        </w:rPr>
      </w:pPr>
    </w:p>
    <w:p w:rsidR="00525604" w:rsidRPr="00A34388" w:rsidRDefault="00525604" w:rsidP="00525604">
      <w:pPr>
        <w:pStyle w:val="ListParagraph"/>
        <w:numPr>
          <w:ilvl w:val="0"/>
          <w:numId w:val="9"/>
        </w:numPr>
        <w:ind w:left="0" w:firstLine="0"/>
        <w:jc w:val="both"/>
        <w:rPr>
          <w:rFonts w:cs="Arial"/>
          <w:lang w:val="es-ES_tradnl"/>
        </w:rPr>
      </w:pPr>
      <w:r w:rsidRPr="00A34388">
        <w:rPr>
          <w:lang w:val="es-ES_tradnl"/>
        </w:rPr>
        <w:t>En septiembre de 2013, la Asamblea General decidió renovar el</w:t>
      </w:r>
      <w:r w:rsidR="008018CA">
        <w:rPr>
          <w:lang w:val="es-ES_tradnl"/>
        </w:rPr>
        <w:t xml:space="preserve"> mandato del CIG para el bienio </w:t>
      </w:r>
      <w:r w:rsidRPr="00A34388">
        <w:rPr>
          <w:lang w:val="es-ES_tradnl"/>
        </w:rPr>
        <w:t>2014/15</w:t>
      </w:r>
      <w:r w:rsidR="00537926" w:rsidRPr="00A34388">
        <w:rPr>
          <w:lang w:val="es-ES_tradnl"/>
        </w:rPr>
        <w:t xml:space="preserve">. </w:t>
      </w:r>
      <w:r w:rsidRPr="00A34388">
        <w:rPr>
          <w:lang w:val="es-ES_tradnl"/>
        </w:rPr>
        <w:t xml:space="preserve"> El mandato renovado permitirá al CIG lo siguiente:  i) continuar agilizando, sobre la base de una participación abierta y plena, su labor en torno a las negociaciones basadas en textos encaminadas a la consecución de un acuerdo sobre el texto o los textos de uno o varios instrumentos jurídicos internacionales que aseguren la protección efectiva de los RR.GG., los CC.TT. y las ECT;  ii) seguir un programa de trabajo claramente definido, basado en métodos de trabajo sólidos;  iii) tener como punto de partida la labor que ya ha realizado el Comité y hacer uso de todos los documentos de trabajo de la OMPI, así como de todo texto que aporten los miembros;  y iv) presentar el texto o los textos de uno o varios instrumentos jurídicos internacionales a la Asamblea General de 2014</w:t>
      </w:r>
      <w:r w:rsidR="00537926" w:rsidRPr="00A34388">
        <w:rPr>
          <w:lang w:val="es-ES_tradnl"/>
        </w:rPr>
        <w:t xml:space="preserve">. </w:t>
      </w:r>
      <w:r w:rsidRPr="00A34388">
        <w:rPr>
          <w:lang w:val="es-ES_tradnl"/>
        </w:rPr>
        <w:t xml:space="preserve"> </w:t>
      </w:r>
    </w:p>
    <w:p w:rsidR="00525604" w:rsidRPr="00A34388" w:rsidRDefault="00525604" w:rsidP="00525604">
      <w:pPr>
        <w:rPr>
          <w:rFonts w:eastAsia="MS Mincho"/>
          <w:lang w:val="es-ES_tradnl"/>
        </w:rPr>
      </w:pPr>
    </w:p>
    <w:p w:rsidR="00525604" w:rsidRPr="00A34388" w:rsidRDefault="00525604" w:rsidP="00525604">
      <w:pPr>
        <w:rPr>
          <w:rFonts w:eastAsia="MS Mincho"/>
          <w:lang w:val="es-ES_tradnl"/>
        </w:rPr>
      </w:pPr>
    </w:p>
    <w:p w:rsidR="000557C0" w:rsidRPr="00332758" w:rsidRDefault="000557C0">
      <w:pPr>
        <w:rPr>
          <w:sz w:val="22"/>
          <w:lang w:val="es-ES_tradnl"/>
        </w:rPr>
      </w:pPr>
      <w:r w:rsidRPr="00332758">
        <w:rPr>
          <w:sz w:val="22"/>
          <w:lang w:val="es-ES_tradnl"/>
        </w:rPr>
        <w:br w:type="page"/>
      </w:r>
    </w:p>
    <w:p w:rsidR="00525604" w:rsidRPr="00A34388" w:rsidRDefault="00525604" w:rsidP="00525604">
      <w:pPr>
        <w:rPr>
          <w:rFonts w:cs="Arial"/>
          <w:sz w:val="22"/>
          <w:szCs w:val="22"/>
          <w:lang w:val="es-ES_tradnl"/>
        </w:rPr>
      </w:pPr>
      <w:r w:rsidRPr="00332758">
        <w:rPr>
          <w:sz w:val="22"/>
          <w:lang w:val="es-ES_tradnl"/>
        </w:rPr>
        <w:lastRenderedPageBreak/>
        <w:t>DATOS SOBRE EL RENDIMIENTO</w:t>
      </w:r>
    </w:p>
    <w:p w:rsidR="00525604" w:rsidRPr="00A34388" w:rsidRDefault="00525604" w:rsidP="00525604">
      <w:pPr>
        <w:rPr>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59"/>
        <w:gridCol w:w="1776"/>
        <w:gridCol w:w="1527"/>
        <w:gridCol w:w="3121"/>
        <w:gridCol w:w="142"/>
        <w:gridCol w:w="1132"/>
      </w:tblGrid>
      <w:tr w:rsidR="00525604" w:rsidRPr="00E94BEA" w:rsidTr="00853209">
        <w:trPr>
          <w:cantSplit/>
        </w:trPr>
        <w:tc>
          <w:tcPr>
            <w:tcW w:w="5000" w:type="pct"/>
            <w:gridSpan w:val="6"/>
            <w:tcBorders>
              <w:top w:val="single" w:sz="4" w:space="0" w:color="auto"/>
              <w:bottom w:val="nil"/>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r>
      <w:tr w:rsidR="00525604" w:rsidRPr="00A34388" w:rsidTr="00853209">
        <w:trPr>
          <w:cantSplit/>
        </w:trPr>
        <w:tc>
          <w:tcPr>
            <w:tcW w:w="886" w:type="pct"/>
            <w:tcBorders>
              <w:top w:val="single" w:sz="4" w:space="0" w:color="auto"/>
              <w:bottom w:val="nil"/>
            </w:tcBorders>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49" w:type="pct"/>
            <w:tcBorders>
              <w:top w:val="single" w:sz="4" w:space="0" w:color="auto"/>
              <w:bottom w:val="nil"/>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16" w:type="pct"/>
            <w:tcBorders>
              <w:top w:val="single" w:sz="4" w:space="0" w:color="auto"/>
              <w:bottom w:val="nil"/>
            </w:tcBorders>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68" w:type="pct"/>
            <w:tcBorders>
              <w:top w:val="single" w:sz="4" w:space="0" w:color="auto"/>
              <w:bottom w:val="nil"/>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1" w:type="pct"/>
            <w:gridSpan w:val="2"/>
            <w:tcBorders>
              <w:top w:val="single" w:sz="4" w:space="0" w:color="auto"/>
              <w:bottom w:val="nil"/>
            </w:tcBorders>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86" w:type="pct"/>
            <w:tcBorders>
              <w:top w:val="nil"/>
              <w:bottom w:val="single" w:sz="4" w:space="0" w:color="auto"/>
            </w:tcBorders>
          </w:tcPr>
          <w:p w:rsidR="00525604" w:rsidRPr="00A34388" w:rsidRDefault="00525604" w:rsidP="00853209">
            <w:pPr>
              <w:rPr>
                <w:rFonts w:cs="Arial"/>
                <w:sz w:val="16"/>
                <w:szCs w:val="16"/>
                <w:lang w:val="es-ES_tradnl"/>
              </w:rPr>
            </w:pPr>
            <w:r w:rsidRPr="00332758">
              <w:rPr>
                <w:sz w:val="16"/>
                <w:lang w:val="es-ES_tradnl"/>
              </w:rPr>
              <w:t>Progreso en las negociaciones del CIG para la elaboración de uno o varios instrumentos jurídicos internacionales.</w:t>
            </w:r>
          </w:p>
        </w:tc>
        <w:tc>
          <w:tcPr>
            <w:tcW w:w="949" w:type="pct"/>
            <w:tcBorders>
              <w:top w:val="nil"/>
              <w:bottom w:val="single" w:sz="4" w:space="0" w:color="auto"/>
            </w:tcBorders>
            <w:shd w:val="clear" w:color="auto" w:fill="auto"/>
          </w:tcPr>
          <w:p w:rsidR="00525604" w:rsidRPr="00334845" w:rsidRDefault="00525604" w:rsidP="00853209">
            <w:pPr>
              <w:rPr>
                <w:rFonts w:cs="Arial"/>
                <w:i/>
                <w:color w:val="002060"/>
                <w:sz w:val="16"/>
                <w:szCs w:val="16"/>
                <w:lang w:val="es-ES_tradnl"/>
              </w:rPr>
            </w:pPr>
            <w:r w:rsidRPr="00334845">
              <w:rPr>
                <w:i/>
                <w:color w:val="002060"/>
                <w:sz w:val="16"/>
                <w:lang w:val="es-ES_tradnl"/>
              </w:rPr>
              <w:t>Referencia actualizada a fines de 2011</w:t>
            </w:r>
            <w:r w:rsidRPr="00334845">
              <w:rPr>
                <w:color w:val="002060"/>
                <w:sz w:val="16"/>
                <w:lang w:val="es-ES_tradnl"/>
              </w:rPr>
              <w:t>:  El presupuesto por programas de 2012/13, complementado por el mandato del CIG para 2012/13 establecido por la Asamblea General de la OMPI en octubre de 2011, y el programa de trabajo del CIG para 2013 determinado por la Asamblea General de la OMPI en septiembre de 2012.</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
          <w:p w:rsidR="00525604" w:rsidRPr="00A34388" w:rsidRDefault="00525604" w:rsidP="00853209">
            <w:pPr>
              <w:rPr>
                <w:rFonts w:cs="Arial"/>
                <w:sz w:val="16"/>
                <w:szCs w:val="16"/>
                <w:lang w:val="es-ES_tradnl"/>
              </w:rPr>
            </w:pPr>
            <w:r w:rsidRPr="00332758">
              <w:rPr>
                <w:sz w:val="16"/>
                <w:lang w:val="es-ES_tradnl"/>
              </w:rPr>
              <w:t>Negociaciones en curso en el marco del mandato del CIG correspondiente a 2010/11.</w:t>
            </w:r>
          </w:p>
          <w:p w:rsidR="00525604" w:rsidRPr="00A34388" w:rsidRDefault="00525604" w:rsidP="00853209">
            <w:pPr>
              <w:rPr>
                <w:rFonts w:cs="Arial"/>
                <w:sz w:val="16"/>
                <w:szCs w:val="16"/>
                <w:lang w:val="es-ES_tradnl"/>
              </w:rPr>
            </w:pPr>
          </w:p>
        </w:tc>
        <w:tc>
          <w:tcPr>
            <w:tcW w:w="816" w:type="pct"/>
            <w:tcBorders>
              <w:top w:val="nil"/>
              <w:bottom w:val="single" w:sz="4" w:space="0" w:color="auto"/>
            </w:tcBorders>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Adopción de uno o varios instrumentos jurídicos internacionales</w:t>
            </w:r>
          </w:p>
        </w:tc>
        <w:tc>
          <w:tcPr>
            <w:tcW w:w="1668" w:type="pct"/>
            <w:tcBorders>
              <w:top w:val="nil"/>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Progresos continuos en las negociaciones</w:t>
            </w:r>
          </w:p>
        </w:tc>
        <w:tc>
          <w:tcPr>
            <w:tcW w:w="681" w:type="pct"/>
            <w:gridSpan w:val="2"/>
            <w:tcBorders>
              <w:top w:val="nil"/>
              <w:bottom w:val="single" w:sz="4" w:space="0" w:color="auto"/>
            </w:tcBorders>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E94BEA" w:rsidTr="00853209">
        <w:trPr>
          <w:cantSplit/>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525604" w:rsidRPr="00A34388" w:rsidTr="00853209">
        <w:trPr>
          <w:cantSplit/>
        </w:trPr>
        <w:tc>
          <w:tcPr>
            <w:tcW w:w="886" w:type="pct"/>
            <w:tcBorders>
              <w:top w:val="single" w:sz="4" w:space="0" w:color="auto"/>
              <w:bottom w:val="nil"/>
            </w:tcBorders>
            <w:vAlign w:val="center"/>
          </w:tcPr>
          <w:p w:rsidR="00525604" w:rsidRPr="00A34388" w:rsidRDefault="00525604" w:rsidP="00853209">
            <w:pPr>
              <w:keepNext/>
              <w:keepLines/>
              <w:spacing w:after="40"/>
              <w:rPr>
                <w:rFonts w:cs="Arial"/>
                <w:color w:val="808080"/>
                <w:sz w:val="16"/>
                <w:szCs w:val="16"/>
                <w:lang w:val="es-ES_tradnl"/>
              </w:rPr>
            </w:pPr>
            <w:r w:rsidRPr="00332758">
              <w:rPr>
                <w:b/>
                <w:sz w:val="16"/>
                <w:lang w:val="es-ES_tradnl"/>
              </w:rPr>
              <w:t>Indicadores de rendimiento</w:t>
            </w:r>
          </w:p>
        </w:tc>
        <w:tc>
          <w:tcPr>
            <w:tcW w:w="949" w:type="pct"/>
            <w:tcBorders>
              <w:top w:val="single" w:sz="4" w:space="0" w:color="auto"/>
              <w:bottom w:val="nil"/>
            </w:tcBorders>
            <w:shd w:val="clear" w:color="auto" w:fill="auto"/>
            <w:vAlign w:val="center"/>
          </w:tcPr>
          <w:p w:rsidR="00525604" w:rsidRPr="00A34388" w:rsidRDefault="00525604" w:rsidP="00853209">
            <w:pPr>
              <w:keepNext/>
              <w:keepLines/>
              <w:spacing w:after="40"/>
              <w:rPr>
                <w:rFonts w:cs="Arial"/>
                <w:b/>
                <w:bCs/>
                <w:color w:val="808080"/>
                <w:sz w:val="16"/>
                <w:szCs w:val="16"/>
                <w:lang w:val="es-ES_tradnl"/>
              </w:rPr>
            </w:pPr>
            <w:r w:rsidRPr="00332758">
              <w:rPr>
                <w:b/>
                <w:sz w:val="16"/>
                <w:lang w:val="es-ES_tradnl"/>
              </w:rPr>
              <w:t>Referencia</w:t>
            </w:r>
          </w:p>
        </w:tc>
        <w:tc>
          <w:tcPr>
            <w:tcW w:w="816" w:type="pct"/>
            <w:tcBorders>
              <w:top w:val="single" w:sz="4" w:space="0" w:color="auto"/>
              <w:bottom w:val="nil"/>
            </w:tcBorders>
            <w:tcMar>
              <w:top w:w="110" w:type="dxa"/>
            </w:tcMar>
            <w:vAlign w:val="center"/>
          </w:tcPr>
          <w:p w:rsidR="00525604" w:rsidRPr="00A34388" w:rsidRDefault="00525604" w:rsidP="00853209">
            <w:pPr>
              <w:keepNext/>
              <w:keepLines/>
              <w:spacing w:after="40"/>
              <w:rPr>
                <w:rFonts w:cs="Arial"/>
                <w:b/>
                <w:color w:val="808080"/>
                <w:sz w:val="16"/>
                <w:szCs w:val="16"/>
                <w:lang w:val="es-ES_tradnl"/>
              </w:rPr>
            </w:pPr>
            <w:r w:rsidRPr="00332758">
              <w:rPr>
                <w:b/>
                <w:sz w:val="16"/>
                <w:lang w:val="es-ES_tradnl"/>
              </w:rPr>
              <w:t>Objetivos</w:t>
            </w:r>
          </w:p>
        </w:tc>
        <w:tc>
          <w:tcPr>
            <w:tcW w:w="1744" w:type="pct"/>
            <w:gridSpan w:val="2"/>
            <w:tcBorders>
              <w:top w:val="single" w:sz="4" w:space="0" w:color="auto"/>
              <w:bottom w:val="nil"/>
            </w:tcBorders>
            <w:shd w:val="clear" w:color="auto" w:fill="FFFFFF"/>
            <w:tcMar>
              <w:top w:w="110" w:type="dxa"/>
            </w:tcMar>
            <w:vAlign w:val="center"/>
          </w:tcPr>
          <w:p w:rsidR="00525604" w:rsidRPr="00A34388" w:rsidRDefault="00525604" w:rsidP="00853209">
            <w:pPr>
              <w:keepNext/>
              <w:keepLines/>
              <w:spacing w:after="40"/>
              <w:rPr>
                <w:rFonts w:cs="Arial"/>
                <w:color w:val="808080"/>
                <w:sz w:val="16"/>
                <w:szCs w:val="16"/>
                <w:lang w:val="es-ES_tradnl"/>
              </w:rPr>
            </w:pPr>
            <w:r w:rsidRPr="00332758">
              <w:rPr>
                <w:b/>
                <w:sz w:val="16"/>
                <w:lang w:val="es-ES_tradnl"/>
              </w:rPr>
              <w:t>Datos sobre el rendimiento</w:t>
            </w:r>
          </w:p>
        </w:tc>
        <w:tc>
          <w:tcPr>
            <w:tcW w:w="605" w:type="pct"/>
            <w:tcBorders>
              <w:top w:val="single" w:sz="4" w:space="0" w:color="auto"/>
              <w:bottom w:val="nil"/>
            </w:tcBorders>
            <w:tcMar>
              <w:top w:w="110" w:type="dxa"/>
            </w:tcMar>
            <w:vAlign w:val="center"/>
          </w:tcPr>
          <w:p w:rsidR="00525604" w:rsidRPr="00332758" w:rsidRDefault="00525604" w:rsidP="00853209">
            <w:pPr>
              <w:keepNext/>
              <w:keepLines/>
              <w:spacing w:after="40"/>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86" w:type="pct"/>
            <w:tcBorders>
              <w:top w:val="nil"/>
              <w:bottom w:val="single" w:sz="4" w:space="0" w:color="auto"/>
            </w:tcBorders>
            <w:shd w:val="clear" w:color="auto" w:fill="FFFFFF"/>
          </w:tcPr>
          <w:p w:rsidR="00525604" w:rsidRPr="00A34388" w:rsidRDefault="00525604" w:rsidP="00853209">
            <w:pPr>
              <w:rPr>
                <w:rFonts w:cs="Arial"/>
                <w:sz w:val="16"/>
                <w:szCs w:val="16"/>
                <w:lang w:val="es-ES_tradnl"/>
              </w:rPr>
            </w:pPr>
            <w:r w:rsidRPr="00332758">
              <w:rPr>
                <w:sz w:val="16"/>
                <w:lang w:val="es-ES_tradnl"/>
              </w:rPr>
              <w:t>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w:t>
            </w:r>
          </w:p>
          <w:p w:rsidR="00525604" w:rsidRPr="00A34388" w:rsidRDefault="00525604" w:rsidP="00853209">
            <w:pPr>
              <w:rPr>
                <w:rFonts w:cs="Arial"/>
                <w:sz w:val="16"/>
                <w:szCs w:val="16"/>
                <w:lang w:val="es-ES_tradnl"/>
              </w:rPr>
            </w:pPr>
          </w:p>
        </w:tc>
        <w:tc>
          <w:tcPr>
            <w:tcW w:w="949" w:type="pct"/>
            <w:tcBorders>
              <w:top w:val="nil"/>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Este indicador de rendimiento se utiliza por primera vez en este programa.</w:t>
            </w:r>
          </w:p>
        </w:tc>
        <w:tc>
          <w:tcPr>
            <w:tcW w:w="816" w:type="pct"/>
            <w:tcBorders>
              <w:top w:val="nil"/>
              <w:bottom w:val="single" w:sz="4" w:space="0" w:color="auto"/>
            </w:tcBorders>
            <w:tcMar>
              <w:top w:w="110" w:type="dxa"/>
            </w:tcMar>
          </w:tcPr>
          <w:p w:rsidR="00525604" w:rsidRPr="00A34388" w:rsidRDefault="00525604" w:rsidP="00853209">
            <w:pPr>
              <w:rPr>
                <w:rFonts w:cs="Arial"/>
                <w:sz w:val="16"/>
                <w:szCs w:val="16"/>
                <w:lang w:val="es-ES_tradnl"/>
              </w:rPr>
            </w:pPr>
            <w:r w:rsidRPr="00A34388">
              <w:rPr>
                <w:sz w:val="16"/>
                <w:lang w:val="es-ES_tradnl"/>
              </w:rPr>
              <w:t>75%</w:t>
            </w:r>
          </w:p>
        </w:tc>
        <w:tc>
          <w:tcPr>
            <w:tcW w:w="1744" w:type="pct"/>
            <w:gridSpan w:val="2"/>
            <w:tcBorders>
              <w:top w:val="nil"/>
              <w:bottom w:val="single" w:sz="4" w:space="0" w:color="auto"/>
            </w:tcBorders>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95% (cuestionario de evaluación utilizado en relación con las cinco actividades organizadas por la División de Conocimientos Tradicionales).</w:t>
            </w:r>
          </w:p>
        </w:tc>
        <w:tc>
          <w:tcPr>
            <w:tcW w:w="605" w:type="pct"/>
            <w:tcBorders>
              <w:top w:val="nil"/>
              <w:bottom w:val="single" w:sz="4" w:space="0" w:color="auto"/>
            </w:tcBorders>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E94BEA" w:rsidTr="00853209">
        <w:trPr>
          <w:cantSplit/>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FF125D">
            <w:pPr>
              <w:keepNext/>
              <w:keepLines/>
              <w:tabs>
                <w:tab w:val="left" w:pos="1452"/>
              </w:tabs>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Reconocimiento por los Estados miembros, las comunidades, las organizaciones y otros sectores interesados de la utilidad y eficacia de los recursos, programas e instrumentos de la OMPI.</w:t>
            </w:r>
          </w:p>
        </w:tc>
      </w:tr>
      <w:tr w:rsidR="00525604" w:rsidRPr="00A34388" w:rsidTr="00853209">
        <w:trPr>
          <w:cantSplit/>
        </w:trPr>
        <w:tc>
          <w:tcPr>
            <w:tcW w:w="886" w:type="pct"/>
            <w:tcBorders>
              <w:top w:val="single" w:sz="4" w:space="0" w:color="auto"/>
              <w:bottom w:val="nil"/>
            </w:tcBorders>
            <w:vAlign w:val="center"/>
          </w:tcPr>
          <w:p w:rsidR="00525604" w:rsidRPr="00A34388" w:rsidRDefault="00525604" w:rsidP="00FF125D">
            <w:pPr>
              <w:keepNext/>
              <w:keepLines/>
              <w:rPr>
                <w:rFonts w:cs="Arial"/>
                <w:color w:val="808080"/>
                <w:sz w:val="16"/>
                <w:szCs w:val="16"/>
                <w:lang w:val="es-ES_tradnl"/>
              </w:rPr>
            </w:pPr>
            <w:r w:rsidRPr="00332758">
              <w:rPr>
                <w:b/>
                <w:sz w:val="16"/>
                <w:lang w:val="es-ES_tradnl"/>
              </w:rPr>
              <w:t>Indicadores de rendimiento</w:t>
            </w:r>
          </w:p>
        </w:tc>
        <w:tc>
          <w:tcPr>
            <w:tcW w:w="949" w:type="pct"/>
            <w:tcBorders>
              <w:top w:val="single" w:sz="4" w:space="0" w:color="auto"/>
              <w:bottom w:val="nil"/>
            </w:tcBorders>
            <w:shd w:val="clear" w:color="auto" w:fill="auto"/>
            <w:vAlign w:val="center"/>
          </w:tcPr>
          <w:p w:rsidR="00525604" w:rsidRPr="00A34388" w:rsidRDefault="00525604" w:rsidP="00FF125D">
            <w:pPr>
              <w:keepNext/>
              <w:keepLines/>
              <w:rPr>
                <w:rFonts w:cs="Arial"/>
                <w:b/>
                <w:bCs/>
                <w:color w:val="808080"/>
                <w:sz w:val="16"/>
                <w:szCs w:val="16"/>
                <w:lang w:val="es-ES_tradnl"/>
              </w:rPr>
            </w:pPr>
            <w:r w:rsidRPr="00332758">
              <w:rPr>
                <w:b/>
                <w:sz w:val="16"/>
                <w:lang w:val="es-ES_tradnl"/>
              </w:rPr>
              <w:t>Referencia</w:t>
            </w:r>
          </w:p>
        </w:tc>
        <w:tc>
          <w:tcPr>
            <w:tcW w:w="816" w:type="pct"/>
            <w:tcBorders>
              <w:top w:val="single" w:sz="4" w:space="0" w:color="auto"/>
              <w:bottom w:val="nil"/>
            </w:tcBorders>
            <w:tcMar>
              <w:top w:w="110" w:type="dxa"/>
            </w:tcMar>
            <w:vAlign w:val="center"/>
          </w:tcPr>
          <w:p w:rsidR="00525604" w:rsidRPr="00A34388" w:rsidRDefault="00525604" w:rsidP="00FF125D">
            <w:pPr>
              <w:keepNext/>
              <w:keepLines/>
              <w:rPr>
                <w:rFonts w:cs="Arial"/>
                <w:b/>
                <w:color w:val="808080"/>
                <w:sz w:val="16"/>
                <w:szCs w:val="16"/>
                <w:lang w:val="es-ES_tradnl"/>
              </w:rPr>
            </w:pPr>
            <w:r w:rsidRPr="00332758">
              <w:rPr>
                <w:b/>
                <w:sz w:val="16"/>
                <w:lang w:val="es-ES_tradnl"/>
              </w:rPr>
              <w:t>Objetivos</w:t>
            </w:r>
          </w:p>
        </w:tc>
        <w:tc>
          <w:tcPr>
            <w:tcW w:w="1744" w:type="pct"/>
            <w:gridSpan w:val="2"/>
            <w:tcBorders>
              <w:top w:val="single" w:sz="4" w:space="0" w:color="auto"/>
              <w:bottom w:val="nil"/>
            </w:tcBorders>
            <w:shd w:val="clear" w:color="auto" w:fill="FFFFFF"/>
            <w:tcMar>
              <w:top w:w="110" w:type="dxa"/>
            </w:tcMar>
            <w:vAlign w:val="center"/>
          </w:tcPr>
          <w:p w:rsidR="00525604" w:rsidRPr="00A34388" w:rsidRDefault="00525604" w:rsidP="00FF125D">
            <w:pPr>
              <w:keepNext/>
              <w:keepLines/>
              <w:rPr>
                <w:rFonts w:cs="Arial"/>
                <w:color w:val="808080"/>
                <w:sz w:val="16"/>
                <w:szCs w:val="16"/>
                <w:lang w:val="es-ES_tradnl"/>
              </w:rPr>
            </w:pPr>
            <w:r w:rsidRPr="00332758">
              <w:rPr>
                <w:b/>
                <w:sz w:val="16"/>
                <w:lang w:val="es-ES_tradnl"/>
              </w:rPr>
              <w:t>Datos sobre el rendimiento</w:t>
            </w:r>
          </w:p>
        </w:tc>
        <w:tc>
          <w:tcPr>
            <w:tcW w:w="605" w:type="pct"/>
            <w:tcBorders>
              <w:top w:val="single" w:sz="4" w:space="0" w:color="auto"/>
              <w:bottom w:val="nil"/>
            </w:tcBorders>
            <w:tcMar>
              <w:top w:w="110" w:type="dxa"/>
            </w:tcMar>
            <w:vAlign w:val="center"/>
          </w:tcPr>
          <w:p w:rsidR="00525604" w:rsidRPr="00332758" w:rsidRDefault="00525604" w:rsidP="00FF125D">
            <w:pPr>
              <w:keepNext/>
              <w:keepLines/>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86" w:type="pct"/>
            <w:tcBorders>
              <w:top w:val="nil"/>
              <w:bottom w:val="single" w:sz="4" w:space="0" w:color="auto"/>
            </w:tcBorders>
            <w:shd w:val="clear" w:color="auto" w:fill="FFFFFF"/>
          </w:tcPr>
          <w:p w:rsidR="00525604" w:rsidRPr="00A34388" w:rsidRDefault="00525604" w:rsidP="00FF125D">
            <w:pPr>
              <w:keepNext/>
              <w:keepLines/>
              <w:rPr>
                <w:rFonts w:cs="Arial"/>
                <w:sz w:val="16"/>
                <w:szCs w:val="16"/>
                <w:lang w:val="es-ES_tradnl"/>
              </w:rPr>
            </w:pPr>
            <w:r w:rsidRPr="00332758">
              <w:rPr>
                <w:sz w:val="16"/>
                <w:lang w:val="es-ES_tradnl"/>
              </w:rPr>
              <w:t>Número de solicitudes de asistencia recibidas por la OMPI.</w:t>
            </w:r>
            <w:r w:rsidRPr="00A34388">
              <w:rPr>
                <w:sz w:val="16"/>
                <w:lang w:val="es-ES_tradnl"/>
              </w:rPr>
              <w:t xml:space="preserve"> </w:t>
            </w:r>
          </w:p>
        </w:tc>
        <w:tc>
          <w:tcPr>
            <w:tcW w:w="949" w:type="pct"/>
            <w:tcBorders>
              <w:top w:val="nil"/>
              <w:bottom w:val="single" w:sz="4" w:space="0" w:color="auto"/>
            </w:tcBorders>
            <w:shd w:val="clear" w:color="auto" w:fill="auto"/>
          </w:tcPr>
          <w:p w:rsidR="00525604" w:rsidRPr="00A34388" w:rsidRDefault="00525604" w:rsidP="00FF125D">
            <w:pPr>
              <w:keepNext/>
              <w:keepLines/>
              <w:rPr>
                <w:rFonts w:cs="Arial"/>
                <w:sz w:val="16"/>
                <w:szCs w:val="16"/>
                <w:lang w:val="es-ES_tradnl"/>
              </w:rPr>
            </w:pPr>
            <w:r w:rsidRPr="00A34388">
              <w:rPr>
                <w:sz w:val="16"/>
                <w:lang w:val="es-ES_tradnl"/>
              </w:rPr>
              <w:t>60 (2010/11)</w:t>
            </w:r>
          </w:p>
        </w:tc>
        <w:tc>
          <w:tcPr>
            <w:tcW w:w="816" w:type="pct"/>
            <w:tcBorders>
              <w:top w:val="nil"/>
              <w:bottom w:val="single" w:sz="4" w:space="0" w:color="auto"/>
            </w:tcBorders>
            <w:tcMar>
              <w:top w:w="110" w:type="dxa"/>
            </w:tcMar>
          </w:tcPr>
          <w:p w:rsidR="00525604" w:rsidRPr="00A34388" w:rsidRDefault="00525604" w:rsidP="00FF125D">
            <w:pPr>
              <w:keepNext/>
              <w:keepLines/>
              <w:rPr>
                <w:rFonts w:cs="Arial"/>
                <w:sz w:val="16"/>
                <w:szCs w:val="16"/>
                <w:lang w:val="es-ES_tradnl"/>
              </w:rPr>
            </w:pPr>
            <w:r w:rsidRPr="00A34388">
              <w:rPr>
                <w:sz w:val="16"/>
                <w:lang w:val="es-ES_tradnl"/>
              </w:rPr>
              <w:t>60 (en 2012/13)</w:t>
            </w:r>
          </w:p>
        </w:tc>
        <w:tc>
          <w:tcPr>
            <w:tcW w:w="1744" w:type="pct"/>
            <w:gridSpan w:val="2"/>
            <w:tcBorders>
              <w:top w:val="nil"/>
              <w:bottom w:val="single" w:sz="4" w:space="0" w:color="auto"/>
            </w:tcBorders>
            <w:shd w:val="clear" w:color="auto" w:fill="FFFFFF"/>
            <w:tcMar>
              <w:top w:w="110" w:type="dxa"/>
            </w:tcMar>
          </w:tcPr>
          <w:p w:rsidR="00525604" w:rsidRPr="00332758" w:rsidRDefault="00525604" w:rsidP="00FF125D">
            <w:pPr>
              <w:keepNext/>
              <w:keepLines/>
              <w:rPr>
                <w:rFonts w:cs="Arial"/>
                <w:sz w:val="16"/>
                <w:szCs w:val="16"/>
                <w:lang w:val="es-ES_tradnl"/>
              </w:rPr>
            </w:pPr>
            <w:r w:rsidRPr="00332758">
              <w:rPr>
                <w:sz w:val="16"/>
                <w:lang w:val="es-ES_tradnl"/>
              </w:rPr>
              <w:t>90 (incluidas 80 solicitudes de reuniones informativas y presentaciones de carácter general y 10 solicitudes relativas al fortalecimiento de capacidades y la asistencia técnica).  Estas cifras no incluyen las reuniones informativas relativas al CIG o la participación en reuniones de las NN.UU. y otras organizaciones intergubernamentales.</w:t>
            </w:r>
          </w:p>
          <w:p w:rsidR="00525604" w:rsidRPr="00A34388" w:rsidRDefault="00525604" w:rsidP="00FF125D">
            <w:pPr>
              <w:keepNext/>
              <w:keepLines/>
              <w:rPr>
                <w:rFonts w:cs="Arial"/>
                <w:sz w:val="16"/>
                <w:szCs w:val="16"/>
                <w:lang w:val="es-ES_tradnl"/>
              </w:rPr>
            </w:pPr>
          </w:p>
        </w:tc>
        <w:tc>
          <w:tcPr>
            <w:tcW w:w="605" w:type="pct"/>
            <w:tcBorders>
              <w:top w:val="nil"/>
              <w:bottom w:val="single" w:sz="4" w:space="0" w:color="auto"/>
            </w:tcBorders>
            <w:tcMar>
              <w:top w:w="110" w:type="dxa"/>
            </w:tcMar>
          </w:tcPr>
          <w:p w:rsidR="00525604" w:rsidRPr="00A34388" w:rsidRDefault="00525604" w:rsidP="00FF125D">
            <w:pPr>
              <w:keepNext/>
              <w:keepLines/>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bl>
    <w:p w:rsidR="00525604" w:rsidRPr="00A34388" w:rsidRDefault="00525604" w:rsidP="00525604">
      <w:pPr>
        <w:rPr>
          <w:lang w:val="es-ES_tradnl"/>
        </w:rPr>
      </w:pPr>
    </w:p>
    <w:p w:rsidR="00525604" w:rsidRPr="00A34388" w:rsidRDefault="00525604" w:rsidP="00525604">
      <w:pPr>
        <w:rPr>
          <w:lang w:val="es-ES_tradnl"/>
        </w:rPr>
      </w:pPr>
    </w:p>
    <w:p w:rsidR="00525604" w:rsidRPr="00A34388" w:rsidRDefault="00525604" w:rsidP="00FF125D">
      <w:pPr>
        <w:rPr>
          <w:lang w:val="es-ES_tradnl"/>
        </w:rPr>
      </w:pPr>
      <w:r w:rsidRPr="00332758">
        <w:rPr>
          <w:lang w:val="es-ES_tradnl"/>
        </w:rPr>
        <w:t>PRESUPUESTO Y GASTOS REALES</w:t>
      </w:r>
    </w:p>
    <w:p w:rsidR="00525604" w:rsidRPr="00A34388" w:rsidRDefault="00525604" w:rsidP="00525604">
      <w:pPr>
        <w:rPr>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pStyle w:val="NormalWeb"/>
        <w:spacing w:before="0" w:beforeAutospacing="0" w:after="0" w:afterAutospacing="0"/>
        <w:jc w:val="center"/>
        <w:rPr>
          <w:i/>
          <w:iCs/>
          <w:color w:val="000000"/>
          <w:sz w:val="22"/>
          <w:szCs w:val="22"/>
          <w:lang w:val="es-ES_tradnl"/>
        </w:rPr>
      </w:pPr>
    </w:p>
    <w:tbl>
      <w:tblPr>
        <w:tblW w:w="0" w:type="auto"/>
        <w:tblInd w:w="103" w:type="dxa"/>
        <w:tblLook w:val="04A0" w:firstRow="1" w:lastRow="0" w:firstColumn="1" w:lastColumn="0" w:noHBand="0" w:noVBand="1"/>
      </w:tblPr>
      <w:tblGrid>
        <w:gridCol w:w="517"/>
        <w:gridCol w:w="4733"/>
        <w:gridCol w:w="1406"/>
        <w:gridCol w:w="1406"/>
        <w:gridCol w:w="1299"/>
      </w:tblGrid>
      <w:tr w:rsidR="00525604" w:rsidRPr="00A34388" w:rsidTr="00853209">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0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06"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29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51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I.1</w:t>
            </w:r>
          </w:p>
        </w:tc>
        <w:tc>
          <w:tcPr>
            <w:tcW w:w="4733"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 cooperación/mayor consenso entre los Estados miembros en lo que atañe a seguir elaborando marcos normativos y de política equilibrados para el sistema internacional de patentes, marcas, dibujos y modelos industriales, indicaciones geográficas, derechos de autor y derechos conexos CC.TT., ECT y RR.GG.</w:t>
            </w:r>
          </w:p>
        </w:tc>
        <w:tc>
          <w:tcPr>
            <w:tcW w:w="1406"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5.034 </w:t>
            </w:r>
          </w:p>
        </w:tc>
        <w:tc>
          <w:tcPr>
            <w:tcW w:w="1406"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3.919</w:t>
            </w:r>
          </w:p>
        </w:tc>
        <w:tc>
          <w:tcPr>
            <w:tcW w:w="1299"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3.873 </w:t>
            </w:r>
          </w:p>
        </w:tc>
      </w:tr>
      <w:tr w:rsidR="00525604" w:rsidRPr="00A34388" w:rsidTr="00853209">
        <w:tc>
          <w:tcPr>
            <w:tcW w:w="51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III.2</w:t>
            </w:r>
          </w:p>
        </w:tc>
        <w:tc>
          <w:tcPr>
            <w:tcW w:w="4733"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406"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2.121 </w:t>
            </w:r>
          </w:p>
        </w:tc>
        <w:tc>
          <w:tcPr>
            <w:tcW w:w="1406"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1.909</w:t>
            </w:r>
          </w:p>
        </w:tc>
        <w:tc>
          <w:tcPr>
            <w:tcW w:w="1299"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1.658 </w:t>
            </w:r>
          </w:p>
        </w:tc>
      </w:tr>
      <w:tr w:rsidR="00525604" w:rsidRPr="00A34388" w:rsidTr="00853209">
        <w:tc>
          <w:tcPr>
            <w:tcW w:w="517"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III.9</w:t>
            </w:r>
          </w:p>
        </w:tc>
        <w:tc>
          <w:tcPr>
            <w:tcW w:w="4733"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Reconocimiento por los Estados miembros, las comunidades, las organizaciones y otros sectores interesados de la utilidad y eficacia de los recursos, programas e instrumentos de la OMPI.</w:t>
            </w:r>
          </w:p>
        </w:tc>
        <w:tc>
          <w:tcPr>
            <w:tcW w:w="1406"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825 </w:t>
            </w:r>
          </w:p>
        </w:tc>
        <w:tc>
          <w:tcPr>
            <w:tcW w:w="1406"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849 </w:t>
            </w:r>
          </w:p>
        </w:tc>
        <w:tc>
          <w:tcPr>
            <w:tcW w:w="1299"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812 </w:t>
            </w:r>
          </w:p>
        </w:tc>
      </w:tr>
      <w:tr w:rsidR="00525604" w:rsidRPr="00A34388" w:rsidTr="00853209">
        <w:tc>
          <w:tcPr>
            <w:tcW w:w="517"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733"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406"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7.980</w:t>
            </w:r>
          </w:p>
        </w:tc>
        <w:tc>
          <w:tcPr>
            <w:tcW w:w="1406"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6.677</w:t>
            </w:r>
          </w:p>
        </w:tc>
        <w:tc>
          <w:tcPr>
            <w:tcW w:w="1299"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6.343</w:t>
            </w:r>
          </w:p>
        </w:tc>
      </w:tr>
    </w:tbl>
    <w:p w:rsidR="00525604" w:rsidRPr="00A34388" w:rsidRDefault="00525604" w:rsidP="00525604">
      <w:pPr>
        <w:pStyle w:val="NormalWeb"/>
        <w:spacing w:before="0" w:beforeAutospacing="0" w:after="0" w:afterAutospacing="0"/>
        <w:jc w:val="center"/>
        <w:rPr>
          <w:lang w:val="es-ES_tradnl"/>
        </w:rPr>
      </w:pPr>
    </w:p>
    <w:p w:rsidR="00525604" w:rsidRPr="00A34388" w:rsidRDefault="00525604" w:rsidP="00525604">
      <w:pPr>
        <w:pStyle w:val="NormalWeb"/>
        <w:spacing w:before="0" w:beforeAutospacing="0" w:after="0" w:afterAutospacing="0"/>
        <w:jc w:val="center"/>
        <w:rPr>
          <w:color w:val="000000"/>
          <w:sz w:val="22"/>
          <w:szCs w:val="22"/>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i/>
          <w:iCs/>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A34388" w:rsidRDefault="00525604" w:rsidP="00525604">
      <w:pPr>
        <w:pStyle w:val="NormalWeb"/>
        <w:spacing w:before="0" w:beforeAutospacing="0" w:after="0" w:afterAutospacing="0"/>
        <w:jc w:val="center"/>
        <w:rPr>
          <w:sz w:val="20"/>
          <w:szCs w:val="20"/>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25604" w:rsidRPr="00A34388" w:rsidTr="00853209">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4.000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3.990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3.990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3.980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2.687</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2.352</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88%</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7.980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6.677</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6.343</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95%</w:t>
            </w:r>
          </w:p>
        </w:tc>
      </w:tr>
    </w:tbl>
    <w:p w:rsidR="00525604" w:rsidRPr="00A34388" w:rsidRDefault="00525604" w:rsidP="00525604">
      <w:pPr>
        <w:jc w:val="center"/>
        <w:rPr>
          <w:lang w:val="es-ES_tradnl"/>
        </w:rPr>
      </w:pPr>
    </w:p>
    <w:p w:rsidR="00525604" w:rsidRPr="00A34388" w:rsidRDefault="00525604" w:rsidP="00FF125D">
      <w:pPr>
        <w:autoSpaceDE w:val="0"/>
        <w:autoSpaceDN w:val="0"/>
        <w:rPr>
          <w:sz w:val="16"/>
          <w:szCs w:val="16"/>
          <w:lang w:val="es-ES_tradnl"/>
        </w:rPr>
      </w:pPr>
      <w:r w:rsidRPr="00332758">
        <w:rPr>
          <w:sz w:val="16"/>
          <w:lang w:val="es-ES_tradnl"/>
        </w:rPr>
        <w:t>NOTAS:</w:t>
      </w:r>
    </w:p>
    <w:p w:rsidR="00525604" w:rsidRPr="00A34388" w:rsidRDefault="00525604" w:rsidP="00FF125D">
      <w:pPr>
        <w:autoSpaceDE w:val="0"/>
        <w:autoSpaceDN w:val="0"/>
        <w:rPr>
          <w:sz w:val="16"/>
          <w:szCs w:val="16"/>
          <w:lang w:val="es-ES_tradnl"/>
        </w:rPr>
      </w:pPr>
    </w:p>
    <w:p w:rsidR="00525604" w:rsidRPr="00A34388" w:rsidRDefault="00525604" w:rsidP="00FF125D">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FF125D">
      <w:pPr>
        <w:autoSpaceDE w:val="0"/>
        <w:autoSpaceDN w:val="0"/>
        <w:rPr>
          <w:sz w:val="16"/>
          <w:szCs w:val="16"/>
          <w:lang w:val="es-ES_tradnl"/>
        </w:rPr>
      </w:pPr>
    </w:p>
    <w:p w:rsidR="00321A03" w:rsidRPr="00A34388" w:rsidRDefault="00525604" w:rsidP="00FF125D">
      <w:pPr>
        <w:autoSpaceDE w:val="0"/>
        <w:autoSpaceDN w:val="0"/>
        <w:jc w:val="both"/>
        <w:rPr>
          <w:sz w:val="16"/>
          <w:lang w:val="es-ES_tradnl"/>
        </w:rPr>
      </w:pPr>
      <w:r w:rsidRPr="00A34388">
        <w:rPr>
          <w:sz w:val="16"/>
          <w:lang w:val="es-ES_tradnl"/>
        </w:rPr>
        <w:t xml:space="preserve">2)  </w:t>
      </w:r>
      <w:r w:rsidR="00321A03" w:rsidRPr="00A34388">
        <w:rPr>
          <w:sz w:val="16"/>
          <w:lang w:val="es-ES_tradnl"/>
        </w:rPr>
        <w:t xml:space="preserve">La asignación para el personal del presupuesto de 2012/13 después de las transferencias representa los gastos reales efectuados en el bienio. </w:t>
      </w:r>
    </w:p>
    <w:p w:rsidR="00321A03" w:rsidRPr="00FF125D" w:rsidRDefault="00321A03" w:rsidP="00FF125D">
      <w:pPr>
        <w:autoSpaceDE w:val="0"/>
        <w:autoSpaceDN w:val="0"/>
        <w:rPr>
          <w:szCs w:val="20"/>
          <w:lang w:val="es-ES_tradnl"/>
        </w:rPr>
      </w:pPr>
    </w:p>
    <w:p w:rsidR="00525604" w:rsidRPr="00332758" w:rsidRDefault="00525604" w:rsidP="00FF125D">
      <w:pPr>
        <w:rPr>
          <w:szCs w:val="20"/>
          <w:lang w:val="es-ES_tradnl"/>
        </w:rPr>
      </w:pPr>
    </w:p>
    <w:p w:rsidR="00525604" w:rsidRPr="00332758" w:rsidRDefault="00525604" w:rsidP="00FF125D">
      <w:pPr>
        <w:rPr>
          <w:u w:val="single"/>
          <w:lang w:val="es-ES_tradnl"/>
        </w:rPr>
      </w:pPr>
      <w:r w:rsidRPr="00332758">
        <w:rPr>
          <w:lang w:val="es-ES_tradnl"/>
        </w:rPr>
        <w:lastRenderedPageBreak/>
        <w:t>A.</w:t>
      </w:r>
      <w:r w:rsidRPr="00A34388">
        <w:rPr>
          <w:lang w:val="es-ES_tradnl"/>
        </w:rPr>
        <w:tab/>
      </w:r>
      <w:r w:rsidRPr="00332758">
        <w:rPr>
          <w:u w:val="single"/>
          <w:lang w:val="es-ES_tradnl"/>
        </w:rPr>
        <w:t>Presupuesto 2012/13 después de las transferencias</w:t>
      </w:r>
    </w:p>
    <w:p w:rsidR="00525604" w:rsidRPr="00A34388" w:rsidRDefault="00525604" w:rsidP="00FF125D">
      <w:pPr>
        <w:autoSpaceDE w:val="0"/>
        <w:autoSpaceDN w:val="0"/>
        <w:adjustRightInd w:val="0"/>
        <w:rPr>
          <w:lang w:val="es-ES_tradnl"/>
        </w:rPr>
      </w:pPr>
    </w:p>
    <w:p w:rsidR="00525604" w:rsidRPr="00A34388" w:rsidRDefault="00525604" w:rsidP="00F93DFF">
      <w:pPr>
        <w:pStyle w:val="ListParagraph"/>
        <w:numPr>
          <w:ilvl w:val="0"/>
          <w:numId w:val="9"/>
        </w:numPr>
        <w:ind w:left="0" w:hanging="11"/>
        <w:jc w:val="both"/>
        <w:rPr>
          <w:rFonts w:eastAsia="Batang"/>
          <w:lang w:val="es-ES_tradnl"/>
        </w:rPr>
      </w:pPr>
      <w:r w:rsidRPr="00A34388">
        <w:rPr>
          <w:lang w:val="es-ES_tradnl"/>
        </w:rPr>
        <w:t xml:space="preserve">El presupuesto después de las </w:t>
      </w:r>
      <w:r w:rsidR="00284400" w:rsidRPr="00A34388">
        <w:rPr>
          <w:lang w:val="es-ES_tradnl"/>
        </w:rPr>
        <w:t>transferencias</w:t>
      </w:r>
      <w:r w:rsidRPr="00A34388">
        <w:rPr>
          <w:lang w:val="es-ES_tradnl"/>
        </w:rPr>
        <w:t xml:space="preserve"> refleja una reducción </w:t>
      </w:r>
      <w:r w:rsidR="0085509D" w:rsidRPr="00A34388">
        <w:rPr>
          <w:lang w:val="es-ES_tradnl"/>
        </w:rPr>
        <w:t xml:space="preserve">de los recursos relativos al </w:t>
      </w:r>
      <w:r w:rsidRPr="00A34388">
        <w:rPr>
          <w:lang w:val="es-ES_tradnl"/>
        </w:rPr>
        <w:t xml:space="preserve">resultado I.1 (Elaboración de marcos normativos internacionales equilibrados para la P.I.) </w:t>
      </w:r>
      <w:r w:rsidR="00F93DFF" w:rsidRPr="00A34388">
        <w:rPr>
          <w:lang w:val="es-ES_tradnl"/>
        </w:rPr>
        <w:t xml:space="preserve">motivada por </w:t>
      </w:r>
      <w:r w:rsidR="0030737C" w:rsidRPr="00A34388">
        <w:rPr>
          <w:lang w:val="es-ES_tradnl"/>
        </w:rPr>
        <w:t xml:space="preserve">el traspaso </w:t>
      </w:r>
      <w:r w:rsidR="0085509D" w:rsidRPr="00A34388">
        <w:rPr>
          <w:lang w:val="es-ES_tradnl"/>
        </w:rPr>
        <w:t xml:space="preserve">al programa 3 </w:t>
      </w:r>
      <w:r w:rsidRPr="00A34388">
        <w:rPr>
          <w:lang w:val="es-ES_tradnl"/>
        </w:rPr>
        <w:t xml:space="preserve">de </w:t>
      </w:r>
      <w:r w:rsidR="0085509D" w:rsidRPr="00A34388">
        <w:rPr>
          <w:lang w:val="es-ES_tradnl"/>
        </w:rPr>
        <w:t xml:space="preserve">los </w:t>
      </w:r>
      <w:r w:rsidRPr="00A34388">
        <w:rPr>
          <w:lang w:val="es-ES_tradnl"/>
        </w:rPr>
        <w:t xml:space="preserve">recursos inicialmente presupuestados para </w:t>
      </w:r>
      <w:r w:rsidR="00555CD4" w:rsidRPr="00A34388">
        <w:rPr>
          <w:lang w:val="es-ES_tradnl"/>
        </w:rPr>
        <w:t xml:space="preserve">la organización de una </w:t>
      </w:r>
      <w:r w:rsidRPr="00A34388">
        <w:rPr>
          <w:lang w:val="es-ES_tradnl"/>
        </w:rPr>
        <w:t>posible conferencia diplomática en materia de propiedad intelectual y los recursos genéticos, los conocimientos tradicionales y las expresiones culturales tradicionales/folclore</w:t>
      </w:r>
      <w:r w:rsidR="0085509D" w:rsidRPr="00A34388">
        <w:rPr>
          <w:lang w:val="es-ES_tradnl"/>
        </w:rPr>
        <w:t>,</w:t>
      </w:r>
      <w:r w:rsidRPr="00A34388">
        <w:rPr>
          <w:lang w:val="es-ES_tradnl"/>
        </w:rPr>
        <w:t xml:space="preserve"> </w:t>
      </w:r>
      <w:r w:rsidR="0085509D" w:rsidRPr="00A34388">
        <w:rPr>
          <w:lang w:val="es-ES_tradnl"/>
        </w:rPr>
        <w:t xml:space="preserve">con </w:t>
      </w:r>
      <w:r w:rsidR="0030737C" w:rsidRPr="00A34388">
        <w:rPr>
          <w:lang w:val="es-ES_tradnl"/>
        </w:rPr>
        <w:t xml:space="preserve">la finalidad </w:t>
      </w:r>
      <w:r w:rsidR="00555CD4" w:rsidRPr="00A34388">
        <w:rPr>
          <w:lang w:val="es-ES_tradnl"/>
        </w:rPr>
        <w:t xml:space="preserve">de </w:t>
      </w:r>
      <w:r w:rsidR="0030737C" w:rsidRPr="00A34388">
        <w:rPr>
          <w:lang w:val="es-ES_tradnl"/>
        </w:rPr>
        <w:t xml:space="preserve">que se celebre </w:t>
      </w:r>
      <w:r w:rsidR="00555CD4" w:rsidRPr="00A34388">
        <w:rPr>
          <w:lang w:val="es-ES_tradnl"/>
        </w:rPr>
        <w:t xml:space="preserve">la Conferencia Diplomática para la adopción de un </w:t>
      </w:r>
      <w:r w:rsidR="0030737C" w:rsidRPr="00A34388">
        <w:rPr>
          <w:lang w:val="es-ES_tradnl"/>
        </w:rPr>
        <w:t>T</w:t>
      </w:r>
      <w:r w:rsidR="00555CD4" w:rsidRPr="00A34388">
        <w:rPr>
          <w:lang w:val="es-ES_tradnl"/>
        </w:rPr>
        <w:t>ratado que facilite el acceso a las obras publicadas de las personas ciegas, con discapacidad visual o con otras dificultades para acced</w:t>
      </w:r>
      <w:r w:rsidR="00536E54" w:rsidRPr="00A34388">
        <w:rPr>
          <w:lang w:val="es-ES_tradnl"/>
        </w:rPr>
        <w:t>e</w:t>
      </w:r>
      <w:r w:rsidR="00555CD4" w:rsidRPr="00A34388">
        <w:rPr>
          <w:lang w:val="es-ES_tradnl"/>
        </w:rPr>
        <w:t>r al texto impreso</w:t>
      </w:r>
      <w:r w:rsidRPr="00A34388">
        <w:rPr>
          <w:lang w:val="es-ES_tradnl"/>
        </w:rPr>
        <w:t>.</w:t>
      </w:r>
    </w:p>
    <w:p w:rsidR="00525604" w:rsidRPr="00A34388" w:rsidRDefault="00525604" w:rsidP="00525604">
      <w:pPr>
        <w:tabs>
          <w:tab w:val="left" w:pos="709"/>
        </w:tabs>
        <w:jc w:val="both"/>
        <w:rPr>
          <w:rFonts w:eastAsia="Batang"/>
          <w:lang w:val="es-ES_tradnl"/>
        </w:rPr>
      </w:pPr>
    </w:p>
    <w:p w:rsidR="00525604" w:rsidRPr="00A34388" w:rsidRDefault="00525604" w:rsidP="00525604">
      <w:pPr>
        <w:pStyle w:val="ListParagraph"/>
        <w:numPr>
          <w:ilvl w:val="0"/>
          <w:numId w:val="9"/>
        </w:numPr>
        <w:tabs>
          <w:tab w:val="left" w:pos="709"/>
        </w:tabs>
        <w:ind w:left="0" w:firstLine="0"/>
        <w:jc w:val="both"/>
        <w:rPr>
          <w:rFonts w:eastAsia="Batang"/>
          <w:lang w:val="es-ES_tradnl"/>
        </w:rPr>
      </w:pP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525604" w:rsidRPr="00A34388" w:rsidRDefault="00525604" w:rsidP="00FF125D">
      <w:pPr>
        <w:tabs>
          <w:tab w:val="left" w:pos="709"/>
        </w:tabs>
        <w:jc w:val="both"/>
        <w:rPr>
          <w:rFonts w:eastAsia="Batang"/>
          <w:lang w:val="es-ES_tradnl"/>
        </w:rPr>
      </w:pPr>
    </w:p>
    <w:p w:rsidR="00525604" w:rsidRPr="00A34388" w:rsidRDefault="00525604" w:rsidP="00525604">
      <w:pPr>
        <w:jc w:val="both"/>
        <w:rPr>
          <w:rFonts w:eastAsia="Batang"/>
          <w:lang w:val="es-ES_tradnl"/>
        </w:rPr>
      </w:pPr>
    </w:p>
    <w:p w:rsidR="00525604" w:rsidRPr="00A34388" w:rsidRDefault="00525604" w:rsidP="00525604">
      <w:pPr>
        <w:tabs>
          <w:tab w:val="left" w:pos="709"/>
        </w:tabs>
        <w:jc w:val="both"/>
        <w:rPr>
          <w:rFonts w:eastAsia="Batang"/>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jc w:val="both"/>
        <w:rPr>
          <w:rFonts w:eastAsia="Batang"/>
          <w:lang w:val="es-ES_tradnl"/>
        </w:rPr>
      </w:pPr>
    </w:p>
    <w:p w:rsidR="00525604" w:rsidRPr="00A34388" w:rsidRDefault="00525604" w:rsidP="00525604">
      <w:pPr>
        <w:pStyle w:val="ListParagraph"/>
        <w:numPr>
          <w:ilvl w:val="0"/>
          <w:numId w:val="9"/>
        </w:numPr>
        <w:tabs>
          <w:tab w:val="left" w:pos="709"/>
        </w:tabs>
        <w:ind w:left="0" w:firstLine="0"/>
        <w:jc w:val="both"/>
        <w:rPr>
          <w:rFonts w:eastAsia="Batang" w:cs="Arial"/>
          <w:lang w:val="es-ES_tradnl"/>
        </w:rPr>
      </w:pPr>
      <w:r w:rsidRPr="00A34388">
        <w:rPr>
          <w:lang w:val="es-ES_tradnl"/>
        </w:rPr>
        <w:t xml:space="preserve">El índice de utilización </w:t>
      </w:r>
      <w:r w:rsidR="0085509D" w:rsidRPr="00A34388">
        <w:rPr>
          <w:lang w:val="es-ES_tradnl"/>
        </w:rPr>
        <w:t xml:space="preserve">a cargo del programa </w:t>
      </w:r>
      <w:r w:rsidRPr="00A34388">
        <w:rPr>
          <w:lang w:val="es-ES_tradnl"/>
        </w:rPr>
        <w:t xml:space="preserve">del presupuesto no relativo al personal fue del 88% del presupuesto después de las transferencias.  </w:t>
      </w:r>
      <w:r w:rsidR="0085509D" w:rsidRPr="00A34388">
        <w:rPr>
          <w:lang w:val="es-ES_tradnl"/>
        </w:rPr>
        <w:t xml:space="preserve">Esta infrautilización </w:t>
      </w:r>
      <w:r w:rsidRPr="00A34388">
        <w:rPr>
          <w:lang w:val="es-ES_tradnl"/>
        </w:rPr>
        <w:t>de los recursos no relativos al personal se debió principalmente a:</w:t>
      </w:r>
    </w:p>
    <w:p w:rsidR="00525604" w:rsidRPr="00A34388" w:rsidRDefault="00525604" w:rsidP="00525604">
      <w:pPr>
        <w:jc w:val="both"/>
        <w:rPr>
          <w:rFonts w:eastAsia="Batang" w:cs="Arial"/>
          <w:szCs w:val="20"/>
          <w:lang w:val="es-ES_tradnl"/>
        </w:rPr>
      </w:pPr>
    </w:p>
    <w:p w:rsidR="00525604" w:rsidRPr="00A34388" w:rsidRDefault="00525604" w:rsidP="00525604">
      <w:pPr>
        <w:pStyle w:val="ListParagraph"/>
        <w:numPr>
          <w:ilvl w:val="0"/>
          <w:numId w:val="8"/>
        </w:numPr>
        <w:ind w:left="993" w:hanging="284"/>
        <w:jc w:val="both"/>
        <w:rPr>
          <w:lang w:val="es-ES_tradnl"/>
        </w:rPr>
      </w:pPr>
      <w:r w:rsidRPr="00A34388">
        <w:rPr>
          <w:lang w:val="es-ES_tradnl"/>
        </w:rPr>
        <w:t xml:space="preserve">el aplazamiento de la conferencia diplomática y los ahorros de costos asociados a una reducción de los costos de viaje para las sesiones del CIG </w:t>
      </w:r>
      <w:r w:rsidR="0085509D" w:rsidRPr="00A34388">
        <w:rPr>
          <w:lang w:val="es-ES_tradnl"/>
        </w:rPr>
        <w:t xml:space="preserve">en el marco del </w:t>
      </w:r>
      <w:r w:rsidRPr="00A34388">
        <w:rPr>
          <w:lang w:val="es-ES_tradnl"/>
        </w:rPr>
        <w:t xml:space="preserve">resultado I.4 (Asesoramiento en el ámbito legislativo); </w:t>
      </w:r>
    </w:p>
    <w:p w:rsidR="00525604" w:rsidRPr="00A34388" w:rsidRDefault="00525604" w:rsidP="00525604">
      <w:pPr>
        <w:pStyle w:val="ListParagraph"/>
        <w:ind w:left="993" w:hanging="284"/>
        <w:jc w:val="both"/>
        <w:rPr>
          <w:lang w:val="es-ES_tradnl"/>
        </w:rPr>
      </w:pPr>
    </w:p>
    <w:p w:rsidR="00525604" w:rsidRPr="00A34388" w:rsidRDefault="00525604" w:rsidP="00525604">
      <w:pPr>
        <w:pStyle w:val="ListParagraph"/>
        <w:numPr>
          <w:ilvl w:val="0"/>
          <w:numId w:val="8"/>
        </w:numPr>
        <w:ind w:left="993" w:hanging="284"/>
        <w:jc w:val="both"/>
        <w:rPr>
          <w:lang w:val="es-ES_tradnl"/>
        </w:rPr>
      </w:pPr>
      <w:r w:rsidRPr="00A34388">
        <w:rPr>
          <w:lang w:val="es-ES_tradnl"/>
        </w:rPr>
        <w:t xml:space="preserve">ahorros de costos asociados a una reducción de misiones del personal </w:t>
      </w:r>
      <w:r w:rsidR="0085509D" w:rsidRPr="00A34388">
        <w:rPr>
          <w:lang w:val="es-ES_tradnl"/>
        </w:rPr>
        <w:t xml:space="preserve">en el marco del </w:t>
      </w:r>
      <w:r w:rsidRPr="00A34388">
        <w:rPr>
          <w:lang w:val="es-ES_tradnl"/>
        </w:rPr>
        <w:t>resultado III.2 (Mejora de las capacidades en el ámbito de los recursos humanos);  y</w:t>
      </w:r>
    </w:p>
    <w:p w:rsidR="00525604" w:rsidRPr="00A34388" w:rsidRDefault="00525604" w:rsidP="00525604">
      <w:pPr>
        <w:pStyle w:val="ListParagraph"/>
        <w:ind w:left="993" w:hanging="284"/>
        <w:jc w:val="both"/>
        <w:rPr>
          <w:lang w:val="es-ES_tradnl"/>
        </w:rPr>
      </w:pPr>
    </w:p>
    <w:p w:rsidR="00525604" w:rsidRPr="00A34388" w:rsidRDefault="00525604" w:rsidP="00525604">
      <w:pPr>
        <w:pStyle w:val="ListParagraph"/>
        <w:numPr>
          <w:ilvl w:val="0"/>
          <w:numId w:val="8"/>
        </w:numPr>
        <w:ind w:left="993" w:hanging="284"/>
        <w:jc w:val="both"/>
        <w:rPr>
          <w:lang w:val="es-ES_tradnl"/>
        </w:rPr>
      </w:pPr>
      <w:r w:rsidRPr="00A34388">
        <w:rPr>
          <w:lang w:val="es-ES_tradnl"/>
        </w:rPr>
        <w:t xml:space="preserve">el aplazamiento de varias actividades durante el bienio </w:t>
      </w:r>
      <w:r w:rsidR="0085509D" w:rsidRPr="00A34388">
        <w:rPr>
          <w:lang w:val="es-ES_tradnl"/>
        </w:rPr>
        <w:t xml:space="preserve">en el marco de los </w:t>
      </w:r>
      <w:r w:rsidRPr="00A34388">
        <w:rPr>
          <w:lang w:val="es-ES_tradnl"/>
        </w:rPr>
        <w:t>resultado</w:t>
      </w:r>
      <w:r w:rsidR="0085509D" w:rsidRPr="00A34388">
        <w:rPr>
          <w:lang w:val="es-ES_tradnl"/>
        </w:rPr>
        <w:t>s</w:t>
      </w:r>
      <w:r w:rsidRPr="00A34388">
        <w:rPr>
          <w:lang w:val="es-ES_tradnl"/>
        </w:rPr>
        <w:t xml:space="preserve"> III.2 (Mejora de las capacidades en el ámbito de los recursos humanos) y III.9 (Reconocimiento por los Estados miembros).</w:t>
      </w:r>
    </w:p>
    <w:p w:rsidR="00525604" w:rsidRPr="00A34388" w:rsidRDefault="00525604" w:rsidP="00525604">
      <w:pPr>
        <w:rPr>
          <w:lang w:val="es-ES_tradnl"/>
        </w:rPr>
      </w:pPr>
    </w:p>
    <w:p w:rsidR="00391D6B" w:rsidRPr="00FF125D" w:rsidRDefault="00525604" w:rsidP="00391D6B">
      <w:pPr>
        <w:pStyle w:val="Heading2"/>
        <w:keepNext w:val="0"/>
        <w:rPr>
          <w:lang w:val="es-ES_tradnl"/>
        </w:rPr>
      </w:pPr>
      <w:r w:rsidRPr="00A34388">
        <w:rPr>
          <w:lang w:val="es-ES_tradnl"/>
        </w:rPr>
        <w:br w:type="page"/>
      </w:r>
      <w:bookmarkStart w:id="30" w:name="_Toc395279656"/>
      <w:r w:rsidR="00391D6B" w:rsidRPr="00332758">
        <w:rPr>
          <w:caps w:val="0"/>
          <w:lang w:val="es-ES_tradnl"/>
        </w:rPr>
        <w:lastRenderedPageBreak/>
        <w:t>META ESTRATÉGICA II</w:t>
      </w:r>
      <w:r w:rsidR="00391D6B" w:rsidRPr="00332758">
        <w:rPr>
          <w:lang w:val="es-ES_tradnl"/>
        </w:rPr>
        <w:br/>
      </w:r>
      <w:r w:rsidR="00391D6B" w:rsidRPr="00332758">
        <w:rPr>
          <w:lang w:val="es-ES_tradnl"/>
        </w:rPr>
        <w:br/>
        <w:t>Prestación de servicios mundiales de P.I. de calidad</w:t>
      </w:r>
      <w:bookmarkEnd w:id="30"/>
    </w:p>
    <w:p w:rsidR="00525604" w:rsidRPr="00A34388" w:rsidRDefault="00525604" w:rsidP="00391D6B">
      <w:pPr>
        <w:rPr>
          <w:lang w:val="es-ES_tradnl"/>
        </w:rPr>
      </w:pPr>
    </w:p>
    <w:p w:rsidR="00525604" w:rsidRPr="00A34388" w:rsidRDefault="00525604" w:rsidP="00525604">
      <w:pPr>
        <w:jc w:val="center"/>
        <w:rPr>
          <w:lang w:val="es-ES_tradnl"/>
        </w:rPr>
      </w:pPr>
    </w:p>
    <w:p w:rsidR="00525604" w:rsidRPr="00A34388" w:rsidRDefault="00525604" w:rsidP="00525604">
      <w:pPr>
        <w:jc w:val="center"/>
        <w:rPr>
          <w:lang w:val="es-ES_tradnl"/>
        </w:rPr>
      </w:pPr>
      <w:r w:rsidRPr="00332758">
        <w:rPr>
          <w:lang w:val="es-ES_tradnl"/>
        </w:rPr>
        <w:t>CUADRO SOBRE EL RENDIMIENTO BIENAL</w:t>
      </w:r>
    </w:p>
    <w:p w:rsidR="00525604" w:rsidRPr="00A34388" w:rsidRDefault="00525604" w:rsidP="00525604">
      <w:pPr>
        <w:jc w:val="center"/>
        <w:rPr>
          <w:lang w:val="es-ES_tradnl"/>
        </w:rPr>
      </w:pPr>
    </w:p>
    <w:p w:rsidR="00525604" w:rsidRPr="00A34388" w:rsidRDefault="00F93DFF" w:rsidP="00525604">
      <w:pPr>
        <w:autoSpaceDE w:val="0"/>
        <w:autoSpaceDN w:val="0"/>
        <w:adjustRightInd w:val="0"/>
        <w:jc w:val="both"/>
        <w:rPr>
          <w:rFonts w:cs="Arial"/>
          <w:lang w:val="es-ES_tradnl"/>
        </w:rPr>
      </w:pPr>
      <w:r w:rsidRPr="00A34388">
        <w:rPr>
          <w:lang w:val="es-ES_tradnl"/>
        </w:rPr>
        <w:t xml:space="preserve">En el siguiente </w:t>
      </w:r>
      <w:r w:rsidR="00525604" w:rsidRPr="00A34388">
        <w:rPr>
          <w:lang w:val="es-ES_tradnl"/>
        </w:rPr>
        <w:t xml:space="preserve">cuadro </w:t>
      </w:r>
      <w:r w:rsidRPr="00A34388">
        <w:rPr>
          <w:lang w:val="es-ES_tradnl"/>
        </w:rPr>
        <w:t xml:space="preserve">se incluye una reseña general de la consecución de los </w:t>
      </w:r>
      <w:r w:rsidR="00525604" w:rsidRPr="00A34388">
        <w:rPr>
          <w:lang w:val="es-ES_tradnl"/>
        </w:rPr>
        <w:t xml:space="preserve">resultados previstos en el bienio 2012/13 </w:t>
      </w:r>
      <w:r w:rsidRPr="00A34388">
        <w:rPr>
          <w:lang w:val="es-ES_tradnl"/>
        </w:rPr>
        <w:t xml:space="preserve">medidos por los indicadores relativos a </w:t>
      </w:r>
      <w:r w:rsidR="00525604" w:rsidRPr="00A34388">
        <w:rPr>
          <w:lang w:val="es-ES_tradnl"/>
        </w:rPr>
        <w:t xml:space="preserve">los programas que contribuyen a esta meta estratégica.  </w:t>
      </w:r>
    </w:p>
    <w:p w:rsidR="00525604" w:rsidRDefault="00525604" w:rsidP="00525604">
      <w:pPr>
        <w:autoSpaceDE w:val="0"/>
        <w:autoSpaceDN w:val="0"/>
        <w:adjustRightInd w:val="0"/>
        <w:jc w:val="both"/>
        <w:rPr>
          <w:rFonts w:cs="Arial"/>
          <w:lang w:val="es-ES_tradnl"/>
        </w:rPr>
      </w:pPr>
    </w:p>
    <w:p w:rsidR="00902C5C" w:rsidRDefault="00902C5C" w:rsidP="00902C5C">
      <w:pPr>
        <w:autoSpaceDE w:val="0"/>
        <w:autoSpaceDN w:val="0"/>
        <w:adjustRightInd w:val="0"/>
        <w:jc w:val="center"/>
        <w:rPr>
          <w:rFonts w:cs="Arial"/>
          <w:lang w:val="es-ES_tradnl"/>
        </w:rPr>
      </w:pPr>
      <w:r>
        <w:rPr>
          <w:rFonts w:cs="Arial"/>
          <w:noProof/>
        </w:rPr>
        <w:drawing>
          <wp:inline distT="0" distB="0" distL="0" distR="0" wp14:anchorId="761FD0BE" wp14:editId="3D98010F">
            <wp:extent cx="4140403" cy="2148125"/>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9191" cy="2147496"/>
                    </a:xfrm>
                    <a:prstGeom prst="rect">
                      <a:avLst/>
                    </a:prstGeom>
                    <a:noFill/>
                  </pic:spPr>
                </pic:pic>
              </a:graphicData>
            </a:graphic>
          </wp:inline>
        </w:drawing>
      </w:r>
    </w:p>
    <w:p w:rsidR="00902C5C" w:rsidRPr="00A34388" w:rsidRDefault="00902C5C" w:rsidP="00525604">
      <w:pPr>
        <w:autoSpaceDE w:val="0"/>
        <w:autoSpaceDN w:val="0"/>
        <w:adjustRightInd w:val="0"/>
        <w:jc w:val="both"/>
        <w:rPr>
          <w:rFonts w:cs="Arial"/>
          <w:lang w:val="es-ES_tradnl"/>
        </w:rPr>
      </w:pPr>
    </w:p>
    <w:p w:rsidR="00525604" w:rsidRPr="00A34388" w:rsidRDefault="00525604" w:rsidP="00525604">
      <w:pPr>
        <w:autoSpaceDE w:val="0"/>
        <w:autoSpaceDN w:val="0"/>
        <w:adjustRightInd w:val="0"/>
        <w:jc w:val="center"/>
        <w:rPr>
          <w:rFonts w:cs="Arial"/>
          <w:lang w:val="es-ES_tradnl"/>
        </w:rPr>
      </w:pPr>
      <w:r w:rsidRPr="00A34388">
        <w:rPr>
          <w:lang w:val="es-ES_tradnl"/>
        </w:rPr>
        <w:br/>
      </w:r>
    </w:p>
    <w:p w:rsidR="00525604" w:rsidRPr="00A34388" w:rsidRDefault="00525604" w:rsidP="00525604">
      <w:pPr>
        <w:tabs>
          <w:tab w:val="left" w:pos="1701"/>
        </w:tabs>
        <w:ind w:left="1701" w:hanging="1701"/>
        <w:jc w:val="center"/>
        <w:rPr>
          <w:rFonts w:cs="Arial"/>
          <w:b/>
          <w:bCs/>
          <w:caps/>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525604" w:rsidRPr="00A34388" w:rsidTr="00853209">
        <w:trPr>
          <w:tblHeader/>
        </w:trPr>
        <w:tc>
          <w:tcPr>
            <w:tcW w:w="3224" w:type="dxa"/>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435" w:type="dxa"/>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365" w:type="dxa"/>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342" w:type="dxa"/>
            <w:tcBorders>
              <w:top w:val="single" w:sz="4" w:space="0" w:color="auto"/>
              <w:bottom w:val="single" w:sz="4" w:space="0" w:color="auto"/>
            </w:tcBorders>
            <w:shd w:val="clear" w:color="auto" w:fill="CCFFFF"/>
            <w:vAlign w:val="center"/>
          </w:tcPr>
          <w:p w:rsidR="00525604" w:rsidRPr="00332758" w:rsidRDefault="00525604" w:rsidP="00853209">
            <w:pPr>
              <w:spacing w:before="120" w:after="120"/>
              <w:jc w:val="center"/>
              <w:rPr>
                <w:rFonts w:cs="Arial"/>
                <w:b/>
                <w:bCs/>
                <w:sz w:val="14"/>
                <w:szCs w:val="14"/>
                <w:lang w:val="es-ES_tradnl"/>
              </w:rPr>
            </w:pPr>
            <w:r w:rsidRPr="00332758">
              <w:rPr>
                <w:b/>
                <w:sz w:val="14"/>
                <w:lang w:val="es-ES_tradnl"/>
              </w:rPr>
              <w:t>Clave de colores</w:t>
            </w:r>
          </w:p>
        </w:tc>
      </w:tr>
      <w:tr w:rsidR="00525604" w:rsidRPr="00A34388" w:rsidTr="00853209">
        <w:tc>
          <w:tcPr>
            <w:tcW w:w="3224" w:type="dxa"/>
            <w:tcBorders>
              <w:top w:val="single" w:sz="4" w:space="0" w:color="auto"/>
            </w:tcBorders>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Utilización estratégica del PCT, con conocimiento de causa, por todos los innovadores que puedan aprovecharlo.</w:t>
            </w:r>
          </w:p>
        </w:tc>
        <w:tc>
          <w:tcPr>
            <w:tcW w:w="3435" w:type="dxa"/>
            <w:tcBorders>
              <w:top w:val="single" w:sz="4" w:space="0" w:color="auto"/>
            </w:tcBorders>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Presentación de solicitudes PCT.</w:t>
            </w:r>
          </w:p>
          <w:p w:rsidR="00525604" w:rsidRPr="00A34388" w:rsidRDefault="00525604" w:rsidP="00853209">
            <w:pPr>
              <w:spacing w:before="80"/>
              <w:rPr>
                <w:rFonts w:cs="Arial"/>
                <w:sz w:val="14"/>
                <w:szCs w:val="14"/>
                <w:lang w:val="es-ES_tradnl"/>
              </w:rPr>
            </w:pPr>
            <w:r w:rsidRPr="00332758">
              <w:rPr>
                <w:sz w:val="14"/>
                <w:lang w:val="es-ES_tradnl"/>
              </w:rPr>
              <w:t>Proporción de solicitudes PCT que entran en la fase nacional sobre el total de las solicitudes internacionales presentadas.</w:t>
            </w:r>
          </w:p>
        </w:tc>
        <w:tc>
          <w:tcPr>
            <w:tcW w:w="1365" w:type="dxa"/>
            <w:tcBorders>
              <w:top w:val="single" w:sz="4" w:space="0" w:color="auto"/>
            </w:tcBorders>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Borders>
              <w:top w:val="single" w:sz="4" w:space="0" w:color="auto"/>
            </w:tcBorders>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r w:rsidRPr="00A34388">
              <w:rPr>
                <w:rFonts w:cs="Arial"/>
                <w:color w:val="10862C"/>
                <w:sz w:val="22"/>
                <w:szCs w:val="22"/>
                <w:lang w:val="es-ES_tradnl"/>
              </w:rPr>
              <w:br/>
            </w:r>
          </w:p>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Fortalecimiento de las relaciones con los usuarios del PCT y las oficinas.</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Satisfacción de las oficinas y las administraciones internacionales con las actividades de cooperación en el marco del PCT.</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vAlign w:val="center"/>
          </w:tcPr>
          <w:p w:rsidR="00525604" w:rsidRPr="00A34388" w:rsidRDefault="00525604" w:rsidP="00853209">
            <w:pPr>
              <w:spacing w:before="8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Contactos significativos con los usuarios del PCT</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vAlign w:val="center"/>
          </w:tcPr>
          <w:p w:rsidR="00525604" w:rsidRPr="00A34388" w:rsidRDefault="00525604" w:rsidP="00853209">
            <w:pPr>
              <w:spacing w:before="8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Mayor información proporcionada por los usuarios del PCT sobre el desempeño global del sistema.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Perfeccionamiento del Sistema del PCT en su conjunto</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Progresos en la aplicación de las recomendaciones respaldadas por el Grupo de Trabajo del PCT en 2010 acerca de la forma de mejorar el funcionamiento del PCT, concretamente en relación con los seis grupos de cuestiones que figuran a continuación: i) retrasos:  mejorar la calidad de las patentes concedidas; ii) puntualidad en la fase internacional; iii) calidad en las búsquedas internacionales y en los exámenes preliminares; iv) incentivos para que los solicitantes hagan un uso eficaz del sistema;  lagunas en materia de competencias y de mano de obra; v) cuestiones relativas a los costos;  coherencia y disponibilidad de salvaguardias; vi) asistencia técnica;  información y transferencia de tecnología en el marco del PCT.</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Mejor funcionamiento de la Oficina Internacional </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Costo unitario de tramitación de las solicitudes.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Productividad en el examen de las formalidades.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Calidad del examen de las formalidades.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Tiempo necesario para el examen de las formalidades (porcentaje de exámenes efectuados en 3 semanas a partir de la recepción).</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Tiempo necesario para la publicación (porcentaje de solicitudes publicadas en 18 meses + 3 semanas a partir de la fecha de prioridad).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Calidad de la traducción (porcentaje de traducciones que aprueban el control de calidad).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Presentación de solicitudes en la Oficina Internacional como Oficina receptora.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5</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Mejor utilización de los sistemas de Madrid y de Lisboa por los países en desarrollo y los PMA, entre otros</w:t>
            </w:r>
            <w:r w:rsidRPr="00A34388">
              <w:rPr>
                <w:color w:val="FF00FF"/>
                <w:sz w:val="14"/>
                <w:lang w:val="es-ES_tradnl"/>
              </w:rPr>
              <w:t>.</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nuevos registros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renovaciones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notificaciones de irregularidad sobre el número total de solicitudes recibidas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keepNext/>
              <w:keepLines/>
              <w:spacing w:before="80"/>
              <w:rPr>
                <w:rFonts w:cs="Arial"/>
                <w:sz w:val="14"/>
                <w:szCs w:val="14"/>
                <w:lang w:val="es-ES_tradnl"/>
              </w:rPr>
            </w:pPr>
            <w:r w:rsidRPr="00332758">
              <w:rPr>
                <w:sz w:val="14"/>
                <w:lang w:val="es-ES_tradnl"/>
              </w:rPr>
              <w:t>Porcentaje de solicitudes internacionales de países en desarrollo y PMA (Sistema de Madrid).</w:t>
            </w:r>
          </w:p>
        </w:tc>
        <w:tc>
          <w:tcPr>
            <w:tcW w:w="1365" w:type="dxa"/>
            <w:shd w:val="clear" w:color="auto" w:fill="auto"/>
            <w:tcMar>
              <w:top w:w="113" w:type="dxa"/>
            </w:tcMar>
          </w:tcPr>
          <w:p w:rsidR="00525604" w:rsidRPr="00A34388" w:rsidRDefault="00525604" w:rsidP="00853209">
            <w:pPr>
              <w:keepNext/>
              <w:keepLines/>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keepNext/>
              <w:keepLines/>
              <w:jc w:val="center"/>
              <w:rPr>
                <w:rFonts w:cs="Arial"/>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keepNext/>
              <w:keepLines/>
              <w:spacing w:before="80"/>
              <w:rPr>
                <w:rFonts w:cs="Arial"/>
                <w:sz w:val="14"/>
                <w:szCs w:val="14"/>
                <w:lang w:val="es-ES_tradnl"/>
              </w:rPr>
            </w:pPr>
            <w:r w:rsidRPr="00332758">
              <w:rPr>
                <w:sz w:val="14"/>
                <w:lang w:val="es-ES_tradnl"/>
              </w:rPr>
              <w:t>Número de Partes Contratantes del Protocolo de Madrid.</w:t>
            </w:r>
          </w:p>
        </w:tc>
        <w:tc>
          <w:tcPr>
            <w:tcW w:w="1365" w:type="dxa"/>
            <w:shd w:val="clear" w:color="auto" w:fill="auto"/>
            <w:tcMar>
              <w:top w:w="113" w:type="dxa"/>
            </w:tcMar>
          </w:tcPr>
          <w:p w:rsidR="00525604" w:rsidRPr="00A34388" w:rsidRDefault="00525604" w:rsidP="00853209">
            <w:pPr>
              <w:keepNext/>
              <w:keepLines/>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keepNext/>
              <w:keepLines/>
              <w:jc w:val="center"/>
              <w:rPr>
                <w:rFonts w:cs="Arial"/>
                <w:sz w:val="22"/>
                <w:szCs w:val="22"/>
                <w:lang w:val="es-ES_tradnl"/>
              </w:rPr>
            </w:pPr>
            <w:r w:rsidRPr="00A34388">
              <w:rPr>
                <w:rFonts w:cs="Arial"/>
                <w:color w:val="10862C"/>
                <w:sz w:val="22"/>
                <w:szCs w:val="22"/>
                <w:lang w:val="es-ES_tradnl"/>
              </w:rPr>
              <w:sym w:font="Wingdings" w:char="F06C"/>
            </w:r>
          </w:p>
        </w:tc>
      </w:tr>
      <w:tr w:rsidR="00525604" w:rsidRPr="00A34388" w:rsidTr="00853209">
        <w:trPr>
          <w:trHeight w:val="414"/>
        </w:trPr>
        <w:tc>
          <w:tcPr>
            <w:tcW w:w="3224" w:type="dxa"/>
            <w:vMerge w:val="restart"/>
            <w:shd w:val="clear" w:color="auto" w:fill="auto"/>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bottom w:w="113" w:type="dxa"/>
            </w:tcMar>
          </w:tcPr>
          <w:p w:rsidR="00525604" w:rsidRPr="00A34388" w:rsidRDefault="00525604" w:rsidP="00853209">
            <w:pPr>
              <w:spacing w:before="80"/>
              <w:rPr>
                <w:rFonts w:cs="Arial"/>
                <w:sz w:val="14"/>
                <w:szCs w:val="14"/>
                <w:lang w:val="es-ES_tradnl"/>
              </w:rPr>
            </w:pPr>
            <w:r w:rsidRPr="00332758">
              <w:rPr>
                <w:sz w:val="14"/>
                <w:lang w:val="es-ES_tradnl"/>
              </w:rPr>
              <w:t>Número de Partes Contratantes del Arreglo de Lisboa.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registros internacionales en vigor, correspondientes a países en desarrollo y PMA, en virtud del Sistema de Lisboa relativo a las denominaciones de origen.</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rFonts w:cs="Arial"/>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Mejora del funcionamiento de los sistemas de Madrid y de Lisboa</w:t>
            </w:r>
            <w:r w:rsidRPr="00A34388">
              <w:rPr>
                <w:color w:val="000000"/>
                <w:sz w:val="14"/>
                <w:lang w:val="es-ES_tradnl"/>
              </w:rPr>
              <w:t>.</w:t>
            </w:r>
            <w:r w:rsidRPr="00A34388">
              <w:rPr>
                <w:sz w:val="14"/>
                <w:lang w:val="es-ES_tradnl"/>
              </w:rPr>
              <w:t xml:space="preserve"> </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Media de tiempo de tramitación de nuevas solicitudes sin irregularidades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oficinas que envían solicitudes en formato XML y reciben designaciones en formato XML (Sistema de Madrid)</w:t>
            </w:r>
            <w:r w:rsidRPr="00A34388">
              <w:rPr>
                <w:color w:val="FF00FF"/>
                <w:sz w:val="14"/>
                <w:lang w:val="es-ES_tradnl"/>
              </w:rPr>
              <w:t>.</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documentos recibidos en formato electrónico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clientes que reciben notificaciones por correo-e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Número de clientes que utilizan el </w:t>
            </w:r>
            <w:r w:rsidRPr="00332758">
              <w:rPr>
                <w:i/>
                <w:sz w:val="14"/>
                <w:lang w:val="es-ES_tradnl"/>
              </w:rPr>
              <w:t>Portfolio</w:t>
            </w:r>
            <w:r w:rsidRPr="00332758">
              <w:rPr>
                <w:sz w:val="14"/>
                <w:lang w:val="es-ES_tradnl"/>
              </w:rPr>
              <w:t xml:space="preserve"> </w:t>
            </w:r>
            <w:r w:rsidRPr="00332758">
              <w:rPr>
                <w:i/>
                <w:sz w:val="14"/>
                <w:lang w:val="es-ES_tradnl"/>
              </w:rPr>
              <w:t>Manager</w:t>
            </w:r>
            <w:r w:rsidRPr="00332758">
              <w:rPr>
                <w:sz w:val="14"/>
                <w:lang w:val="es-ES_tradnl"/>
              </w:rPr>
              <w:t xml:space="preserve">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trámites totalmente automatizados (Sistema de Madrid).</w:t>
            </w:r>
            <w:r w:rsidRPr="00A34388">
              <w:rPr>
                <w:sz w:val="14"/>
                <w:lang w:val="es-ES_tradnl"/>
              </w:rPr>
              <w:t xml:space="preserve"> </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10862C"/>
                <w:sz w:val="22"/>
                <w:szCs w:val="22"/>
                <w:lang w:val="es-ES_tradnl"/>
              </w:rPr>
            </w:pPr>
            <w:r w:rsidRPr="00A34388">
              <w:rPr>
                <w:rFonts w:cs="Arial"/>
                <w:color w:val="10862C"/>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correcciones inscritas, en relación con el total de procedimientos inscritos (exceptuando las denegaciones y las decisiones finales) (Sistema de Madrid).</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Creación de un Registro Internacional automatizado (Sistema de Lisboa).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Aumento en el número de </w:t>
            </w:r>
            <w:r w:rsidR="00956D28" w:rsidRPr="00332758">
              <w:rPr>
                <w:sz w:val="14"/>
                <w:lang w:val="es-ES_tradnl"/>
              </w:rPr>
              <w:t xml:space="preserve">Administraciones </w:t>
            </w:r>
            <w:r w:rsidRPr="00332758">
              <w:rPr>
                <w:sz w:val="14"/>
                <w:lang w:val="es-ES_tradnl"/>
              </w:rPr>
              <w:t>competentes que se valen de medios electrónicos de comunicación en el marco de los procedimientos del Sistema de Lisboa.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6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60"/>
              <w:rPr>
                <w:rFonts w:cs="Arial"/>
                <w:sz w:val="14"/>
                <w:szCs w:val="14"/>
                <w:lang w:val="es-ES_tradnl"/>
              </w:rPr>
            </w:pPr>
            <w:r w:rsidRPr="00332758">
              <w:rPr>
                <w:sz w:val="14"/>
                <w:lang w:val="es-ES_tradnl"/>
              </w:rPr>
              <w:t>Adopción de disposiciones que agilicen o modernicen el marco jurídico del Sistema de Lisboa.</w:t>
            </w:r>
          </w:p>
        </w:tc>
        <w:tc>
          <w:tcPr>
            <w:tcW w:w="1365" w:type="dxa"/>
            <w:shd w:val="clear" w:color="auto" w:fill="auto"/>
            <w:tcMar>
              <w:top w:w="113" w:type="dxa"/>
            </w:tcMar>
          </w:tcPr>
          <w:p w:rsidR="00525604" w:rsidRPr="00A34388" w:rsidRDefault="00525604" w:rsidP="00853209">
            <w:pPr>
              <w:spacing w:before="6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60"/>
              <w:rPr>
                <w:rFonts w:cs="Arial"/>
                <w:sz w:val="14"/>
                <w:szCs w:val="14"/>
                <w:lang w:val="es-ES_tradnl"/>
              </w:rPr>
            </w:pPr>
            <w:r w:rsidRPr="00332758">
              <w:rPr>
                <w:sz w:val="14"/>
                <w:lang w:val="es-ES_tradnl"/>
              </w:rPr>
              <w:t>Mayor conocimiento de los sistemas de Madrid y de Lisboa</w:t>
            </w:r>
            <w:r w:rsidRPr="00A34388">
              <w:rPr>
                <w:color w:val="000000"/>
                <w:sz w:val="14"/>
                <w:lang w:val="es-ES_tradnl"/>
              </w:rPr>
              <w:t>.</w:t>
            </w:r>
          </w:p>
        </w:tc>
        <w:tc>
          <w:tcPr>
            <w:tcW w:w="3435" w:type="dxa"/>
            <w:shd w:val="clear" w:color="auto" w:fill="auto"/>
            <w:tcMar>
              <w:top w:w="113" w:type="dxa"/>
            </w:tcMar>
          </w:tcPr>
          <w:p w:rsidR="00525604" w:rsidRPr="00A34388" w:rsidRDefault="00525604" w:rsidP="00853209">
            <w:pPr>
              <w:spacing w:before="60"/>
              <w:rPr>
                <w:rFonts w:cs="Arial"/>
                <w:sz w:val="14"/>
                <w:szCs w:val="14"/>
                <w:lang w:val="es-ES_tradnl"/>
              </w:rPr>
            </w:pPr>
            <w:r w:rsidRPr="00332758">
              <w:rPr>
                <w:sz w:val="14"/>
                <w:lang w:val="es-ES_tradnl"/>
              </w:rPr>
              <w:t>Porcentaje de participantes en reuniones relacionadas con el Sistema de Madrid que están satisfechos y manifiestan haber mejorado sus conocimientos tras haber participado en reuniones de capacitación.</w:t>
            </w:r>
          </w:p>
        </w:tc>
        <w:tc>
          <w:tcPr>
            <w:tcW w:w="1365" w:type="dxa"/>
            <w:shd w:val="clear" w:color="auto" w:fill="auto"/>
            <w:tcMar>
              <w:top w:w="113" w:type="dxa"/>
            </w:tcMar>
          </w:tcPr>
          <w:p w:rsidR="00525604" w:rsidRPr="00A34388" w:rsidRDefault="00525604" w:rsidP="00853209">
            <w:pPr>
              <w:spacing w:before="6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participantes en reuniones relacionadas con el Sistema de Lisboa que están satisfechos y manifiestan haber mejorado sus conocimientos tras haber participado en seminarios/talleres.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6</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lastRenderedPageBreak/>
              <w:t>Mayor sensibilización acerca del Sistema de La Haya</w:t>
            </w:r>
            <w:r w:rsidRPr="00A34388">
              <w:rPr>
                <w:color w:val="000000"/>
                <w:sz w:val="14"/>
                <w:lang w:val="es-ES_tradnl"/>
              </w:rPr>
              <w:t>.</w:t>
            </w:r>
          </w:p>
        </w:tc>
        <w:tc>
          <w:tcPr>
            <w:tcW w:w="3435"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solicitantes que presentan solicitudes por primera vez.</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spacing w:before="20"/>
              <w:jc w:val="center"/>
              <w:rPr>
                <w:sz w:val="22"/>
                <w:szCs w:val="22"/>
                <w:lang w:val="es-ES_tradnl"/>
              </w:rPr>
            </w:pPr>
            <w:r w:rsidRPr="00A34388">
              <w:rPr>
                <w:rFonts w:cs="Arial"/>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rPr>
                <w:rFonts w:cs="Arial"/>
                <w:color w:val="000000"/>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idiomas en los que está disponible la información general.</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spacing w:before="80"/>
              <w:ind w:firstLineChars="100" w:firstLine="140"/>
              <w:rPr>
                <w:rFonts w:cs="Arial"/>
                <w:color w:val="000000"/>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oficinas nacionales o regionales que ofrecen información adecuada sobre el Sistema de La Haya.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keepNext/>
              <w:keepLines/>
              <w:spacing w:before="80"/>
              <w:rPr>
                <w:rFonts w:cs="Arial"/>
                <w:sz w:val="14"/>
                <w:szCs w:val="14"/>
                <w:lang w:val="es-ES_tradnl"/>
              </w:rPr>
            </w:pPr>
            <w:r w:rsidRPr="00332758">
              <w:rPr>
                <w:sz w:val="14"/>
                <w:lang w:val="es-ES_tradnl"/>
              </w:rPr>
              <w:t>Utilización más amplia y mejor del Sistema de La Haya</w:t>
            </w:r>
            <w:r w:rsidRPr="00A34388">
              <w:rPr>
                <w:color w:val="000000"/>
                <w:sz w:val="14"/>
                <w:lang w:val="es-ES_tradnl"/>
              </w:rPr>
              <w:t>.</w:t>
            </w:r>
          </w:p>
        </w:tc>
        <w:tc>
          <w:tcPr>
            <w:tcW w:w="3435" w:type="dxa"/>
            <w:shd w:val="clear" w:color="auto" w:fill="auto"/>
            <w:tcMar>
              <w:top w:w="113" w:type="dxa"/>
            </w:tcMar>
          </w:tcPr>
          <w:p w:rsidR="00525604" w:rsidRPr="00A34388" w:rsidRDefault="00525604" w:rsidP="00853209">
            <w:pPr>
              <w:keepNext/>
              <w:keepLines/>
              <w:spacing w:before="80"/>
              <w:rPr>
                <w:rFonts w:cs="Arial"/>
                <w:sz w:val="14"/>
                <w:szCs w:val="14"/>
                <w:lang w:val="es-ES_tradnl"/>
              </w:rPr>
            </w:pPr>
            <w:r w:rsidRPr="00332758">
              <w:rPr>
                <w:sz w:val="14"/>
                <w:lang w:val="es-ES_tradnl"/>
              </w:rPr>
              <w:t>Número de registros, dibujos y modelos contenidos en los registros, renovaciones y otras inscripciones.</w:t>
            </w:r>
          </w:p>
        </w:tc>
        <w:tc>
          <w:tcPr>
            <w:tcW w:w="1365" w:type="dxa"/>
            <w:shd w:val="clear" w:color="auto" w:fill="auto"/>
            <w:tcMar>
              <w:top w:w="113" w:type="dxa"/>
            </w:tcMar>
          </w:tcPr>
          <w:p w:rsidR="00525604" w:rsidRPr="00A34388" w:rsidRDefault="00525604" w:rsidP="00853209">
            <w:pPr>
              <w:keepNext/>
              <w:keepLines/>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keepNext/>
              <w:keepLines/>
              <w:spacing w:before="40"/>
              <w:jc w:val="center"/>
              <w:rPr>
                <w:sz w:val="22"/>
                <w:szCs w:val="22"/>
                <w:lang w:val="es-ES_tradnl"/>
              </w:rPr>
            </w:pPr>
            <w:r w:rsidRPr="00A34388">
              <w:rPr>
                <w:rFonts w:cs="Arial"/>
                <w:color w:val="FF0000"/>
                <w:sz w:val="22"/>
                <w:szCs w:val="22"/>
                <w:lang w:val="es-ES_tradnl"/>
              </w:rPr>
              <w:sym w:font="Wingdings" w:char="F06C"/>
            </w:r>
            <w:r w:rsidRPr="00A34388">
              <w:rPr>
                <w:rFonts w:cs="Arial"/>
                <w:color w:val="FF0000"/>
                <w:sz w:val="22"/>
                <w:szCs w:val="22"/>
                <w:lang w:val="es-ES_tradnl"/>
              </w:rPr>
              <w:sym w:font="Wingdings" w:char="F06C"/>
            </w:r>
            <w:r w:rsidRPr="00A34388">
              <w:rPr>
                <w:rFonts w:cs="Arial"/>
                <w:color w:val="008000"/>
                <w:sz w:val="22"/>
                <w:szCs w:val="22"/>
                <w:lang w:val="es-ES_tradnl"/>
              </w:rPr>
              <w:sym w:font="Wingdings" w:char="F06C"/>
            </w:r>
            <w:r w:rsidRPr="00A34388">
              <w:rPr>
                <w:rFonts w:cs="Arial"/>
                <w:color w:val="FF0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color w:val="000000"/>
                <w:sz w:val="14"/>
                <w:szCs w:val="14"/>
                <w:lang w:val="es-ES_tradnl"/>
              </w:rPr>
            </w:pPr>
            <w:r w:rsidRPr="00332758">
              <w:rPr>
                <w:sz w:val="14"/>
                <w:lang w:val="es-ES_tradnl"/>
              </w:rPr>
              <w:t>Número de solicitudes de países en desarrollo y PMA y designaciones de esos países.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3224" w:type="dxa"/>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solicitudes irregulares.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Mejor administración del Sistema de La Haya</w:t>
            </w:r>
            <w:r w:rsidRPr="00A34388">
              <w:rPr>
                <w:color w:val="000000"/>
                <w:sz w:val="14"/>
                <w:lang w:val="es-ES_tradnl"/>
              </w:rPr>
              <w:t>.</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Predominio del Acta de Ginebra en la totalidad del sistema.</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Tiempo transcurrido hasta la publicación para las solicitudes regulares de publicación no diferida.</w:t>
            </w:r>
            <w:r w:rsidRPr="00A34388">
              <w:rPr>
                <w:sz w:val="14"/>
                <w:lang w:val="es-ES_tradnl"/>
              </w:rPr>
              <w:t xml:space="preserve"> </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Número de procedimientos totalmente automatizados.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EC446D">
        <w:tc>
          <w:tcPr>
            <w:tcW w:w="3224" w:type="dxa"/>
            <w:vMerge/>
            <w:shd w:val="clear" w:color="auto" w:fill="auto"/>
            <w:tcMar>
              <w:top w:w="113" w:type="dxa"/>
            </w:tcMar>
          </w:tcPr>
          <w:p w:rsidR="00525604" w:rsidRPr="00A34388" w:rsidRDefault="00525604" w:rsidP="00853209">
            <w:pPr>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peticiones presentadas mediante interfaces electrónicas.</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Borders>
              <w:bottom w:val="nil"/>
            </w:tcBorders>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EC446D">
        <w:tc>
          <w:tcPr>
            <w:tcW w:w="3224" w:type="dxa"/>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Porcentaje de usuarios satisfechos con los servicios prestados por la Oficina Internacional.</w:t>
            </w:r>
            <w:r w:rsidRPr="00A34388">
              <w:rPr>
                <w:sz w:val="14"/>
                <w:lang w:val="es-ES_tradnl"/>
              </w:rPr>
              <w:t xml:space="preserve"> </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31</w:t>
            </w:r>
          </w:p>
        </w:tc>
        <w:tc>
          <w:tcPr>
            <w:tcW w:w="1342" w:type="dxa"/>
            <w:tcBorders>
              <w:top w:val="nil"/>
              <w:bottom w:val="nil"/>
            </w:tcBorders>
            <w:shd w:val="clear" w:color="auto" w:fill="auto"/>
          </w:tcPr>
          <w:p w:rsidR="00525604" w:rsidRPr="00EC446D" w:rsidRDefault="00525604" w:rsidP="00853209">
            <w:pPr>
              <w:jc w:val="center"/>
              <w:rPr>
                <w:color w:val="A6A6A6" w:themeColor="background1" w:themeShade="A6"/>
                <w:sz w:val="22"/>
                <w:szCs w:val="22"/>
                <w:lang w:val="es-ES_tradnl"/>
              </w:rPr>
            </w:pPr>
            <w:r w:rsidRPr="00EC446D">
              <w:rPr>
                <w:rFonts w:cs="Arial"/>
                <w:color w:val="A6A6A6" w:themeColor="background1" w:themeShade="A6"/>
                <w:sz w:val="22"/>
                <w:szCs w:val="22"/>
                <w:lang w:val="es-ES_tradnl"/>
              </w:rPr>
              <w:sym w:font="Wingdings" w:char="F06C"/>
            </w:r>
          </w:p>
        </w:tc>
      </w:tr>
      <w:tr w:rsidR="00525604" w:rsidRPr="00A34388" w:rsidTr="00800175">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Las controversias nacionales e internacionales en materia de P.I. se evitan o resuelven cada vez con más frecuencia mediante procedimientos de mediación, arbitraje y demás métodos extrajudiciales.</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Cada vez más se considera la posibilidad de utilizar servicios extrajudiciales de solución de controversias en las transacciones sobre P.I., entre otras cosas, valiéndose de los procedimientos de la OMPI.</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Borders>
              <w:top w:val="nil"/>
            </w:tcBorders>
          </w:tcPr>
          <w:p w:rsidR="00525604" w:rsidRPr="00A34388" w:rsidRDefault="00525604" w:rsidP="00853209">
            <w:pPr>
              <w:spacing w:before="40"/>
              <w:jc w:val="center"/>
              <w:rPr>
                <w:sz w:val="22"/>
                <w:szCs w:val="22"/>
                <w:lang w:val="es-ES_tradnl"/>
              </w:rPr>
            </w:pPr>
            <w:r w:rsidRPr="00A34388">
              <w:rPr>
                <w:rFonts w:cs="Arial"/>
                <w:color w:val="008000"/>
                <w:sz w:val="22"/>
                <w:szCs w:val="22"/>
                <w:lang w:val="es-ES_tradnl"/>
              </w:rPr>
              <w:sym w:font="Wingdings" w:char="F06C"/>
            </w:r>
            <w:r w:rsidRPr="00A34388">
              <w:rPr>
                <w:rFonts w:cs="Arial"/>
                <w:color w:val="008000"/>
                <w:sz w:val="22"/>
                <w:szCs w:val="22"/>
                <w:lang w:val="es-ES_tradnl"/>
              </w:rPr>
              <w:sym w:font="Wingdings" w:char="F06C"/>
            </w:r>
            <w:r w:rsidRPr="00A34388">
              <w:rPr>
                <w:rFonts w:cs="Arial"/>
                <w:color w:val="008000"/>
                <w:sz w:val="22"/>
                <w:szCs w:val="22"/>
                <w:lang w:val="es-ES_tradnl"/>
              </w:rPr>
              <w:sym w:font="Wingdings" w:char="F06C"/>
            </w:r>
            <w:r w:rsidRPr="00A34388">
              <w:rPr>
                <w:rFonts w:cs="Arial"/>
                <w:color w:val="FF0000"/>
                <w:sz w:val="22"/>
                <w:szCs w:val="22"/>
                <w:lang w:val="es-ES_tradnl"/>
              </w:rPr>
              <w:sym w:font="Wingdings" w:char="F06C"/>
            </w:r>
            <w:r w:rsidRPr="00A34388">
              <w:rPr>
                <w:rFonts w:cs="Arial"/>
                <w:color w:val="E36C0A" w:themeColor="accent6" w:themeShade="BF"/>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Políticas de solución extrajudicial de controversias a cuyo desarrollo y aplicación ha contribuido el Centro de Arbitraje y Mediación de la OMPI.</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val="restart"/>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Protección eficaz de la propiedad intelectual en los </w:t>
            </w:r>
            <w:proofErr w:type="spellStart"/>
            <w:r w:rsidRPr="00332758">
              <w:rPr>
                <w:sz w:val="14"/>
                <w:lang w:val="es-ES_tradnl"/>
              </w:rPr>
              <w:t>gTLD</w:t>
            </w:r>
            <w:proofErr w:type="spellEnd"/>
            <w:r w:rsidRPr="00332758">
              <w:rPr>
                <w:sz w:val="14"/>
                <w:lang w:val="es-ES_tradnl"/>
              </w:rPr>
              <w:t xml:space="preserve"> y los </w:t>
            </w:r>
            <w:proofErr w:type="spellStart"/>
            <w:r w:rsidRPr="00332758">
              <w:rPr>
                <w:sz w:val="14"/>
                <w:lang w:val="es-ES_tradnl"/>
              </w:rPr>
              <w:t>ccTLD</w:t>
            </w:r>
            <w:proofErr w:type="spellEnd"/>
            <w:r w:rsidRPr="00332758">
              <w:rPr>
                <w:sz w:val="14"/>
                <w:lang w:val="es-ES_tradnl"/>
              </w:rPr>
              <w:t>.</w:t>
            </w: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Número de procedimientos relativos a los </w:t>
            </w:r>
            <w:proofErr w:type="spellStart"/>
            <w:r w:rsidRPr="00332758">
              <w:rPr>
                <w:sz w:val="14"/>
                <w:lang w:val="es-ES_tradnl"/>
              </w:rPr>
              <w:t>gTLD</w:t>
            </w:r>
            <w:proofErr w:type="spellEnd"/>
            <w:r w:rsidRPr="00332758">
              <w:rPr>
                <w:sz w:val="14"/>
                <w:lang w:val="es-ES_tradnl"/>
              </w:rPr>
              <w:t xml:space="preserve"> administrados en virtud de la Política Uniforme.</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Número de procedimientos relativos a los </w:t>
            </w:r>
            <w:proofErr w:type="spellStart"/>
            <w:r w:rsidRPr="00332758">
              <w:rPr>
                <w:sz w:val="14"/>
                <w:lang w:val="es-ES_tradnl"/>
              </w:rPr>
              <w:t>ccTLD</w:t>
            </w:r>
            <w:proofErr w:type="spellEnd"/>
            <w:r w:rsidRPr="00332758">
              <w:rPr>
                <w:sz w:val="14"/>
                <w:lang w:val="es-ES_tradnl"/>
              </w:rPr>
              <w:t xml:space="preserve"> administrados en virtud de la Política Uniforme.</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Políticas de solución de controversias en el sistema de nombres de dominio a cuyo desarrollo y aplicación ha contribuido el Centro de Arbitraje y Mediación de la OMPI.</w:t>
            </w: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3224" w:type="dxa"/>
            <w:vMerge/>
            <w:shd w:val="clear" w:color="auto" w:fill="auto"/>
            <w:tcMar>
              <w:top w:w="113" w:type="dxa"/>
            </w:tcMar>
          </w:tcPr>
          <w:p w:rsidR="00525604" w:rsidRPr="00A34388" w:rsidRDefault="00525604" w:rsidP="00853209">
            <w:pPr>
              <w:spacing w:before="80"/>
              <w:ind w:firstLineChars="100" w:firstLine="140"/>
              <w:rPr>
                <w:rFonts w:cs="Arial"/>
                <w:sz w:val="14"/>
                <w:szCs w:val="14"/>
                <w:lang w:val="es-ES_tradnl"/>
              </w:rPr>
            </w:pPr>
          </w:p>
        </w:tc>
        <w:tc>
          <w:tcPr>
            <w:tcW w:w="3435" w:type="dxa"/>
            <w:shd w:val="clear" w:color="auto" w:fill="auto"/>
            <w:tcMar>
              <w:top w:w="113" w:type="dxa"/>
            </w:tcMar>
          </w:tcPr>
          <w:p w:rsidR="00525604" w:rsidRPr="00A34388" w:rsidRDefault="00525604" w:rsidP="00853209">
            <w:pPr>
              <w:spacing w:before="80"/>
              <w:rPr>
                <w:rFonts w:cs="Arial"/>
                <w:sz w:val="14"/>
                <w:szCs w:val="14"/>
                <w:lang w:val="es-ES_tradnl"/>
              </w:rPr>
            </w:pPr>
            <w:r w:rsidRPr="00332758">
              <w:rPr>
                <w:sz w:val="14"/>
                <w:lang w:val="es-ES_tradnl"/>
              </w:rPr>
              <w:t xml:space="preserve">Número de administradores de </w:t>
            </w:r>
            <w:proofErr w:type="spellStart"/>
            <w:r w:rsidRPr="00332758">
              <w:rPr>
                <w:sz w:val="14"/>
                <w:lang w:val="es-ES_tradnl"/>
              </w:rPr>
              <w:t>ccTLD</w:t>
            </w:r>
            <w:proofErr w:type="spellEnd"/>
            <w:r w:rsidRPr="00332758">
              <w:rPr>
                <w:sz w:val="14"/>
                <w:lang w:val="es-ES_tradnl"/>
              </w:rPr>
              <w:t xml:space="preserve"> que disponen de mecanismos de protección de P.I. concebidos o administrados por la OMPI de conformidad con las normas internacionales.</w:t>
            </w:r>
          </w:p>
          <w:p w:rsidR="00525604" w:rsidRPr="00A34388" w:rsidRDefault="00525604" w:rsidP="00853209">
            <w:pPr>
              <w:spacing w:before="80"/>
              <w:rPr>
                <w:rFonts w:cs="Arial"/>
                <w:sz w:val="14"/>
                <w:szCs w:val="14"/>
                <w:lang w:val="es-ES_tradnl"/>
              </w:rPr>
            </w:pPr>
          </w:p>
        </w:tc>
        <w:tc>
          <w:tcPr>
            <w:tcW w:w="1365" w:type="dxa"/>
            <w:shd w:val="clear" w:color="auto" w:fill="auto"/>
            <w:tcMar>
              <w:top w:w="113" w:type="dxa"/>
            </w:tcMar>
          </w:tcPr>
          <w:p w:rsidR="00525604" w:rsidRPr="00A34388" w:rsidRDefault="00525604" w:rsidP="00853209">
            <w:pPr>
              <w:spacing w:before="80"/>
              <w:jc w:val="center"/>
              <w:rPr>
                <w:rFonts w:cs="Arial"/>
                <w:sz w:val="14"/>
                <w:szCs w:val="14"/>
                <w:lang w:val="es-ES_tradnl"/>
              </w:rPr>
            </w:pPr>
            <w:r w:rsidRPr="00332758">
              <w:rPr>
                <w:sz w:val="14"/>
                <w:lang w:val="es-ES_tradnl"/>
              </w:rPr>
              <w:t>Programa 7</w:t>
            </w:r>
          </w:p>
        </w:tc>
        <w:tc>
          <w:tcPr>
            <w:tcW w:w="1342" w:type="dxa"/>
          </w:tcPr>
          <w:p w:rsidR="00525604" w:rsidRPr="00A34388" w:rsidRDefault="00525604"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bl>
    <w:p w:rsidR="00525604" w:rsidRPr="00A34388" w:rsidRDefault="00525604" w:rsidP="00525604">
      <w:pPr>
        <w:tabs>
          <w:tab w:val="left" w:pos="0"/>
        </w:tabs>
        <w:rPr>
          <w:rFonts w:cs="Arial"/>
          <w:iCs/>
          <w:lang w:val="es-ES_tradnl"/>
        </w:rPr>
      </w:pPr>
    </w:p>
    <w:p w:rsidR="00197073" w:rsidRPr="00A34388" w:rsidRDefault="00197073" w:rsidP="00197073">
      <w:pPr>
        <w:rPr>
          <w:lang w:val="es-ES_tradnl"/>
        </w:rPr>
      </w:pPr>
      <w:r w:rsidRPr="00A34388">
        <w:rPr>
          <w:lang w:val="es-ES_tradnl"/>
        </w:rPr>
        <w:br w:type="page"/>
      </w:r>
    </w:p>
    <w:p w:rsidR="00FF125D" w:rsidRPr="00FF125D" w:rsidRDefault="00FF125D" w:rsidP="00391D6B">
      <w:pPr>
        <w:rPr>
          <w:lang w:val="es-ES_tradnl"/>
        </w:rPr>
      </w:pPr>
    </w:p>
    <w:p w:rsidR="00391D6B" w:rsidRPr="003934C8" w:rsidRDefault="00391D6B" w:rsidP="00391D6B">
      <w:pPr>
        <w:pStyle w:val="Heading3"/>
        <w:rPr>
          <w:rFonts w:hint="eastAsia"/>
          <w:lang w:val="es-ES"/>
        </w:rPr>
      </w:pPr>
      <w:bookmarkStart w:id="31" w:name="_Toc395279657"/>
      <w:r w:rsidRPr="003934C8">
        <w:rPr>
          <w:lang w:val="es-ES"/>
        </w:rPr>
        <w:t>Programa 5</w:t>
      </w:r>
      <w:r w:rsidRPr="003934C8">
        <w:rPr>
          <w:lang w:val="es-ES"/>
        </w:rPr>
        <w:tab/>
        <w:t>Sistema del PCT</w:t>
      </w:r>
      <w:bookmarkEnd w:id="31"/>
    </w:p>
    <w:p w:rsidR="00525604" w:rsidRPr="00A34388" w:rsidRDefault="00525604" w:rsidP="00525604">
      <w:pPr>
        <w:ind w:left="2268" w:hanging="2268"/>
        <w:rPr>
          <w:sz w:val="22"/>
          <w:szCs w:val="22"/>
          <w:lang w:val="es-ES_tradnl"/>
        </w:rPr>
      </w:pPr>
    </w:p>
    <w:p w:rsidR="00525604" w:rsidRPr="00A34388" w:rsidRDefault="00525604" w:rsidP="00525604">
      <w:pPr>
        <w:ind w:left="2694" w:hanging="2694"/>
        <w:rPr>
          <w:rFonts w:cs="Arial"/>
          <w:b/>
          <w:sz w:val="22"/>
          <w:szCs w:val="22"/>
          <w:lang w:val="es-ES_tradnl"/>
        </w:rPr>
      </w:pPr>
      <w:r w:rsidRPr="00A34388">
        <w:rPr>
          <w:b/>
          <w:color w:val="000000"/>
          <w:sz w:val="22"/>
          <w:lang w:val="es-ES_tradnl"/>
        </w:rPr>
        <w:t>Director del Programa</w:t>
      </w:r>
      <w:r w:rsidRPr="00A34388">
        <w:rPr>
          <w:lang w:val="es-ES_tradnl"/>
        </w:rPr>
        <w:tab/>
      </w:r>
      <w:r w:rsidRPr="00A34388">
        <w:rPr>
          <w:b/>
          <w:color w:val="000000"/>
          <w:sz w:val="22"/>
          <w:lang w:val="es-ES_tradnl"/>
        </w:rPr>
        <w:t>Sr.</w:t>
      </w:r>
      <w:r w:rsidR="00537926" w:rsidRPr="00A34388">
        <w:rPr>
          <w:b/>
          <w:color w:val="000000"/>
          <w:sz w:val="22"/>
          <w:lang w:val="es-ES_tradnl"/>
        </w:rPr>
        <w:t> </w:t>
      </w:r>
      <w:r w:rsidRPr="00A34388">
        <w:rPr>
          <w:b/>
          <w:color w:val="000000"/>
          <w:sz w:val="22"/>
          <w:lang w:val="es-ES_tradnl"/>
        </w:rPr>
        <w:t>J.</w:t>
      </w:r>
      <w:r w:rsidR="00537926" w:rsidRPr="00A34388">
        <w:rPr>
          <w:b/>
          <w:color w:val="000000"/>
          <w:sz w:val="22"/>
          <w:lang w:val="es-ES_tradnl"/>
        </w:rPr>
        <w:t> </w:t>
      </w:r>
      <w:proofErr w:type="spellStart"/>
      <w:r w:rsidRPr="00A34388">
        <w:rPr>
          <w:b/>
          <w:color w:val="000000"/>
          <w:sz w:val="22"/>
          <w:lang w:val="es-ES_tradnl"/>
        </w:rPr>
        <w:t>Pooley</w:t>
      </w:r>
      <w:proofErr w:type="spellEnd"/>
    </w:p>
    <w:p w:rsidR="00525604" w:rsidRPr="00A34388" w:rsidRDefault="00525604" w:rsidP="00525604">
      <w:pPr>
        <w:rPr>
          <w:sz w:val="22"/>
          <w:szCs w:val="22"/>
          <w:lang w:val="es-ES_tradnl"/>
        </w:rPr>
      </w:pPr>
    </w:p>
    <w:p w:rsidR="00525604" w:rsidRPr="00A34388" w:rsidRDefault="00525604" w:rsidP="00525604">
      <w:pPr>
        <w:rPr>
          <w:bCs/>
          <w:sz w:val="22"/>
          <w:szCs w:val="22"/>
          <w:lang w:val="es-ES_tradnl"/>
        </w:rPr>
      </w:pPr>
    </w:p>
    <w:p w:rsidR="00525604" w:rsidRPr="00A34388" w:rsidRDefault="003E3F45" w:rsidP="00525604">
      <w:pPr>
        <w:rPr>
          <w:rFonts w:cs="Arial"/>
          <w:sz w:val="22"/>
          <w:szCs w:val="22"/>
          <w:lang w:val="es-ES_tradnl"/>
        </w:rPr>
      </w:pPr>
      <w:r>
        <w:rPr>
          <w:sz w:val="22"/>
          <w:lang w:val="es-ES_tradnl"/>
        </w:rPr>
        <w:t>AVANCES LOGRADOS EN EL BIENIO 2012/13</w:t>
      </w:r>
    </w:p>
    <w:p w:rsidR="00525604" w:rsidRPr="00A34388" w:rsidRDefault="00525604" w:rsidP="00525604">
      <w:pPr>
        <w:rPr>
          <w:rFonts w:cs="Arial"/>
          <w:sz w:val="22"/>
          <w:szCs w:val="22"/>
          <w:lang w:val="es-ES_tradnl"/>
        </w:rPr>
      </w:pPr>
    </w:p>
    <w:p w:rsidR="00525604" w:rsidRPr="00A34388" w:rsidRDefault="00525604" w:rsidP="00525604">
      <w:pPr>
        <w:pStyle w:val="ListParagraph"/>
        <w:numPr>
          <w:ilvl w:val="0"/>
          <w:numId w:val="10"/>
        </w:numPr>
        <w:tabs>
          <w:tab w:val="left" w:pos="709"/>
        </w:tabs>
        <w:ind w:left="0" w:firstLine="0"/>
        <w:jc w:val="both"/>
        <w:rPr>
          <w:rFonts w:cs="Arial"/>
          <w:lang w:val="es-ES_tradnl"/>
        </w:rPr>
      </w:pPr>
      <w:r w:rsidRPr="00332758">
        <w:rPr>
          <w:lang w:val="es-ES_tradnl"/>
        </w:rPr>
        <w:t>La Oficina Internacional recibió aproximadamente 202.700 ejemplares en 2013, lo que supone un aumento del 3% en relación con 2012.  El porcentaje de solicitudes presentadas enteramente por medios electrónicos siguió aumentando en 2013, y actualmente constituye el 89% de todas las solicitudes que se presentan.</w:t>
      </w:r>
      <w:r w:rsidRPr="00A34388">
        <w:rPr>
          <w:lang w:val="es-ES_tradnl"/>
        </w:rPr>
        <w:t xml:space="preserve">  </w:t>
      </w:r>
      <w:r w:rsidRPr="00332758">
        <w:rPr>
          <w:lang w:val="es-ES_tradnl"/>
        </w:rPr>
        <w:t>Si bien el inglés sigue siendo, de lejos, el idioma más utilizado en las solicitudes, su importancia se ha reducido en favor del japonés, el chino y el coreano.</w:t>
      </w:r>
      <w:r w:rsidRPr="00A34388">
        <w:rPr>
          <w:lang w:val="es-ES_tradnl"/>
        </w:rPr>
        <w:t xml:space="preserve">  </w:t>
      </w:r>
      <w:r w:rsidRPr="00332758">
        <w:rPr>
          <w:lang w:val="es-ES_tradnl"/>
        </w:rPr>
        <w:t>El porcentaje de solicitudes PCT presentadas en japonés, chino y coreano ha crecido del 29% en 2010 al 35% en 2013</w:t>
      </w:r>
      <w:r w:rsidR="00537926" w:rsidRPr="00332758">
        <w:rPr>
          <w:lang w:val="es-ES_tradnl"/>
        </w:rPr>
        <w:t xml:space="preserve">. </w:t>
      </w:r>
      <w:r w:rsidRPr="00A34388">
        <w:rPr>
          <w:lang w:val="es-ES_tradnl"/>
        </w:rPr>
        <w:t xml:space="preserve"> La calidad del examen de forma mejoró de forma notable en el segundo semestre de 2013, debido a una mayor rapidez en la nueva publicación y notificación de la recepción de las solicitudes PCT.</w:t>
      </w:r>
    </w:p>
    <w:p w:rsidR="00525604" w:rsidRPr="00A34388" w:rsidRDefault="00525604" w:rsidP="00525604">
      <w:pPr>
        <w:pStyle w:val="ListParagraph"/>
        <w:tabs>
          <w:tab w:val="left" w:pos="709"/>
        </w:tabs>
        <w:ind w:left="0"/>
        <w:jc w:val="both"/>
        <w:rPr>
          <w:rFonts w:cs="Arial"/>
          <w:lang w:val="es-ES_tradnl"/>
        </w:rPr>
      </w:pPr>
    </w:p>
    <w:p w:rsidR="00525604" w:rsidRPr="00A34388" w:rsidRDefault="00525604" w:rsidP="00525604">
      <w:pPr>
        <w:pStyle w:val="ListParagraph"/>
        <w:numPr>
          <w:ilvl w:val="0"/>
          <w:numId w:val="10"/>
        </w:numPr>
        <w:tabs>
          <w:tab w:val="left" w:pos="709"/>
        </w:tabs>
        <w:ind w:left="0" w:firstLine="0"/>
        <w:jc w:val="both"/>
        <w:rPr>
          <w:rFonts w:cs="Arial"/>
          <w:lang w:val="es-ES_tradnl"/>
        </w:rPr>
      </w:pPr>
      <w:r w:rsidRPr="00A34388">
        <w:rPr>
          <w:lang w:val="es-ES_tradnl"/>
        </w:rPr>
        <w:t xml:space="preserve">La Oficina Internacional ha progresado significativamente en la automatización de determinados procesos relativos al examen de forma de las solicitudes internacionales PCT.  Esto ha permitido a la Oficina Internacional </w:t>
      </w:r>
      <w:r w:rsidR="004F7424">
        <w:rPr>
          <w:lang w:val="es-ES_tradnl"/>
        </w:rPr>
        <w:t>tramitar</w:t>
      </w:r>
      <w:r w:rsidRPr="00A34388">
        <w:rPr>
          <w:lang w:val="es-ES_tradnl"/>
        </w:rPr>
        <w:t xml:space="preserve"> de forma más eficiente las nuevas solicitudes presentadas por medios electrónicos en formato XML y PDF desde China, el Japón y la República de Corea.  A pesar de que, según las cifras medias obtenidas en los tres últimos años, no se ha alcanzado el objetivo del 80% de rendimiento, la puntualidad real del examen de forma de las solicitudes internacionales PCT ha mejorado de forma notable en 2013, un período en el que el 83% se complet</w:t>
      </w:r>
      <w:r w:rsidR="004F7424">
        <w:rPr>
          <w:lang w:val="es-ES_tradnl"/>
        </w:rPr>
        <w:t>ó</w:t>
      </w:r>
      <w:r w:rsidRPr="00A34388">
        <w:rPr>
          <w:lang w:val="es-ES_tradnl"/>
        </w:rPr>
        <w:t xml:space="preserve"> en el plazo de tres semanas contadas desde su recepción, frente al 69% de 2012 y al 71% de 2011.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0"/>
        </w:numPr>
        <w:tabs>
          <w:tab w:val="left" w:pos="709"/>
        </w:tabs>
        <w:ind w:left="0" w:firstLine="0"/>
        <w:jc w:val="both"/>
        <w:rPr>
          <w:rFonts w:cs="Arial"/>
          <w:lang w:val="es-ES_tradnl"/>
        </w:rPr>
      </w:pPr>
      <w:r w:rsidRPr="00A34388">
        <w:rPr>
          <w:lang w:val="es-ES_tradnl"/>
        </w:rPr>
        <w:t xml:space="preserve">La Oficina Internacional también consiguió introducir una mayor flexibilidad en la gestión del flujo de traducción.  Esto se consiguió mediante la introducción en la producción del sistema de gestión de la traducción de </w:t>
      </w:r>
      <w:proofErr w:type="spellStart"/>
      <w:r w:rsidRPr="00A34388">
        <w:rPr>
          <w:lang w:val="es-ES_tradnl"/>
        </w:rPr>
        <w:t>World</w:t>
      </w:r>
      <w:proofErr w:type="spellEnd"/>
      <w:r w:rsidRPr="00A34388">
        <w:rPr>
          <w:lang w:val="es-ES_tradnl"/>
        </w:rPr>
        <w:t xml:space="preserve"> Server, a fin de automatizar parcialmente los procedimientos de asignación y distribución de las traducciones.</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0"/>
        </w:numPr>
        <w:tabs>
          <w:tab w:val="left" w:pos="709"/>
        </w:tabs>
        <w:ind w:left="0" w:firstLine="0"/>
        <w:jc w:val="both"/>
        <w:rPr>
          <w:rFonts w:cs="Arial"/>
          <w:lang w:val="es-ES_tradnl"/>
        </w:rPr>
      </w:pPr>
      <w:r w:rsidRPr="00A34388">
        <w:rPr>
          <w:lang w:val="es-ES_tradnl"/>
        </w:rPr>
        <w:t>La Oficina Internacional organizó diversas actividades de cooperación diseñadas a medida con los Estados miembros del PCT, las oficinas y Administraciones internacionales, así como con los países interesados en adherirse al PCT</w:t>
      </w:r>
      <w:r w:rsidR="00537926" w:rsidRPr="00A34388">
        <w:rPr>
          <w:lang w:val="es-ES_tradnl"/>
        </w:rPr>
        <w:t xml:space="preserve">. </w:t>
      </w:r>
      <w:r w:rsidRPr="00A34388">
        <w:rPr>
          <w:lang w:val="es-ES_tradnl"/>
        </w:rPr>
        <w:t xml:space="preserve"> Las actividades incluían, entre otras, la formación del personal en cuestiones técnicas, jurídicas, operativas y administrativas para garantizar una aplicación más adecuada del PCT y promover su uso, tanto en el ámbito nacional como regional.  </w:t>
      </w:r>
      <w:r w:rsidRPr="00332758">
        <w:rPr>
          <w:lang w:val="es-ES_tradnl"/>
        </w:rPr>
        <w:t xml:space="preserve">En 2012/13, se celebraron unos 89 seminarios y talleres en 51 países que contaron con la participación de oficinas, administraciones, universidades, institutos de investigación y otras partes interesadas pertenecientes a 106 países y  organizaciones regionales.  Estas actividades se destinaron particularmente a las oficinas de los países en desarrollo y de los PMA.  </w:t>
      </w:r>
      <w:r w:rsidRPr="00A34388">
        <w:rPr>
          <w:lang w:val="es-ES_tradnl"/>
        </w:rPr>
        <w:t>La asistencia en ámbitos tecnológicos continuó fomentando el intercambio electrónico de documentos y datos entre la Oficina Internacional y las</w:t>
      </w:r>
      <w:r w:rsidR="00FF125D">
        <w:rPr>
          <w:lang w:val="es-ES_tradnl"/>
        </w:rPr>
        <w:t xml:space="preserve"> oficinas, lo que supuso que en </w:t>
      </w:r>
      <w:r w:rsidRPr="00A34388">
        <w:rPr>
          <w:lang w:val="es-ES_tradnl"/>
        </w:rPr>
        <w:t xml:space="preserve">2013 el 93% de los documentos que remitieron las oficinas a la Oficina Internacional estuviera en formato electrónico (frente al 92% de 2012).  </w:t>
      </w:r>
      <w:r w:rsidRPr="00332758">
        <w:rPr>
          <w:lang w:val="es-ES_tradnl"/>
        </w:rPr>
        <w:t>Las informaciones sobre las actividades de asistencia técnica relativas al PCT en el bienio 2012/13 se presentaron al Grupo de Trabajo del PCT en 2012</w:t>
      </w:r>
      <w:r w:rsidR="00197B61" w:rsidRPr="00332758">
        <w:rPr>
          <w:lang w:val="es-ES_tradnl"/>
        </w:rPr>
        <w:t xml:space="preserve"> y 2013</w:t>
      </w:r>
      <w:r w:rsidRPr="00332758">
        <w:rPr>
          <w:lang w:val="es-ES_tradnl"/>
        </w:rPr>
        <w:t>.</w:t>
      </w:r>
      <w:r w:rsidRPr="00A34388">
        <w:rPr>
          <w:lang w:val="es-ES_tradnl"/>
        </w:rPr>
        <w:t xml:space="preserve">  La Oficina Internacional continúa recopilando sistemáticamente los comentarios de los Estados miembros del PCT, las oficinas y Administraciones internacionales, a fin de mejorar estas actividades de cooperación.</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0"/>
        </w:numPr>
        <w:tabs>
          <w:tab w:val="left" w:pos="709"/>
        </w:tabs>
        <w:ind w:left="0" w:firstLine="0"/>
        <w:jc w:val="both"/>
        <w:rPr>
          <w:rFonts w:cs="Arial"/>
          <w:bCs/>
          <w:color w:val="000000"/>
          <w:lang w:val="es-ES_tradnl"/>
        </w:rPr>
      </w:pPr>
      <w:r w:rsidRPr="00A34388">
        <w:rPr>
          <w:lang w:val="es-ES_tradnl"/>
        </w:rPr>
        <w:t xml:space="preserve">Durante el bienio se fomentó el conocimiento del PCT entre los usuarios y potenciales usuarios, a través de diversas actividades de formación y divulgación (122 seminarios, 60 presentaciones, 40 </w:t>
      </w:r>
      <w:proofErr w:type="spellStart"/>
      <w:r w:rsidRPr="00A34388">
        <w:rPr>
          <w:lang w:val="es-ES_tradnl"/>
        </w:rPr>
        <w:t>webinarios</w:t>
      </w:r>
      <w:proofErr w:type="spellEnd"/>
      <w:r w:rsidRPr="00A34388">
        <w:rPr>
          <w:lang w:val="es-ES_tradnl"/>
        </w:rPr>
        <w:t xml:space="preserve"> y 55 visitas de usuarios).  La Oficina Internacional elaboró y publicó 29 vídeos didácticos del PCT (serie "</w:t>
      </w:r>
      <w:proofErr w:type="spellStart"/>
      <w:r w:rsidRPr="00A34388">
        <w:rPr>
          <w:lang w:val="es-ES_tradnl"/>
        </w:rPr>
        <w:t>Learn</w:t>
      </w:r>
      <w:proofErr w:type="spellEnd"/>
      <w:r w:rsidRPr="00A34388">
        <w:rPr>
          <w:lang w:val="es-ES_tradnl"/>
        </w:rPr>
        <w:t xml:space="preserve"> </w:t>
      </w:r>
      <w:proofErr w:type="spellStart"/>
      <w:r w:rsidRPr="00A34388">
        <w:rPr>
          <w:lang w:val="es-ES_tradnl"/>
        </w:rPr>
        <w:t>the</w:t>
      </w:r>
      <w:proofErr w:type="spellEnd"/>
      <w:r w:rsidRPr="00A34388">
        <w:rPr>
          <w:lang w:val="es-ES_tradnl"/>
        </w:rPr>
        <w:t xml:space="preserve"> PCT") en el canal de la OMPI en YouTube, útiles para todos los solicitantes, y particularmente útiles para los países en desarrollo y menos avanzados y las pymes.  Las modificaciones del Reglamento del PCT se aplicaron puntualmente, junto con el marco jurídico del PCT para el sistema de formulación de observaciones por terceros.  Las Directrices del PCT para las Oficinas receptoras se modificaron para incorporar las prácticas de la Oficina Internacional relativas a la restauración del derecho de prioridad, tras haber sido analizadas por el Grupo de Trabajo del PCT y previa consulta a los Estados miembros.  Se puso en marcha un nuevo recurso informativo en línea, dirigido a los directores y abogados (</w:t>
      </w:r>
      <w:r w:rsidRPr="00A34388">
        <w:rPr>
          <w:i/>
          <w:lang w:val="es-ES_tradnl"/>
        </w:rPr>
        <w:t xml:space="preserve">PCT </w:t>
      </w:r>
      <w:proofErr w:type="spellStart"/>
      <w:r w:rsidRPr="00A34388">
        <w:rPr>
          <w:i/>
          <w:lang w:val="es-ES_tradnl"/>
        </w:rPr>
        <w:t>Brief</w:t>
      </w:r>
      <w:proofErr w:type="spellEnd"/>
      <w:r w:rsidRPr="00A34388">
        <w:rPr>
          <w:lang w:val="es-ES_tradnl"/>
        </w:rPr>
        <w:t xml:space="preserve">).  Por otra parte, la Oficina Internacional respondió a 24.198 consultas relacionadas con el PCT formuladas por sus usuarios y potenciales usuarios (una media de 48 consultas al día) y resolvió 2.721 casos especiales durante el bienio.  </w:t>
      </w:r>
    </w:p>
    <w:p w:rsidR="00525604" w:rsidRPr="00A34388" w:rsidRDefault="00525604" w:rsidP="00525604">
      <w:pPr>
        <w:tabs>
          <w:tab w:val="left" w:pos="709"/>
        </w:tabs>
        <w:jc w:val="both"/>
        <w:rPr>
          <w:rFonts w:cs="Arial"/>
          <w:bCs/>
          <w:szCs w:val="20"/>
          <w:lang w:val="es-ES_tradnl"/>
        </w:rPr>
      </w:pPr>
    </w:p>
    <w:p w:rsidR="00525604" w:rsidRPr="00A34388" w:rsidRDefault="00525604" w:rsidP="00525604">
      <w:pPr>
        <w:pStyle w:val="ListParagraph"/>
        <w:numPr>
          <w:ilvl w:val="0"/>
          <w:numId w:val="10"/>
        </w:numPr>
        <w:tabs>
          <w:tab w:val="left" w:pos="709"/>
        </w:tabs>
        <w:ind w:left="0" w:firstLine="0"/>
        <w:jc w:val="both"/>
        <w:rPr>
          <w:rFonts w:cs="Arial"/>
          <w:color w:val="000000"/>
          <w:lang w:val="es-ES_tradnl"/>
        </w:rPr>
      </w:pPr>
      <w:r w:rsidRPr="00332758">
        <w:rPr>
          <w:lang w:val="es-ES_tradnl"/>
        </w:rPr>
        <w:lastRenderedPageBreak/>
        <w:t>En 2010, el Grupo de Trabajo del PCT respaldó las recomendaciones para mejorar el PCT (“la hoja de ruta del PCT”).</w:t>
      </w:r>
      <w:r w:rsidRPr="00A34388">
        <w:rPr>
          <w:lang w:val="es-ES_tradnl"/>
        </w:rPr>
        <w:t xml:space="preserve">  </w:t>
      </w:r>
      <w:r w:rsidRPr="00332758">
        <w:rPr>
          <w:lang w:val="es-ES_tradnl"/>
        </w:rPr>
        <w:t>Aunque la hoja de ruta del PCT incluía algunas medidas concretas, el objetivo principal consistía en analizar de qué manera el Tratado estaba proporcionando beneficios a todas las partes interesadas, a saber, los solicitantes, las oficinas nacionales y el público en general;  así como alentar a los usuarios a hacer un mejor uso del sistema con el fin de mejorar los resultados.</w:t>
      </w:r>
      <w:r w:rsidRPr="00A34388">
        <w:rPr>
          <w:lang w:val="es-ES_tradnl"/>
        </w:rPr>
        <w:t xml:space="preserve">  </w:t>
      </w:r>
      <w:r w:rsidRPr="00332758">
        <w:rPr>
          <w:lang w:val="es-ES_tradnl"/>
        </w:rPr>
        <w:t xml:space="preserve">Para ello, sería necesario adoptar medidas administrativas y técnicas y no necesariamente modificaciones al Reglamento.  En el bienio 2012/13 se ha conseguido avanzar de forma significativa en los aspectos siguientes, conforme a la hoja de ruta del PCT: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 </w:t>
      </w:r>
    </w:p>
    <w:p w:rsidR="00525604" w:rsidRPr="00A34388" w:rsidRDefault="00525604" w:rsidP="00525604">
      <w:pPr>
        <w:pStyle w:val="ListParagraph"/>
        <w:tabs>
          <w:tab w:val="left" w:pos="709"/>
        </w:tabs>
        <w:ind w:left="927"/>
        <w:jc w:val="both"/>
        <w:rPr>
          <w:rFonts w:cs="Arial"/>
          <w:bCs/>
          <w:color w:val="000000"/>
          <w:lang w:val="es-ES_tradnl"/>
        </w:rPr>
      </w:pPr>
    </w:p>
    <w:p w:rsidR="00525604" w:rsidRPr="00A34388" w:rsidRDefault="00525604" w:rsidP="00525604">
      <w:pPr>
        <w:pStyle w:val="ListParagraph"/>
        <w:numPr>
          <w:ilvl w:val="0"/>
          <w:numId w:val="10"/>
        </w:numPr>
        <w:tabs>
          <w:tab w:val="left" w:pos="709"/>
        </w:tabs>
        <w:ind w:left="0" w:firstLine="0"/>
        <w:jc w:val="both"/>
        <w:rPr>
          <w:rFonts w:cs="Arial"/>
          <w:bCs/>
          <w:lang w:val="es-ES_tradnl"/>
        </w:rPr>
      </w:pPr>
      <w:r w:rsidRPr="00A34388">
        <w:rPr>
          <w:color w:val="000000"/>
          <w:lang w:val="es-ES_tradnl"/>
        </w:rPr>
        <w:t xml:space="preserve">El sistema </w:t>
      </w:r>
      <w:proofErr w:type="spellStart"/>
      <w:r w:rsidRPr="00A34388">
        <w:rPr>
          <w:color w:val="000000"/>
          <w:lang w:val="es-ES_tradnl"/>
        </w:rPr>
        <w:t>ePCT</w:t>
      </w:r>
      <w:proofErr w:type="spellEnd"/>
      <w:r w:rsidRPr="00A34388">
        <w:rPr>
          <w:color w:val="000000"/>
          <w:lang w:val="es-ES_tradnl"/>
        </w:rPr>
        <w:t xml:space="preserve"> se puso a disposición a las Oficinas y </w:t>
      </w:r>
      <w:r w:rsidR="004F7424">
        <w:rPr>
          <w:color w:val="000000"/>
          <w:lang w:val="es-ES_tradnl"/>
        </w:rPr>
        <w:t xml:space="preserve">los </w:t>
      </w:r>
      <w:r w:rsidRPr="00A34388">
        <w:rPr>
          <w:color w:val="000000"/>
          <w:lang w:val="es-ES_tradnl"/>
        </w:rPr>
        <w:t xml:space="preserve">solicitantes, con una gran variedad de nuevas funciones.  El uso de los nuevos servicios contribuyó a dotar de una mayor puntualidad y coherencia a la fase internacional de la tramitación, con un menor riesgo de error.  Los servicios </w:t>
      </w:r>
      <w:r w:rsidR="004F7424">
        <w:rPr>
          <w:color w:val="000000"/>
          <w:lang w:val="es-ES_tradnl"/>
        </w:rPr>
        <w:t xml:space="preserve">de oficina </w:t>
      </w:r>
      <w:r w:rsidRPr="00A34388">
        <w:rPr>
          <w:color w:val="000000"/>
          <w:lang w:val="es-ES_tradnl"/>
        </w:rPr>
        <w:t>de</w:t>
      </w:r>
      <w:r w:rsidR="004F7424" w:rsidRPr="00A34388">
        <w:rPr>
          <w:color w:val="000000"/>
          <w:lang w:val="es-ES_tradnl"/>
        </w:rPr>
        <w:t xml:space="preserve">l sistema </w:t>
      </w:r>
      <w:proofErr w:type="spellStart"/>
      <w:r w:rsidR="004F7424" w:rsidRPr="00A34388">
        <w:rPr>
          <w:color w:val="000000"/>
          <w:lang w:val="es-ES_tradnl"/>
        </w:rPr>
        <w:t>ePCT</w:t>
      </w:r>
      <w:proofErr w:type="spellEnd"/>
      <w:r w:rsidR="004F7424" w:rsidRPr="00A34388">
        <w:rPr>
          <w:color w:val="000000"/>
          <w:lang w:val="es-ES_tradnl"/>
        </w:rPr>
        <w:t xml:space="preserve"> </w:t>
      </w:r>
      <w:r w:rsidR="004F7424">
        <w:rPr>
          <w:color w:val="000000"/>
          <w:lang w:val="es-ES_tradnl"/>
        </w:rPr>
        <w:t>permiten a las</w:t>
      </w:r>
      <w:r w:rsidRPr="00A34388">
        <w:rPr>
          <w:color w:val="000000"/>
          <w:lang w:val="es-ES_tradnl"/>
        </w:rPr>
        <w:t xml:space="preserve"> </w:t>
      </w:r>
      <w:r w:rsidR="004F7424" w:rsidRPr="00A34388">
        <w:rPr>
          <w:color w:val="000000"/>
          <w:lang w:val="es-ES_tradnl"/>
        </w:rPr>
        <w:t>Oficina</w:t>
      </w:r>
      <w:r w:rsidR="004F7424">
        <w:rPr>
          <w:color w:val="000000"/>
          <w:lang w:val="es-ES_tradnl"/>
        </w:rPr>
        <w:t>s</w:t>
      </w:r>
      <w:r w:rsidR="004F7424" w:rsidRPr="00A34388">
        <w:rPr>
          <w:color w:val="000000"/>
          <w:lang w:val="es-ES_tradnl"/>
        </w:rPr>
        <w:t xml:space="preserve"> </w:t>
      </w:r>
      <w:r w:rsidRPr="00A34388">
        <w:rPr>
          <w:color w:val="000000"/>
          <w:lang w:val="es-ES_tradnl"/>
        </w:rPr>
        <w:t xml:space="preserve">de menor tamaño ofrecer </w:t>
      </w:r>
      <w:r w:rsidR="004F7424" w:rsidRPr="00A34388">
        <w:rPr>
          <w:color w:val="000000"/>
          <w:lang w:val="es-ES_tradnl"/>
        </w:rPr>
        <w:t xml:space="preserve">a sus solicitantes locales </w:t>
      </w:r>
      <w:r w:rsidRPr="00A34388">
        <w:rPr>
          <w:color w:val="000000"/>
          <w:lang w:val="es-ES_tradnl"/>
        </w:rPr>
        <w:t xml:space="preserve">la presentación por medios electrónicos, sin afrontar el costo y la dificultad de mantener ellas mismas la infraestructura necesaria.  A pesar de que el servicio todavía no estaba en funcionamiento </w:t>
      </w:r>
      <w:r w:rsidR="00B3110E" w:rsidRPr="00A34388">
        <w:rPr>
          <w:color w:val="000000"/>
          <w:lang w:val="es-ES_tradnl"/>
        </w:rPr>
        <w:t xml:space="preserve">a fines </w:t>
      </w:r>
      <w:r w:rsidRPr="00A34388">
        <w:rPr>
          <w:color w:val="000000"/>
          <w:lang w:val="es-ES_tradnl"/>
        </w:rPr>
        <w:t xml:space="preserve">del bienio, </w:t>
      </w:r>
      <w:r w:rsidR="004F7424">
        <w:rPr>
          <w:color w:val="000000"/>
          <w:lang w:val="es-ES_tradnl"/>
        </w:rPr>
        <w:t xml:space="preserve">las </w:t>
      </w:r>
      <w:r w:rsidRPr="00A34388">
        <w:rPr>
          <w:color w:val="000000"/>
          <w:lang w:val="es-ES_tradnl"/>
        </w:rPr>
        <w:t>Oficinas de varios países en desarrollo lo han estado evaluando.</w:t>
      </w:r>
    </w:p>
    <w:p w:rsidR="00525604" w:rsidRPr="00A34388" w:rsidRDefault="00525604" w:rsidP="00525604">
      <w:pPr>
        <w:tabs>
          <w:tab w:val="left" w:pos="709"/>
        </w:tabs>
        <w:rPr>
          <w:rFonts w:cs="Arial"/>
          <w:bCs/>
          <w:sz w:val="22"/>
          <w:szCs w:val="22"/>
          <w:lang w:val="es-ES_tradnl"/>
        </w:rPr>
      </w:pPr>
    </w:p>
    <w:p w:rsidR="00525604" w:rsidRPr="00A34388" w:rsidRDefault="00525604" w:rsidP="00525604">
      <w:pPr>
        <w:tabs>
          <w:tab w:val="left" w:pos="709"/>
        </w:tabs>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tabs>
          <w:tab w:val="left" w:pos="709"/>
        </w:tabs>
        <w:rPr>
          <w:sz w:val="22"/>
          <w:szCs w:val="22"/>
          <w:lang w:val="es-ES_tradnl"/>
        </w:rPr>
      </w:pPr>
    </w:p>
    <w:p w:rsidR="00525604" w:rsidRPr="00A34388" w:rsidRDefault="00525604" w:rsidP="00525604">
      <w:pPr>
        <w:pStyle w:val="ListParagraph"/>
        <w:numPr>
          <w:ilvl w:val="0"/>
          <w:numId w:val="10"/>
        </w:numPr>
        <w:tabs>
          <w:tab w:val="left" w:pos="709"/>
        </w:tabs>
        <w:ind w:left="0" w:firstLine="0"/>
        <w:jc w:val="both"/>
        <w:rPr>
          <w:rFonts w:cs="Arial"/>
          <w:bCs/>
          <w:lang w:val="es-ES_tradnl"/>
        </w:rPr>
      </w:pPr>
      <w:r w:rsidRPr="00332758">
        <w:rPr>
          <w:lang w:val="es-ES_tradnl"/>
        </w:rPr>
        <w:t>Una parte importante del trabajo del programa consiste en la promoción del sistema del PCT y el desarrollo de la cooperación y asistencia técnicas a los países en desarrollo y a los PMA.</w:t>
      </w:r>
      <w:r w:rsidRPr="00A34388">
        <w:rPr>
          <w:lang w:val="es-ES_tradnl"/>
        </w:rPr>
        <w:t xml:space="preserve"> </w:t>
      </w:r>
      <w:r w:rsidRPr="00332758">
        <w:rPr>
          <w:lang w:val="es-ES_tradnl"/>
        </w:rPr>
        <w:t xml:space="preserve"> Las actividades de formación y fortalecimiento de las capacidades se realizan con el fin de asistir a los Estados miembros en el fortalecimiento de la capacidad nacional para la protección de la creatividad y la innovación nacional, en consonancia con la Agenda para el Desarrollo (recomendación 11).  </w:t>
      </w:r>
      <w:r w:rsidRPr="00A34388">
        <w:rPr>
          <w:lang w:val="es-ES_tradnl"/>
        </w:rPr>
        <w:t xml:space="preserve">Las actividades se orientaron hacia el desarrollo, la demanda y la transparencia (recomendación 1).  Se concibieron en coordinación con organizadores locales teniendo en cuenta el grado de sensibilización o el conocimiento técnico sobre el PCT y las competencias de los participantes en relación con el PCT.  </w:t>
      </w:r>
      <w:r w:rsidRPr="00332758">
        <w:rPr>
          <w:lang w:val="es-ES_tradnl"/>
        </w:rPr>
        <w:t>Estas actividades contribuyen a fortalecer la capacidad de los Estados miembros del PCT para proteger las invenciones a través del PCT mejorando los conocimientos y las competencias locales para la utilización del sistema del PCT.</w:t>
      </w:r>
    </w:p>
    <w:p w:rsidR="00525604" w:rsidRPr="00A34388" w:rsidRDefault="00525604" w:rsidP="00525604">
      <w:pPr>
        <w:pStyle w:val="ListParagraph"/>
        <w:tabs>
          <w:tab w:val="left" w:pos="709"/>
        </w:tabs>
        <w:jc w:val="both"/>
        <w:rPr>
          <w:rFonts w:cs="Arial"/>
          <w:bCs/>
          <w:lang w:val="es-ES_tradnl"/>
        </w:rPr>
      </w:pPr>
    </w:p>
    <w:p w:rsidR="00525604" w:rsidRPr="00A34388" w:rsidRDefault="00525604" w:rsidP="00525604">
      <w:pPr>
        <w:pStyle w:val="ListParagraph"/>
        <w:numPr>
          <w:ilvl w:val="0"/>
          <w:numId w:val="10"/>
        </w:numPr>
        <w:tabs>
          <w:tab w:val="left" w:pos="709"/>
        </w:tabs>
        <w:ind w:left="0" w:firstLine="0"/>
        <w:jc w:val="both"/>
        <w:rPr>
          <w:rFonts w:cs="Arial"/>
          <w:bCs/>
          <w:lang w:val="es-ES_tradnl"/>
        </w:rPr>
      </w:pPr>
      <w:r w:rsidRPr="00A34388">
        <w:rPr>
          <w:lang w:val="es-ES_tradnl"/>
        </w:rPr>
        <w:t xml:space="preserve">Además, el Grupo de Trabajo del PCT celebró sus sesiones quinta y sexta en el bienio 2012/13.  Continuó sus debates sobre una serie de propuestas orientadas a mejorar el funcionamiento del sistema del PCT, de conformidad con las recomendaciones respaldadas por el Grupo de Trabajo en su tercera </w:t>
      </w:r>
      <w:r w:rsidR="00B3110E" w:rsidRPr="00A34388">
        <w:rPr>
          <w:lang w:val="es-ES_tradnl"/>
        </w:rPr>
        <w:t>reunión</w:t>
      </w:r>
      <w:r w:rsidRPr="00A34388">
        <w:rPr>
          <w:lang w:val="es-ES_tradnl"/>
        </w:rPr>
        <w:t xml:space="preserve">.  Entre estas recomendaciones </w:t>
      </w:r>
      <w:r w:rsidR="00B3110E" w:rsidRPr="00A34388">
        <w:rPr>
          <w:lang w:val="es-ES_tradnl"/>
        </w:rPr>
        <w:t xml:space="preserve">secundadas </w:t>
      </w:r>
      <w:r w:rsidRPr="00A34388">
        <w:rPr>
          <w:lang w:val="es-ES_tradnl"/>
        </w:rPr>
        <w:t xml:space="preserve">por el Grupo de Trabajo se incluían las relativas a la </w:t>
      </w:r>
      <w:r w:rsidR="001B0165">
        <w:rPr>
          <w:lang w:val="es-ES_tradnl"/>
        </w:rPr>
        <w:t>forma de armonizar</w:t>
      </w:r>
      <w:r w:rsidRPr="00A34388">
        <w:rPr>
          <w:lang w:val="es-ES_tradnl"/>
        </w:rPr>
        <w:t xml:space="preserve"> </w:t>
      </w:r>
      <w:r w:rsidR="001B0165">
        <w:rPr>
          <w:lang w:val="es-ES_tradnl"/>
        </w:rPr>
        <w:t>el desarrollo</w:t>
      </w:r>
      <w:r w:rsidR="00B3110E" w:rsidRPr="00A34388">
        <w:rPr>
          <w:lang w:val="es-ES_tradnl"/>
        </w:rPr>
        <w:t xml:space="preserve"> futuro </w:t>
      </w:r>
      <w:r w:rsidRPr="00A34388">
        <w:rPr>
          <w:lang w:val="es-ES_tradnl"/>
        </w:rPr>
        <w:t xml:space="preserve">del PCT con las recomendaciones aplicables de la A.D., en particular las de las Categorías A y C. </w:t>
      </w:r>
      <w:r w:rsidR="00537926" w:rsidRPr="00A34388">
        <w:rPr>
          <w:lang w:val="es-ES_tradnl"/>
        </w:rPr>
        <w:t xml:space="preserve"> </w:t>
      </w:r>
      <w:r w:rsidRPr="00A34388">
        <w:rPr>
          <w:lang w:val="es-ES_tradnl"/>
        </w:rPr>
        <w:t xml:space="preserve">En su quinta </w:t>
      </w:r>
      <w:r w:rsidR="00B3110E" w:rsidRPr="00A34388">
        <w:rPr>
          <w:lang w:val="es-ES_tradnl"/>
        </w:rPr>
        <w:t xml:space="preserve">reunión </w:t>
      </w:r>
      <w:r w:rsidRPr="00A34388">
        <w:rPr>
          <w:lang w:val="es-ES_tradnl"/>
        </w:rPr>
        <w:t xml:space="preserve">(del 29 de mayo al 1 de junio de 2012), el Grupo de Trabajo del PCT tomó nota de un informe presentado por la Oficina Internacional sobre la </w:t>
      </w:r>
      <w:r w:rsidR="00B3110E" w:rsidRPr="00A34388">
        <w:rPr>
          <w:lang w:val="es-ES_tradnl"/>
        </w:rPr>
        <w:t xml:space="preserve">marcha de la </w:t>
      </w:r>
      <w:r w:rsidRPr="00A34388">
        <w:rPr>
          <w:lang w:val="es-ES_tradnl"/>
        </w:rPr>
        <w:t xml:space="preserve">puesta en práctica de </w:t>
      </w:r>
      <w:r w:rsidR="00B3110E" w:rsidRPr="00A34388">
        <w:rPr>
          <w:lang w:val="es-ES_tradnl"/>
        </w:rPr>
        <w:t xml:space="preserve">las </w:t>
      </w:r>
      <w:r w:rsidRPr="00A34388">
        <w:rPr>
          <w:lang w:val="es-ES_tradnl"/>
        </w:rPr>
        <w:t>recomendaciones</w:t>
      </w:r>
      <w:r w:rsidR="00B3110E" w:rsidRPr="00A34388">
        <w:rPr>
          <w:lang w:val="es-ES_tradnl"/>
        </w:rPr>
        <w:t xml:space="preserve"> para mejorar el funcionamiento del PCT</w:t>
      </w:r>
      <w:r w:rsidRPr="00A34388">
        <w:rPr>
          <w:lang w:val="es-ES_tradnl"/>
        </w:rPr>
        <w:t xml:space="preserve">.  El principal rasgo de </w:t>
      </w:r>
      <w:r w:rsidR="0036145F" w:rsidRPr="00A34388">
        <w:rPr>
          <w:lang w:val="es-ES_tradnl"/>
        </w:rPr>
        <w:t xml:space="preserve">las </w:t>
      </w:r>
      <w:r w:rsidRPr="00A34388">
        <w:rPr>
          <w:lang w:val="es-ES_tradnl"/>
        </w:rPr>
        <w:t>mejoras</w:t>
      </w:r>
      <w:r w:rsidR="0036145F" w:rsidRPr="00A34388">
        <w:rPr>
          <w:lang w:val="es-ES_tradnl"/>
        </w:rPr>
        <w:t xml:space="preserve"> planteadas</w:t>
      </w:r>
      <w:r w:rsidRPr="00A34388">
        <w:rPr>
          <w:lang w:val="es-ES_tradnl"/>
        </w:rPr>
        <w:t xml:space="preserve">, que llevarán a cabo la Secretaría de la OMPI, los solicitantes, los Estados Contratantes y las oficinas nacionales (desempeñando sus funciones a escalas nacional e internacional) consistía en dotar de </w:t>
      </w:r>
      <w:r w:rsidR="0036145F" w:rsidRPr="00A34388">
        <w:rPr>
          <w:lang w:val="es-ES_tradnl"/>
        </w:rPr>
        <w:t xml:space="preserve">una </w:t>
      </w:r>
      <w:r w:rsidRPr="00A34388">
        <w:rPr>
          <w:lang w:val="es-ES_tradnl"/>
        </w:rPr>
        <w:t xml:space="preserve">mayor eficacia al sistema del PCT, tanto en la tramitación de las solicitudes de patente como en </w:t>
      </w:r>
      <w:r w:rsidR="00B3110E" w:rsidRPr="00A34388">
        <w:rPr>
          <w:lang w:val="es-ES_tradnl"/>
        </w:rPr>
        <w:t xml:space="preserve">cuanto al </w:t>
      </w:r>
      <w:r w:rsidRPr="00A34388">
        <w:rPr>
          <w:lang w:val="es-ES_tradnl"/>
        </w:rPr>
        <w:t xml:space="preserve">respaldo a la transferencia de tecnología y la asistencia técnica a los países en desarrollo. </w:t>
      </w:r>
    </w:p>
    <w:p w:rsidR="00525604" w:rsidRPr="00A34388" w:rsidRDefault="00525604" w:rsidP="00525604">
      <w:pPr>
        <w:pStyle w:val="ListParagraph"/>
        <w:tabs>
          <w:tab w:val="left" w:pos="709"/>
        </w:tabs>
        <w:ind w:left="0"/>
        <w:jc w:val="both"/>
        <w:rPr>
          <w:rFonts w:cs="Arial"/>
          <w:bCs/>
          <w:lang w:val="es-ES_tradnl"/>
        </w:rPr>
      </w:pPr>
    </w:p>
    <w:p w:rsidR="00525604" w:rsidRPr="00332758" w:rsidRDefault="00525604" w:rsidP="00FF125D">
      <w:pPr>
        <w:pStyle w:val="ListParagraph"/>
        <w:numPr>
          <w:ilvl w:val="0"/>
          <w:numId w:val="10"/>
        </w:numPr>
        <w:tabs>
          <w:tab w:val="left" w:pos="709"/>
        </w:tabs>
        <w:ind w:left="0" w:firstLine="0"/>
        <w:jc w:val="both"/>
        <w:rPr>
          <w:rFonts w:cs="Arial"/>
          <w:bCs/>
          <w:lang w:val="es-ES_tradnl"/>
        </w:rPr>
      </w:pPr>
      <w:r w:rsidRPr="00332758">
        <w:rPr>
          <w:lang w:val="es-ES_tradnl"/>
        </w:rPr>
        <w:t>Asimismo, el Grupo de Trabajo tomó nota de un estudio preparado por la Oficina Internacional sobre la coordinación de la asistencia técnica y la financiación de los proyectos de asistencia técnica para los países en desarrollo en el marco del artículo 51 del PCT.  También tomó nota del contenido de un estudio en el que se evalúan los resultados del sistema del PCT en cuanto a la consecución del objetivo de difundir información técnica y facilitar el acceso a la tecnología y organizar la asistencia técnica para los países en desarrollo.</w:t>
      </w:r>
    </w:p>
    <w:p w:rsidR="00525604" w:rsidRPr="00FF125D" w:rsidRDefault="00525604" w:rsidP="00FF125D">
      <w:pPr>
        <w:tabs>
          <w:tab w:val="left" w:pos="709"/>
        </w:tabs>
        <w:jc w:val="both"/>
        <w:rPr>
          <w:rFonts w:cs="Arial"/>
          <w:bCs/>
          <w:lang w:val="es-ES_tradnl"/>
        </w:rPr>
      </w:pPr>
    </w:p>
    <w:p w:rsidR="00525604" w:rsidRPr="00A34388" w:rsidRDefault="00525604" w:rsidP="00FF125D">
      <w:pPr>
        <w:pStyle w:val="ListParagraph"/>
        <w:numPr>
          <w:ilvl w:val="0"/>
          <w:numId w:val="10"/>
        </w:numPr>
        <w:tabs>
          <w:tab w:val="left" w:pos="709"/>
        </w:tabs>
        <w:ind w:left="0" w:firstLine="0"/>
        <w:jc w:val="both"/>
        <w:rPr>
          <w:rFonts w:cs="Arial"/>
          <w:bCs/>
          <w:lang w:val="es-ES_tradnl"/>
        </w:rPr>
      </w:pPr>
      <w:r w:rsidRPr="00A34388">
        <w:rPr>
          <w:lang w:val="es-ES_tradnl"/>
        </w:rPr>
        <w:lastRenderedPageBreak/>
        <w:t xml:space="preserve">En su sexta sesión (21 al 24 de mayo de 2013), el Grupo de Trabajo tomó nota de un estudio preparado por la Oficina Internacional sobre la cuestión de la </w:t>
      </w:r>
      <w:r w:rsidR="001B0165">
        <w:rPr>
          <w:lang w:val="es-ES_tradnl"/>
        </w:rPr>
        <w:t>reducción</w:t>
      </w:r>
      <w:r w:rsidRPr="00A34388">
        <w:rPr>
          <w:lang w:val="es-ES_tradnl"/>
        </w:rPr>
        <w:t xml:space="preserve"> de las tasas del PCT en el que se examinaba tanto la cuestión de la </w:t>
      </w:r>
      <w:r w:rsidR="001B0165">
        <w:rPr>
          <w:lang w:val="es-ES_tradnl"/>
        </w:rPr>
        <w:t>reducción</w:t>
      </w:r>
      <w:r w:rsidRPr="00A34388">
        <w:rPr>
          <w:lang w:val="es-ES_tradnl"/>
        </w:rPr>
        <w:t xml:space="preserve"> de las tasas aplicables a las pymes, las universidades y las instituciones de investigación sin fines de lucro de los países en desarrollo y PMA</w:t>
      </w:r>
      <w:r w:rsidR="001B0165" w:rsidRPr="001B0165">
        <w:rPr>
          <w:lang w:val="es-ES_tradnl"/>
        </w:rPr>
        <w:t xml:space="preserve"> </w:t>
      </w:r>
      <w:r w:rsidR="001B0165" w:rsidRPr="00A34388">
        <w:rPr>
          <w:lang w:val="es-ES_tradnl"/>
        </w:rPr>
        <w:t xml:space="preserve">en particular, pero sin limitarse a </w:t>
      </w:r>
      <w:r w:rsidR="001B0165">
        <w:rPr>
          <w:lang w:val="es-ES_tradnl"/>
        </w:rPr>
        <w:t>ellos</w:t>
      </w:r>
      <w:r w:rsidR="001B0165" w:rsidRPr="00A34388">
        <w:rPr>
          <w:lang w:val="es-ES_tradnl"/>
        </w:rPr>
        <w:t>,</w:t>
      </w:r>
      <w:r w:rsidRPr="00A34388">
        <w:rPr>
          <w:lang w:val="es-ES_tradnl"/>
        </w:rPr>
        <w:t xml:space="preserve"> como la de los criterios para </w:t>
      </w:r>
      <w:r w:rsidR="001B0165">
        <w:rPr>
          <w:lang w:val="es-ES_tradnl"/>
        </w:rPr>
        <w:t>poder beneficiar de una reducción</w:t>
      </w:r>
      <w:r w:rsidRPr="00A34388">
        <w:rPr>
          <w:lang w:val="es-ES_tradnl"/>
        </w:rPr>
        <w:t xml:space="preserve"> de las tasas en el caso de determinados solicitantes de los países en desarrollo y </w:t>
      </w:r>
      <w:r w:rsidR="001B0165">
        <w:rPr>
          <w:lang w:val="es-ES_tradnl"/>
        </w:rPr>
        <w:t>PMA</w:t>
      </w:r>
      <w:r w:rsidRPr="00A34388">
        <w:rPr>
          <w:lang w:val="es-ES_tradnl"/>
        </w:rPr>
        <w:t>.</w:t>
      </w:r>
    </w:p>
    <w:p w:rsidR="00525604" w:rsidRPr="00A34388" w:rsidRDefault="00525604" w:rsidP="00525604">
      <w:pPr>
        <w:tabs>
          <w:tab w:val="left" w:pos="709"/>
        </w:tabs>
        <w:jc w:val="both"/>
        <w:rPr>
          <w:rFonts w:cs="Arial"/>
          <w:bCs/>
          <w:lang w:val="es-ES_tradnl"/>
        </w:rPr>
      </w:pPr>
    </w:p>
    <w:p w:rsidR="00525604" w:rsidRPr="00FF125D" w:rsidRDefault="00525604" w:rsidP="00525604">
      <w:pPr>
        <w:pStyle w:val="ListParagraph"/>
        <w:numPr>
          <w:ilvl w:val="0"/>
          <w:numId w:val="10"/>
        </w:numPr>
        <w:tabs>
          <w:tab w:val="left" w:pos="709"/>
        </w:tabs>
        <w:ind w:left="0" w:firstLine="0"/>
        <w:jc w:val="both"/>
        <w:rPr>
          <w:rFonts w:cs="Arial"/>
          <w:bCs/>
          <w:lang w:val="es-ES_tradnl"/>
        </w:rPr>
      </w:pPr>
      <w:r w:rsidRPr="00A34388">
        <w:rPr>
          <w:lang w:val="es-ES_tradnl"/>
        </w:rPr>
        <w:t xml:space="preserve">El Grupo de Trabajo tomó </w:t>
      </w:r>
      <w:r w:rsidR="0036145F" w:rsidRPr="00A34388">
        <w:rPr>
          <w:lang w:val="es-ES_tradnl"/>
        </w:rPr>
        <w:t xml:space="preserve">asimismo </w:t>
      </w:r>
      <w:r w:rsidRPr="00A34388">
        <w:rPr>
          <w:lang w:val="es-ES_tradnl"/>
        </w:rPr>
        <w:t xml:space="preserve">nota de un informe elaborado por la Oficina Internacional sobre los proyectos de asistencia técnica </w:t>
      </w:r>
      <w:r w:rsidR="00B3110E" w:rsidRPr="00A34388">
        <w:rPr>
          <w:lang w:val="es-ES_tradnl"/>
        </w:rPr>
        <w:t xml:space="preserve">relacionados con el </w:t>
      </w:r>
      <w:r w:rsidRPr="00A34388">
        <w:rPr>
          <w:lang w:val="es-ES_tradnl"/>
        </w:rPr>
        <w:t xml:space="preserve">PCT </w:t>
      </w:r>
      <w:r w:rsidR="0036145F" w:rsidRPr="00A34388">
        <w:rPr>
          <w:lang w:val="es-ES_tradnl"/>
        </w:rPr>
        <w:t>e</w:t>
      </w:r>
      <w:r w:rsidR="00FF125D">
        <w:rPr>
          <w:lang w:val="es-ES_tradnl"/>
        </w:rPr>
        <w:t>jecutados entre 2012 y marzo de </w:t>
      </w:r>
      <w:r w:rsidR="0036145F" w:rsidRPr="00A34388">
        <w:rPr>
          <w:lang w:val="es-ES_tradnl"/>
        </w:rPr>
        <w:t xml:space="preserve">2013 en beneficio de </w:t>
      </w:r>
      <w:r w:rsidRPr="00A34388">
        <w:rPr>
          <w:lang w:val="es-ES_tradnl"/>
        </w:rPr>
        <w:t>los países en desarrollo y los PMA</w:t>
      </w:r>
      <w:r w:rsidR="0036145F" w:rsidRPr="00A34388">
        <w:rPr>
          <w:lang w:val="es-ES_tradnl"/>
        </w:rPr>
        <w:t xml:space="preserve">, así como de </w:t>
      </w:r>
      <w:r w:rsidRPr="00A34388">
        <w:rPr>
          <w:lang w:val="es-ES_tradnl"/>
        </w:rPr>
        <w:t>las actividades de asistencia técnica previstas para lo</w:t>
      </w:r>
      <w:r w:rsidR="0036145F" w:rsidRPr="00A34388">
        <w:rPr>
          <w:lang w:val="es-ES_tradnl"/>
        </w:rPr>
        <w:t>s</w:t>
      </w:r>
      <w:r w:rsidRPr="00A34388">
        <w:rPr>
          <w:lang w:val="es-ES_tradnl"/>
        </w:rPr>
        <w:t xml:space="preserve"> </w:t>
      </w:r>
      <w:r w:rsidR="0036145F" w:rsidRPr="00A34388">
        <w:rPr>
          <w:lang w:val="es-ES_tradnl"/>
        </w:rPr>
        <w:t xml:space="preserve">siguientes meses de </w:t>
      </w:r>
      <w:r w:rsidRPr="00A34388">
        <w:rPr>
          <w:lang w:val="es-ES_tradnl"/>
        </w:rPr>
        <w:t>2013.</w:t>
      </w:r>
    </w:p>
    <w:p w:rsidR="00FF125D" w:rsidRPr="00FF125D" w:rsidRDefault="00FF125D" w:rsidP="00FF125D">
      <w:pPr>
        <w:rPr>
          <w:rFonts w:cs="Arial"/>
          <w:bCs/>
          <w:lang w:val="es-ES_tradnl"/>
        </w:rPr>
      </w:pPr>
    </w:p>
    <w:p w:rsidR="00FF125D" w:rsidRPr="00332758" w:rsidRDefault="00FF125D" w:rsidP="00FF125D">
      <w:pPr>
        <w:rPr>
          <w:szCs w:val="20"/>
          <w:lang w:val="es-ES_tradnl"/>
        </w:rPr>
      </w:pPr>
    </w:p>
    <w:p w:rsidR="00525604" w:rsidRPr="00A34388" w:rsidRDefault="00525604" w:rsidP="00525604">
      <w:pPr>
        <w:rPr>
          <w:rFonts w:cs="Arial"/>
          <w:sz w:val="22"/>
          <w:szCs w:val="22"/>
          <w:lang w:val="es-ES_tradnl"/>
        </w:rPr>
      </w:pPr>
      <w:r w:rsidRPr="00332758">
        <w:rPr>
          <w:sz w:val="22"/>
          <w:lang w:val="es-ES_tradnl"/>
        </w:rPr>
        <w:t>DATOS SOBRE EL RENDIMIENTO</w:t>
      </w:r>
      <w:r w:rsidRPr="00A34388">
        <w:rPr>
          <w:sz w:val="22"/>
          <w:lang w:val="es-ES_tradnl"/>
        </w:rPr>
        <w:t xml:space="preserve"> </w:t>
      </w:r>
    </w:p>
    <w:p w:rsidR="00525604" w:rsidRPr="00FF125D" w:rsidRDefault="00525604" w:rsidP="00525604">
      <w:pPr>
        <w:rPr>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2"/>
        <w:gridCol w:w="460"/>
        <w:gridCol w:w="1445"/>
        <w:gridCol w:w="1667"/>
        <w:gridCol w:w="3013"/>
        <w:gridCol w:w="200"/>
        <w:gridCol w:w="1070"/>
      </w:tblGrid>
      <w:tr w:rsidR="00525604" w:rsidRPr="00E94BEA" w:rsidTr="00853209">
        <w:tc>
          <w:tcPr>
            <w:tcW w:w="5000" w:type="pct"/>
            <w:gridSpan w:val="7"/>
            <w:tcBorders>
              <w:top w:val="single" w:sz="4" w:space="0" w:color="auto"/>
              <w:bottom w:val="single" w:sz="4" w:space="0" w:color="auto"/>
            </w:tcBorders>
            <w:shd w:val="clear" w:color="auto" w:fill="CCFFFF"/>
            <w:vAlign w:val="center"/>
          </w:tcPr>
          <w:p w:rsidR="00525604" w:rsidRPr="00332758" w:rsidRDefault="00525604" w:rsidP="00853209">
            <w:pPr>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Utilización estratégica del PCT, con conocimiento de causa, por todos los innovadores que puedan aprovecharlo.</w:t>
            </w:r>
          </w:p>
        </w:tc>
      </w:tr>
      <w:tr w:rsidR="00525604" w:rsidRPr="00A34388" w:rsidTr="000557C0">
        <w:tc>
          <w:tcPr>
            <w:tcW w:w="802"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18" w:type="pct"/>
            <w:gridSpan w:val="2"/>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91"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10"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79" w:type="pct"/>
            <w:gridSpan w:val="2"/>
            <w:tcBorders>
              <w:top w:val="single" w:sz="4" w:space="0" w:color="auto"/>
            </w:tcBorders>
            <w:shd w:val="clear" w:color="auto" w:fill="auto"/>
            <w:tcMar>
              <w:top w:w="110" w:type="dxa"/>
            </w:tcMar>
            <w:vAlign w:val="center"/>
          </w:tcPr>
          <w:p w:rsidR="00525604" w:rsidRPr="00332758" w:rsidRDefault="00525604" w:rsidP="00853209">
            <w:pPr>
              <w:jc w:val="center"/>
              <w:rPr>
                <w:rFonts w:cs="Arial"/>
                <w:b/>
                <w:bCs/>
                <w:sz w:val="16"/>
                <w:szCs w:val="16"/>
                <w:lang w:val="es-ES_tradnl"/>
              </w:rPr>
            </w:pPr>
            <w:r w:rsidRPr="00332758">
              <w:rPr>
                <w:b/>
                <w:sz w:val="16"/>
                <w:lang w:val="es-ES_tradnl"/>
              </w:rPr>
              <w:t>Clave de colores</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Presentación de solicitudes PCT.</w:t>
            </w:r>
          </w:p>
        </w:tc>
        <w:tc>
          <w:tcPr>
            <w:tcW w:w="1018" w:type="pct"/>
            <w:gridSpan w:val="2"/>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181.900</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sz w:val="16"/>
                <w:lang w:val="es-ES_tradnl"/>
              </w:rPr>
              <w:t xml:space="preserve">  Presentación de solicitudes PCT (2011)</w:t>
            </w:r>
          </w:p>
        </w:tc>
        <w:tc>
          <w:tcPr>
            <w:tcW w:w="891" w:type="pct"/>
            <w:shd w:val="clear" w:color="auto" w:fill="auto"/>
            <w:tcMar>
              <w:top w:w="110" w:type="dxa"/>
            </w:tcMar>
          </w:tcPr>
          <w:p w:rsidR="00525604" w:rsidRPr="00A34388" w:rsidRDefault="00525604" w:rsidP="0036145F">
            <w:pPr>
              <w:autoSpaceDE w:val="0"/>
              <w:autoSpaceDN w:val="0"/>
              <w:adjustRightInd w:val="0"/>
              <w:rPr>
                <w:rFonts w:cs="Arial"/>
                <w:sz w:val="16"/>
                <w:szCs w:val="16"/>
                <w:lang w:val="es-ES_tradnl"/>
              </w:rPr>
            </w:pPr>
            <w:r w:rsidRPr="00A34388">
              <w:rPr>
                <w:sz w:val="16"/>
                <w:lang w:val="es-ES_tradnl"/>
              </w:rPr>
              <w:t>Presentación de solicitudes PCT durante el</w:t>
            </w:r>
            <w:r w:rsidR="0036145F" w:rsidRPr="00A34388">
              <w:rPr>
                <w:sz w:val="16"/>
                <w:lang w:val="es-ES_tradnl"/>
              </w:rPr>
              <w:t xml:space="preserve"> </w:t>
            </w:r>
            <w:r w:rsidRPr="00A34388">
              <w:rPr>
                <w:sz w:val="16"/>
                <w:lang w:val="es-ES_tradnl"/>
              </w:rPr>
              <w:t xml:space="preserve">año </w:t>
            </w:r>
            <w:r w:rsidR="0036145F" w:rsidRPr="00A34388">
              <w:rPr>
                <w:sz w:val="16"/>
                <w:lang w:val="es-ES_tradnl"/>
              </w:rPr>
              <w:t xml:space="preserve">en curso </w:t>
            </w:r>
            <w:r w:rsidRPr="00A34388">
              <w:rPr>
                <w:sz w:val="16"/>
                <w:lang w:val="es-ES_tradnl"/>
              </w:rPr>
              <w:t>conforme a la</w:t>
            </w:r>
            <w:r w:rsidR="0036145F" w:rsidRPr="00A34388">
              <w:rPr>
                <w:sz w:val="16"/>
                <w:lang w:val="es-ES_tradnl"/>
              </w:rPr>
              <w:t xml:space="preserve"> </w:t>
            </w:r>
            <w:r w:rsidRPr="00332758">
              <w:rPr>
                <w:sz w:val="16"/>
                <w:lang w:val="es-ES_tradnl"/>
              </w:rPr>
              <w:t>previsión</w:t>
            </w:r>
            <w:r w:rsidRPr="00A34388">
              <w:rPr>
                <w:sz w:val="16"/>
                <w:lang w:val="es-ES_tradnl"/>
              </w:rPr>
              <w:t xml:space="preserve"> </w:t>
            </w:r>
          </w:p>
        </w:tc>
        <w:tc>
          <w:tcPr>
            <w:tcW w:w="1610"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195.312 (2012)</w:t>
            </w:r>
            <w:r w:rsidRPr="00A34388">
              <w:rPr>
                <w:rStyle w:val="FootnoteReference"/>
                <w:sz w:val="16"/>
                <w:lang w:val="es-ES_tradnl"/>
              </w:rPr>
              <w:footnoteReference w:id="4"/>
            </w:r>
          </w:p>
          <w:p w:rsidR="00525604" w:rsidRPr="00A34388" w:rsidRDefault="00525604" w:rsidP="00853209">
            <w:pPr>
              <w:rPr>
                <w:rFonts w:cs="Arial"/>
                <w:sz w:val="16"/>
                <w:szCs w:val="16"/>
                <w:lang w:val="es-ES_tradnl"/>
              </w:rPr>
            </w:pPr>
            <w:r w:rsidRPr="00A34388">
              <w:rPr>
                <w:sz w:val="16"/>
                <w:lang w:val="es-ES_tradnl"/>
              </w:rPr>
              <w:t>205.300 (2013)</w:t>
            </w:r>
          </w:p>
        </w:tc>
        <w:tc>
          <w:tcPr>
            <w:tcW w:w="679" w:type="pct"/>
            <w:gridSpan w:val="2"/>
            <w:shd w:val="clear" w:color="auto" w:fill="auto"/>
            <w:tcMar>
              <w:top w:w="110" w:type="dxa"/>
            </w:tcMar>
          </w:tcPr>
          <w:p w:rsidR="00525604" w:rsidRPr="00332758" w:rsidRDefault="00525604" w:rsidP="00853209">
            <w:pPr>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Proporción de solicitudes PCT que entran en la fase nacional sobre el total de las solicitudes internacionales presentadas.</w:t>
            </w:r>
          </w:p>
        </w:tc>
        <w:tc>
          <w:tcPr>
            <w:tcW w:w="1018" w:type="pct"/>
            <w:gridSpan w:val="2"/>
            <w:tcBorders>
              <w:bottom w:val="single" w:sz="4" w:space="0" w:color="auto"/>
            </w:tcBorders>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54,9% (2011)</w:t>
            </w:r>
            <w:r w:rsidRPr="00A34388">
              <w:rPr>
                <w:rStyle w:val="FootnoteReference"/>
                <w:color w:val="002060"/>
                <w:sz w:val="16"/>
                <w:lang w:val="es-ES_tradnl"/>
              </w:rPr>
              <w:t xml:space="preserve"> </w:t>
            </w:r>
            <w:r w:rsidRPr="00A34388">
              <w:rPr>
                <w:rStyle w:val="FootnoteReference"/>
                <w:color w:val="002060"/>
                <w:sz w:val="16"/>
                <w:lang w:val="es-ES_tradnl"/>
              </w:rPr>
              <w:footnoteReference w:id="5"/>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sz w:val="16"/>
                <w:lang w:val="es-ES_tradnl"/>
              </w:rPr>
              <w:t xml:space="preserve">  Proporción de </w:t>
            </w:r>
            <w:r w:rsidR="0036145F" w:rsidRPr="00A34388">
              <w:rPr>
                <w:sz w:val="16"/>
                <w:lang w:val="es-ES_tradnl"/>
              </w:rPr>
              <w:t xml:space="preserve">solicitudes PCT que entran en la fase nacional </w:t>
            </w:r>
            <w:r w:rsidRPr="00A34388">
              <w:rPr>
                <w:sz w:val="16"/>
                <w:lang w:val="es-ES_tradnl"/>
              </w:rPr>
              <w:t>sobre las solicitudes internacionales presentadas (fin</w:t>
            </w:r>
            <w:r w:rsidR="0036145F" w:rsidRPr="00A34388">
              <w:rPr>
                <w:sz w:val="16"/>
                <w:lang w:val="es-ES_tradnl"/>
              </w:rPr>
              <w:t>es</w:t>
            </w:r>
            <w:r w:rsidRPr="00A34388">
              <w:rPr>
                <w:sz w:val="16"/>
                <w:lang w:val="es-ES_tradnl"/>
              </w:rPr>
              <w:t xml:space="preserve"> de 2011)</w:t>
            </w:r>
          </w:p>
          <w:p w:rsidR="00525604" w:rsidRPr="00A34388" w:rsidRDefault="00525604" w:rsidP="00853209">
            <w:pPr>
              <w:rPr>
                <w:rFonts w:cs="Arial"/>
                <w:sz w:val="16"/>
                <w:szCs w:val="16"/>
                <w:lang w:val="es-ES_tradnl"/>
              </w:rPr>
            </w:pPr>
          </w:p>
        </w:tc>
        <w:tc>
          <w:tcPr>
            <w:tcW w:w="891" w:type="pct"/>
            <w:tcBorders>
              <w:bottom w:val="single" w:sz="4" w:space="0" w:color="auto"/>
            </w:tcBorders>
            <w:shd w:val="clear" w:color="auto" w:fill="auto"/>
            <w:tcMar>
              <w:top w:w="110" w:type="dxa"/>
            </w:tcMar>
          </w:tcPr>
          <w:p w:rsidR="00525604" w:rsidRPr="00A34388" w:rsidRDefault="00525604" w:rsidP="0036145F">
            <w:pPr>
              <w:autoSpaceDE w:val="0"/>
              <w:autoSpaceDN w:val="0"/>
              <w:adjustRightInd w:val="0"/>
              <w:rPr>
                <w:rFonts w:cs="Arial"/>
                <w:sz w:val="16"/>
                <w:szCs w:val="16"/>
                <w:lang w:val="es-ES_tradnl"/>
              </w:rPr>
            </w:pPr>
            <w:r w:rsidRPr="00A34388">
              <w:rPr>
                <w:sz w:val="16"/>
                <w:lang w:val="es-ES_tradnl"/>
              </w:rPr>
              <w:t xml:space="preserve">Aumento de la proporción de </w:t>
            </w:r>
            <w:r w:rsidR="0036145F" w:rsidRPr="00A34388">
              <w:rPr>
                <w:sz w:val="16"/>
                <w:lang w:val="es-ES_tradnl"/>
              </w:rPr>
              <w:t xml:space="preserve">solicitudes PCT que entran </w:t>
            </w:r>
            <w:r w:rsidRPr="00A34388">
              <w:rPr>
                <w:sz w:val="16"/>
                <w:lang w:val="es-ES_tradnl"/>
              </w:rPr>
              <w:t>en la fase nacional sobre las solicitudes</w:t>
            </w:r>
            <w:r w:rsidR="0036145F" w:rsidRPr="00A34388">
              <w:rPr>
                <w:sz w:val="16"/>
                <w:lang w:val="es-ES_tradnl"/>
              </w:rPr>
              <w:t xml:space="preserve"> </w:t>
            </w:r>
            <w:r w:rsidRPr="00A34388">
              <w:rPr>
                <w:sz w:val="16"/>
                <w:lang w:val="es-ES_tradnl"/>
              </w:rPr>
              <w:t>internacionales presentadas</w:t>
            </w:r>
          </w:p>
        </w:tc>
        <w:tc>
          <w:tcPr>
            <w:tcW w:w="1610"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55,2% (2012)</w:t>
            </w:r>
          </w:p>
        </w:tc>
        <w:tc>
          <w:tcPr>
            <w:tcW w:w="679" w:type="pct"/>
            <w:gridSpan w:val="2"/>
            <w:tcBorders>
              <w:bottom w:val="single" w:sz="4" w:space="0" w:color="auto"/>
            </w:tcBorders>
            <w:shd w:val="clear" w:color="auto" w:fill="auto"/>
            <w:tcMar>
              <w:top w:w="110" w:type="dxa"/>
            </w:tcMar>
          </w:tcPr>
          <w:p w:rsidR="00525604" w:rsidRPr="00332758" w:rsidRDefault="00525604" w:rsidP="00853209">
            <w:pPr>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94BEA" w:rsidTr="00435EE7">
        <w:trPr>
          <w:trHeight w:val="601"/>
        </w:trPr>
        <w:tc>
          <w:tcPr>
            <w:tcW w:w="5000" w:type="pct"/>
            <w:gridSpan w:val="7"/>
            <w:tcBorders>
              <w:top w:val="single" w:sz="4" w:space="0" w:color="auto"/>
              <w:bottom w:val="single" w:sz="4" w:space="0" w:color="auto"/>
            </w:tcBorders>
            <w:shd w:val="clear" w:color="auto" w:fill="CCFFFF"/>
            <w:vAlign w:val="center"/>
          </w:tcPr>
          <w:p w:rsidR="00525604" w:rsidRPr="00332758" w:rsidRDefault="00525604" w:rsidP="00435EE7">
            <w:pPr>
              <w:tabs>
                <w:tab w:val="left" w:pos="1452"/>
              </w:tabs>
              <w:jc w:val="both"/>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Fortalecimiento de las relaciones con los usuarios del PCT y las oficinas.</w:t>
            </w:r>
          </w:p>
        </w:tc>
      </w:tr>
      <w:tr w:rsidR="00525604" w:rsidRPr="00A34388" w:rsidTr="000557C0">
        <w:tc>
          <w:tcPr>
            <w:tcW w:w="802" w:type="pct"/>
            <w:tcBorders>
              <w:top w:val="single" w:sz="4" w:space="0" w:color="auto"/>
            </w:tcBorders>
            <w:shd w:val="clear" w:color="auto" w:fill="auto"/>
            <w:vAlign w:val="center"/>
          </w:tcPr>
          <w:p w:rsidR="00525604" w:rsidRPr="00A34388" w:rsidRDefault="00525604" w:rsidP="00435EE7">
            <w:pPr>
              <w:jc w:val="both"/>
              <w:rPr>
                <w:rFonts w:cs="Arial"/>
                <w:color w:val="808080"/>
                <w:sz w:val="16"/>
                <w:szCs w:val="16"/>
                <w:lang w:val="es-ES_tradnl"/>
              </w:rPr>
            </w:pPr>
            <w:r w:rsidRPr="00332758">
              <w:rPr>
                <w:b/>
                <w:sz w:val="16"/>
                <w:lang w:val="es-ES_tradnl"/>
              </w:rPr>
              <w:t>Indicadores de rendimiento</w:t>
            </w:r>
          </w:p>
        </w:tc>
        <w:tc>
          <w:tcPr>
            <w:tcW w:w="1018" w:type="pct"/>
            <w:gridSpan w:val="2"/>
            <w:tcBorders>
              <w:top w:val="single" w:sz="4" w:space="0" w:color="auto"/>
            </w:tcBorders>
            <w:shd w:val="clear" w:color="auto" w:fill="auto"/>
            <w:vAlign w:val="center"/>
          </w:tcPr>
          <w:p w:rsidR="00525604" w:rsidRPr="00A34388" w:rsidRDefault="00525604" w:rsidP="00435EE7">
            <w:pPr>
              <w:jc w:val="both"/>
              <w:rPr>
                <w:rFonts w:cs="Arial"/>
                <w:b/>
                <w:bCs/>
                <w:color w:val="808080"/>
                <w:sz w:val="16"/>
                <w:szCs w:val="16"/>
                <w:lang w:val="es-ES_tradnl"/>
              </w:rPr>
            </w:pPr>
            <w:r w:rsidRPr="00332758">
              <w:rPr>
                <w:b/>
                <w:sz w:val="16"/>
                <w:lang w:val="es-ES_tradnl"/>
              </w:rPr>
              <w:t>Referencia</w:t>
            </w:r>
          </w:p>
        </w:tc>
        <w:tc>
          <w:tcPr>
            <w:tcW w:w="891" w:type="pct"/>
            <w:tcBorders>
              <w:top w:val="single" w:sz="4" w:space="0" w:color="auto"/>
            </w:tcBorders>
            <w:shd w:val="clear" w:color="auto" w:fill="auto"/>
            <w:tcMar>
              <w:top w:w="110" w:type="dxa"/>
            </w:tcMar>
            <w:vAlign w:val="center"/>
          </w:tcPr>
          <w:p w:rsidR="00525604" w:rsidRPr="00A34388" w:rsidRDefault="00525604" w:rsidP="00435EE7">
            <w:pPr>
              <w:jc w:val="both"/>
              <w:rPr>
                <w:rFonts w:cs="Arial"/>
                <w:b/>
                <w:color w:val="808080"/>
                <w:sz w:val="16"/>
                <w:szCs w:val="16"/>
                <w:lang w:val="es-ES_tradnl"/>
              </w:rPr>
            </w:pPr>
            <w:r w:rsidRPr="00332758">
              <w:rPr>
                <w:b/>
                <w:sz w:val="16"/>
                <w:lang w:val="es-ES_tradnl"/>
              </w:rPr>
              <w:t>Objetivos</w:t>
            </w:r>
          </w:p>
        </w:tc>
        <w:tc>
          <w:tcPr>
            <w:tcW w:w="1610" w:type="pct"/>
            <w:tcBorders>
              <w:top w:val="single" w:sz="4" w:space="0" w:color="auto"/>
            </w:tcBorders>
            <w:shd w:val="clear" w:color="auto" w:fill="FFFFFF"/>
            <w:tcMar>
              <w:top w:w="110" w:type="dxa"/>
            </w:tcMar>
            <w:vAlign w:val="center"/>
          </w:tcPr>
          <w:p w:rsidR="00525604" w:rsidRPr="00A34388" w:rsidRDefault="00525604" w:rsidP="00435EE7">
            <w:pPr>
              <w:jc w:val="both"/>
              <w:rPr>
                <w:rFonts w:cs="Arial"/>
                <w:color w:val="808080"/>
                <w:sz w:val="16"/>
                <w:szCs w:val="16"/>
                <w:lang w:val="es-ES_tradnl"/>
              </w:rPr>
            </w:pPr>
            <w:r w:rsidRPr="00332758">
              <w:rPr>
                <w:b/>
                <w:sz w:val="16"/>
                <w:lang w:val="es-ES_tradnl"/>
              </w:rPr>
              <w:t>Datos sobre el rendimiento</w:t>
            </w:r>
          </w:p>
        </w:tc>
        <w:tc>
          <w:tcPr>
            <w:tcW w:w="679" w:type="pct"/>
            <w:gridSpan w:val="2"/>
            <w:tcBorders>
              <w:top w:val="single" w:sz="4" w:space="0" w:color="auto"/>
            </w:tcBorders>
            <w:shd w:val="clear" w:color="auto" w:fill="auto"/>
            <w:tcMar>
              <w:top w:w="110" w:type="dxa"/>
            </w:tcMar>
            <w:vAlign w:val="center"/>
          </w:tcPr>
          <w:p w:rsidR="00525604" w:rsidRPr="00332758" w:rsidRDefault="00525604" w:rsidP="00435EE7">
            <w:pPr>
              <w:jc w:val="both"/>
              <w:rPr>
                <w:rFonts w:cs="Arial"/>
                <w:b/>
                <w:bCs/>
                <w:sz w:val="16"/>
                <w:szCs w:val="16"/>
                <w:lang w:val="es-ES_tradnl"/>
              </w:rPr>
            </w:pPr>
            <w:r w:rsidRPr="00332758">
              <w:rPr>
                <w:b/>
                <w:sz w:val="16"/>
                <w:lang w:val="es-ES_tradnl"/>
              </w:rPr>
              <w:t>Clave de colores</w:t>
            </w:r>
          </w:p>
        </w:tc>
      </w:tr>
      <w:tr w:rsidR="00525604" w:rsidRPr="00A34388" w:rsidTr="000557C0">
        <w:tc>
          <w:tcPr>
            <w:tcW w:w="802" w:type="pct"/>
            <w:shd w:val="clear" w:color="auto" w:fill="FFFFFF"/>
          </w:tcPr>
          <w:p w:rsidR="00525604" w:rsidRPr="00A34388" w:rsidRDefault="00525604" w:rsidP="00435EE7">
            <w:pPr>
              <w:jc w:val="both"/>
              <w:rPr>
                <w:rFonts w:cs="Arial"/>
                <w:sz w:val="16"/>
                <w:szCs w:val="16"/>
                <w:lang w:val="es-ES_tradnl"/>
              </w:rPr>
            </w:pPr>
            <w:r w:rsidRPr="00332758">
              <w:rPr>
                <w:sz w:val="16"/>
                <w:lang w:val="es-ES_tradnl"/>
              </w:rPr>
              <w:t>Satisfacción de las oficinas y las administraciones internacionales con las actividades de cooperación en el marco del PCT.</w:t>
            </w:r>
          </w:p>
        </w:tc>
        <w:tc>
          <w:tcPr>
            <w:tcW w:w="1018" w:type="pct"/>
            <w:gridSpan w:val="2"/>
            <w:shd w:val="clear" w:color="auto" w:fill="auto"/>
          </w:tcPr>
          <w:p w:rsidR="00525604" w:rsidRPr="00910203" w:rsidRDefault="00525604" w:rsidP="00910203">
            <w:pPr>
              <w:rPr>
                <w:rFonts w:cs="Arial"/>
                <w:i/>
                <w:color w:val="002060"/>
                <w:sz w:val="16"/>
                <w:szCs w:val="16"/>
                <w:lang w:val="es-ES_tradnl"/>
              </w:rPr>
            </w:pPr>
            <w:r w:rsidRPr="00910203">
              <w:rPr>
                <w:i/>
                <w:color w:val="002060"/>
                <w:sz w:val="16"/>
                <w:lang w:val="es-ES_tradnl"/>
              </w:rPr>
              <w:t>Referencia actualizada a fines de 2011:</w:t>
            </w:r>
            <w:r w:rsidRPr="00910203">
              <w:rPr>
                <w:color w:val="002060"/>
                <w:sz w:val="16"/>
                <w:lang w:val="es-ES_tradnl"/>
              </w:rPr>
              <w:t xml:space="preserve">  59 (95% de los 62 beneficiarios de las actividades de cooperación en el marco del PCT;  86% de los 69 encuestados)</w:t>
            </w:r>
          </w:p>
          <w:p w:rsidR="00525604" w:rsidRPr="00A34388" w:rsidRDefault="00525604" w:rsidP="00435EE7">
            <w:pPr>
              <w:jc w:val="both"/>
              <w:rPr>
                <w:rFonts w:cs="Arial"/>
                <w:i/>
                <w:sz w:val="8"/>
                <w:szCs w:val="8"/>
                <w:lang w:val="es-ES_tradnl"/>
              </w:rPr>
            </w:pPr>
          </w:p>
          <w:p w:rsidR="00525604" w:rsidRPr="00A34388" w:rsidRDefault="00525604" w:rsidP="00435EE7">
            <w:pPr>
              <w:rPr>
                <w:rFonts w:cs="Arial"/>
                <w:sz w:val="16"/>
                <w:szCs w:val="16"/>
                <w:lang w:val="es-ES_tradnl"/>
              </w:rPr>
            </w:pPr>
            <w:r w:rsidRPr="00332758">
              <w:rPr>
                <w:i/>
                <w:sz w:val="16"/>
                <w:lang w:val="es-ES_tradnl"/>
              </w:rPr>
              <w:t>Referencia original en el presupuesto de 2012/13</w:t>
            </w:r>
            <w:proofErr w:type="gramStart"/>
            <w:r w:rsidRPr="00332758">
              <w:rPr>
                <w:i/>
                <w:sz w:val="16"/>
                <w:lang w:val="es-ES_tradnl"/>
              </w:rPr>
              <w:t>:</w:t>
            </w:r>
            <w:r w:rsidRPr="00332758">
              <w:rPr>
                <w:sz w:val="16"/>
                <w:lang w:val="es-ES_tradnl"/>
              </w:rPr>
              <w:t xml:space="preserve">  30</w:t>
            </w:r>
            <w:proofErr w:type="gramEnd"/>
            <w:r w:rsidRPr="00332758">
              <w:rPr>
                <w:sz w:val="16"/>
                <w:lang w:val="es-ES_tradnl"/>
              </w:rPr>
              <w:t xml:space="preserve"> oficinas y administraciones internacionales manifestaron satisfacción con las </w:t>
            </w:r>
            <w:r w:rsidRPr="00332758">
              <w:rPr>
                <w:sz w:val="16"/>
                <w:lang w:val="es-ES_tradnl"/>
              </w:rPr>
              <w:lastRenderedPageBreak/>
              <w:t xml:space="preserve">actividades de cooperación en el marco del PCT (2010) (es decir, el 91% de las 33 que aprovecharon las actividades de cooperación en el marco del PCT y el 46% del total de 65 que expresaron su opinión al respecto). </w:t>
            </w:r>
          </w:p>
        </w:tc>
        <w:tc>
          <w:tcPr>
            <w:tcW w:w="891" w:type="pct"/>
            <w:shd w:val="clear" w:color="auto" w:fill="auto"/>
            <w:tcMar>
              <w:top w:w="110" w:type="dxa"/>
            </w:tcMar>
          </w:tcPr>
          <w:p w:rsidR="00525604" w:rsidRPr="00A34388" w:rsidRDefault="00525604" w:rsidP="00435EE7">
            <w:pPr>
              <w:jc w:val="both"/>
              <w:rPr>
                <w:rFonts w:cs="Arial"/>
                <w:sz w:val="16"/>
                <w:szCs w:val="16"/>
                <w:lang w:val="es-ES_tradnl"/>
              </w:rPr>
            </w:pPr>
            <w:r w:rsidRPr="00A34388">
              <w:rPr>
                <w:sz w:val="16"/>
                <w:lang w:val="es-ES_tradnl"/>
              </w:rPr>
              <w:lastRenderedPageBreak/>
              <w:t xml:space="preserve">Mantener el nivel de </w:t>
            </w:r>
            <w:r w:rsidR="00284400" w:rsidRPr="00A34388">
              <w:rPr>
                <w:sz w:val="16"/>
                <w:lang w:val="es-ES_tradnl"/>
              </w:rPr>
              <w:t>satisfacción de</w:t>
            </w:r>
            <w:r w:rsidR="00FC0D4D" w:rsidRPr="00A34388">
              <w:rPr>
                <w:sz w:val="16"/>
                <w:lang w:val="es-ES_tradnl"/>
              </w:rPr>
              <w:t xml:space="preserve"> </w:t>
            </w:r>
            <w:r w:rsidRPr="00A34388">
              <w:rPr>
                <w:sz w:val="16"/>
                <w:lang w:val="es-ES_tradnl"/>
              </w:rPr>
              <w:t xml:space="preserve">2010 </w:t>
            </w:r>
            <w:r w:rsidR="00FC0D4D" w:rsidRPr="00A34388">
              <w:rPr>
                <w:sz w:val="16"/>
                <w:lang w:val="es-ES_tradnl"/>
              </w:rPr>
              <w:t xml:space="preserve">entre </w:t>
            </w:r>
            <w:r w:rsidRPr="00A34388">
              <w:rPr>
                <w:sz w:val="16"/>
                <w:lang w:val="es-ES_tradnl"/>
              </w:rPr>
              <w:t xml:space="preserve">las oficinas y </w:t>
            </w:r>
            <w:r w:rsidR="00FC0D4D" w:rsidRPr="00A34388">
              <w:rPr>
                <w:sz w:val="16"/>
                <w:lang w:val="es-ES_tradnl"/>
              </w:rPr>
              <w:t xml:space="preserve">las </w:t>
            </w:r>
            <w:r w:rsidRPr="00A34388">
              <w:rPr>
                <w:sz w:val="16"/>
                <w:lang w:val="es-ES_tradnl"/>
              </w:rPr>
              <w:t>autoridades internacionales</w:t>
            </w:r>
          </w:p>
        </w:tc>
        <w:tc>
          <w:tcPr>
            <w:tcW w:w="1610" w:type="pct"/>
            <w:shd w:val="clear" w:color="auto" w:fill="FFFFFF"/>
            <w:tcMar>
              <w:top w:w="110" w:type="dxa"/>
            </w:tcMar>
          </w:tcPr>
          <w:p w:rsidR="00525604" w:rsidRPr="00332758" w:rsidRDefault="00525604" w:rsidP="00435EE7">
            <w:pPr>
              <w:jc w:val="both"/>
              <w:rPr>
                <w:rFonts w:cs="Arial"/>
                <w:sz w:val="16"/>
                <w:szCs w:val="16"/>
                <w:lang w:val="es-ES_tradnl"/>
              </w:rPr>
            </w:pPr>
            <w:r w:rsidRPr="00332758">
              <w:rPr>
                <w:sz w:val="16"/>
                <w:lang w:val="es-ES_tradnl"/>
              </w:rPr>
              <w:t>56 (95% de los 59 beneficiarios de las actividades de cooperación en el marco del PCT;  85% de los 66 encuestados) (encuesta de 2012)</w:t>
            </w:r>
          </w:p>
          <w:p w:rsidR="00525604" w:rsidRPr="00A34388" w:rsidRDefault="00525604" w:rsidP="00435EE7">
            <w:pPr>
              <w:jc w:val="both"/>
              <w:rPr>
                <w:rFonts w:cs="Arial"/>
                <w:sz w:val="16"/>
                <w:szCs w:val="16"/>
                <w:lang w:val="es-ES_tradnl"/>
              </w:rPr>
            </w:pPr>
            <w:r w:rsidRPr="00A34388">
              <w:rPr>
                <w:sz w:val="16"/>
                <w:lang w:val="es-ES_tradnl"/>
              </w:rPr>
              <w:t>La encuesta de satisfacción se realiza una vez cada bienio.</w:t>
            </w:r>
          </w:p>
        </w:tc>
        <w:tc>
          <w:tcPr>
            <w:tcW w:w="679" w:type="pct"/>
            <w:gridSpan w:val="2"/>
            <w:shd w:val="clear" w:color="auto" w:fill="auto"/>
            <w:tcMar>
              <w:top w:w="110" w:type="dxa"/>
            </w:tcMar>
          </w:tcPr>
          <w:p w:rsidR="00525604" w:rsidRPr="00A34388" w:rsidRDefault="00525604" w:rsidP="00435EE7">
            <w:pPr>
              <w:jc w:val="both"/>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lastRenderedPageBreak/>
              <w:t>Contactos significativos con los usuarios del PCT</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943634" w:themeColor="accent2" w:themeShade="BF"/>
                <w:sz w:val="16"/>
                <w:lang w:val="es-ES_tradnl"/>
              </w:rPr>
              <w:t xml:space="preserve">  </w:t>
            </w:r>
            <w:r w:rsidRPr="00A34388">
              <w:rPr>
                <w:color w:val="002060"/>
                <w:sz w:val="16"/>
                <w:lang w:val="es-ES_tradnl"/>
              </w:rPr>
              <w:t xml:space="preserve">70 </w:t>
            </w:r>
          </w:p>
          <w:p w:rsidR="00525604" w:rsidRPr="00A34388" w:rsidRDefault="00525604" w:rsidP="00853209">
            <w:pPr>
              <w:rPr>
                <w:rFonts w:cs="Arial"/>
                <w:i/>
                <w:sz w:val="8"/>
                <w:szCs w:val="8"/>
                <w:lang w:val="es-ES_tradnl"/>
              </w:rPr>
            </w:pPr>
          </w:p>
          <w:p w:rsidR="00525604" w:rsidRPr="00A34388" w:rsidRDefault="00525604" w:rsidP="002B591B">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roofErr w:type="gramStart"/>
            <w:r w:rsidRPr="00A34388">
              <w:rPr>
                <w:i/>
                <w:sz w:val="16"/>
                <w:lang w:val="es-ES_tradnl"/>
              </w:rPr>
              <w:t>:</w:t>
            </w:r>
            <w:r w:rsidRPr="00A34388">
              <w:rPr>
                <w:sz w:val="16"/>
                <w:lang w:val="es-ES_tradnl"/>
              </w:rPr>
              <w:t xml:space="preserve">  </w:t>
            </w:r>
            <w:r w:rsidR="002B591B" w:rsidRPr="00A34388">
              <w:rPr>
                <w:sz w:val="16"/>
                <w:lang w:val="es-ES_tradnl"/>
              </w:rPr>
              <w:t>Por</w:t>
            </w:r>
            <w:proofErr w:type="gramEnd"/>
            <w:r w:rsidRPr="00A34388">
              <w:rPr>
                <w:sz w:val="16"/>
                <w:lang w:val="es-ES_tradnl"/>
              </w:rPr>
              <w:t xml:space="preserve"> determinar </w:t>
            </w:r>
            <w:r w:rsidR="00FC0D4D" w:rsidRPr="00A34388">
              <w:rPr>
                <w:sz w:val="16"/>
                <w:lang w:val="es-ES_tradnl"/>
              </w:rPr>
              <w:t xml:space="preserve">a fines </w:t>
            </w:r>
            <w:r w:rsidRPr="00A34388">
              <w:rPr>
                <w:sz w:val="16"/>
                <w:lang w:val="es-ES_tradnl"/>
              </w:rPr>
              <w:t>de 2011.</w:t>
            </w:r>
          </w:p>
        </w:tc>
        <w:tc>
          <w:tcPr>
            <w:tcW w:w="89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Contactos periódicos con gran cantidad de usuarios del PCT</w:t>
            </w:r>
          </w:p>
        </w:tc>
        <w:tc>
          <w:tcPr>
            <w:tcW w:w="1610"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85 casos de contactos significativos con los usuarios</w:t>
            </w:r>
          </w:p>
        </w:tc>
        <w:tc>
          <w:tcPr>
            <w:tcW w:w="679" w:type="pct"/>
            <w:gridSpan w:val="2"/>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Mayor información proporcionada por los usuarios del PCT sobre el desempeño global del sistema.</w:t>
            </w:r>
          </w:p>
        </w:tc>
        <w:tc>
          <w:tcPr>
            <w:tcW w:w="1018" w:type="pct"/>
            <w:gridSpan w:val="2"/>
            <w:tcBorders>
              <w:bottom w:val="single" w:sz="4" w:space="0" w:color="auto"/>
            </w:tcBorders>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w:t>
            </w:r>
            <w:r w:rsidR="007E4D96" w:rsidRPr="00A34388">
              <w:rPr>
                <w:color w:val="002060"/>
                <w:sz w:val="16"/>
                <w:lang w:val="es-ES_tradnl"/>
              </w:rPr>
              <w:t xml:space="preserve"> </w:t>
            </w:r>
            <w:r w:rsidRPr="00A34388">
              <w:rPr>
                <w:color w:val="002060"/>
                <w:sz w:val="16"/>
                <w:lang w:val="es-ES_tradnl"/>
              </w:rPr>
              <w:t>116 solicitudes de información</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proofErr w:type="gramStart"/>
            <w:r w:rsidRPr="00A34388">
              <w:rPr>
                <w:i/>
                <w:sz w:val="16"/>
                <w:lang w:val="es-ES_tradnl"/>
              </w:rPr>
              <w:t>:</w:t>
            </w:r>
            <w:r w:rsidR="002B591B" w:rsidRPr="00A34388">
              <w:rPr>
                <w:sz w:val="16"/>
                <w:lang w:val="es-ES_tradnl"/>
              </w:rPr>
              <w:t xml:space="preserve">  Por</w:t>
            </w:r>
            <w:proofErr w:type="gramEnd"/>
            <w:r w:rsidRPr="00A34388">
              <w:rPr>
                <w:sz w:val="16"/>
                <w:lang w:val="es-ES_tradnl"/>
              </w:rPr>
              <w:t xml:space="preserve"> determinar </w:t>
            </w:r>
            <w:r w:rsidR="00FC0D4D" w:rsidRPr="00A34388">
              <w:rPr>
                <w:sz w:val="16"/>
                <w:lang w:val="es-ES_tradnl"/>
              </w:rPr>
              <w:t xml:space="preserve">a fines </w:t>
            </w:r>
            <w:r w:rsidRPr="00A34388">
              <w:rPr>
                <w:sz w:val="16"/>
                <w:lang w:val="es-ES_tradnl"/>
              </w:rPr>
              <w:t>de 2011.</w:t>
            </w:r>
          </w:p>
          <w:p w:rsidR="00525604" w:rsidRPr="00A34388" w:rsidRDefault="00525604" w:rsidP="00853209">
            <w:pPr>
              <w:rPr>
                <w:rFonts w:cs="Arial"/>
                <w:color w:val="002060"/>
                <w:sz w:val="16"/>
                <w:szCs w:val="16"/>
                <w:lang w:val="es-ES_tradnl"/>
              </w:rPr>
            </w:pPr>
          </w:p>
        </w:tc>
        <w:tc>
          <w:tcPr>
            <w:tcW w:w="891" w:type="pct"/>
            <w:tcBorders>
              <w:bottom w:val="single" w:sz="4" w:space="0" w:color="auto"/>
            </w:tcBorders>
            <w:shd w:val="clear" w:color="auto" w:fill="auto"/>
            <w:tcMar>
              <w:top w:w="110" w:type="dxa"/>
            </w:tcMar>
          </w:tcPr>
          <w:p w:rsidR="00525604" w:rsidRPr="00A34388" w:rsidRDefault="00525604" w:rsidP="00FC0D4D">
            <w:pPr>
              <w:rPr>
                <w:rFonts w:cs="Arial"/>
                <w:sz w:val="16"/>
                <w:szCs w:val="16"/>
                <w:lang w:val="es-ES_tradnl"/>
              </w:rPr>
            </w:pPr>
            <w:r w:rsidRPr="00A34388">
              <w:rPr>
                <w:sz w:val="16"/>
                <w:lang w:val="es-ES_tradnl"/>
              </w:rPr>
              <w:t xml:space="preserve">En cada contacto, </w:t>
            </w:r>
            <w:r w:rsidR="00FC0D4D" w:rsidRPr="00A34388">
              <w:rPr>
                <w:sz w:val="16"/>
                <w:lang w:val="es-ES_tradnl"/>
              </w:rPr>
              <w:t xml:space="preserve">se solicita informalmente a los usuarios que proporcionen </w:t>
            </w:r>
            <w:r w:rsidRPr="00A34388">
              <w:rPr>
                <w:sz w:val="16"/>
                <w:lang w:val="es-ES_tradnl"/>
              </w:rPr>
              <w:t>información</w:t>
            </w:r>
          </w:p>
        </w:tc>
        <w:tc>
          <w:tcPr>
            <w:tcW w:w="1610" w:type="pct"/>
            <w:tcBorders>
              <w:bottom w:val="single" w:sz="4" w:space="0" w:color="auto"/>
            </w:tcBorders>
            <w:shd w:val="clear" w:color="auto" w:fill="FFFFFF"/>
            <w:tcMar>
              <w:top w:w="110" w:type="dxa"/>
            </w:tcMar>
          </w:tcPr>
          <w:p w:rsidR="00525604" w:rsidRPr="00A34388" w:rsidRDefault="00525604" w:rsidP="00FC0D4D">
            <w:pPr>
              <w:rPr>
                <w:rFonts w:cs="Arial"/>
                <w:sz w:val="16"/>
                <w:szCs w:val="16"/>
                <w:lang w:val="es-ES_tradnl"/>
              </w:rPr>
            </w:pPr>
            <w:r w:rsidRPr="00A34388">
              <w:rPr>
                <w:sz w:val="16"/>
                <w:lang w:val="es-ES_tradnl"/>
              </w:rPr>
              <w:t xml:space="preserve">237 solicitudes </w:t>
            </w:r>
            <w:r w:rsidR="00FC0D4D" w:rsidRPr="00A34388">
              <w:rPr>
                <w:sz w:val="16"/>
                <w:lang w:val="es-ES_tradnl"/>
              </w:rPr>
              <w:t xml:space="preserve">dirigidas a obtener </w:t>
            </w:r>
            <w:r w:rsidRPr="00A34388">
              <w:rPr>
                <w:sz w:val="16"/>
                <w:lang w:val="es-ES_tradnl"/>
              </w:rPr>
              <w:t xml:space="preserve">información </w:t>
            </w:r>
            <w:r w:rsidR="00FC0D4D" w:rsidRPr="00A34388">
              <w:rPr>
                <w:sz w:val="16"/>
                <w:lang w:val="es-ES_tradnl"/>
              </w:rPr>
              <w:t xml:space="preserve">de los </w:t>
            </w:r>
            <w:r w:rsidRPr="00A34388">
              <w:rPr>
                <w:sz w:val="16"/>
                <w:lang w:val="es-ES_tradnl"/>
              </w:rPr>
              <w:t>usuarios del PCT</w:t>
            </w:r>
          </w:p>
        </w:tc>
        <w:tc>
          <w:tcPr>
            <w:tcW w:w="679" w:type="pct"/>
            <w:gridSpan w:val="2"/>
            <w:tcBorders>
              <w:bottom w:val="single" w:sz="4" w:space="0" w:color="auto"/>
            </w:tcBorders>
            <w:shd w:val="clear" w:color="auto" w:fill="auto"/>
            <w:tcMar>
              <w:top w:w="110" w:type="dxa"/>
            </w:tcMar>
          </w:tcPr>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94BEA" w:rsidTr="00435EE7">
        <w:trPr>
          <w:trHeight w:val="451"/>
        </w:trPr>
        <w:tc>
          <w:tcPr>
            <w:tcW w:w="5000" w:type="pct"/>
            <w:gridSpan w:val="7"/>
            <w:tcBorders>
              <w:top w:val="single" w:sz="4" w:space="0" w:color="auto"/>
              <w:bottom w:val="single" w:sz="4" w:space="0" w:color="auto"/>
            </w:tcBorders>
            <w:shd w:val="clear" w:color="auto" w:fill="CCFFFF"/>
            <w:vAlign w:val="center"/>
          </w:tcPr>
          <w:p w:rsidR="00525604" w:rsidRPr="00A34388" w:rsidRDefault="00525604" w:rsidP="00FF125D">
            <w:pPr>
              <w:tabs>
                <w:tab w:val="left" w:pos="1452"/>
              </w:tabs>
              <w:rPr>
                <w:rFonts w:cs="Arial"/>
                <w:b/>
                <w:bCs/>
                <w:sz w:val="16"/>
                <w:szCs w:val="16"/>
                <w:lang w:val="es-ES_tradnl"/>
              </w:rPr>
            </w:pPr>
            <w:r w:rsidRPr="00A34388">
              <w:rPr>
                <w:b/>
                <w:color w:val="000000"/>
                <w:sz w:val="16"/>
                <w:lang w:val="es-ES_tradnl"/>
              </w:rPr>
              <w:t>Resultado previsto:</w:t>
            </w:r>
            <w:r w:rsidRPr="00A34388">
              <w:rPr>
                <w:lang w:val="es-ES_tradnl"/>
              </w:rPr>
              <w:tab/>
            </w:r>
            <w:r w:rsidRPr="00A34388">
              <w:rPr>
                <w:color w:val="000000"/>
                <w:sz w:val="16"/>
                <w:lang w:val="es-ES_tradnl"/>
              </w:rPr>
              <w:t>Perfeccionamiento del sistema del PCT en su conjunto.</w:t>
            </w:r>
          </w:p>
        </w:tc>
      </w:tr>
      <w:tr w:rsidR="00525604" w:rsidRPr="00A34388" w:rsidTr="000557C0">
        <w:tc>
          <w:tcPr>
            <w:tcW w:w="1048" w:type="pct"/>
            <w:gridSpan w:val="2"/>
            <w:tcBorders>
              <w:top w:val="single" w:sz="4" w:space="0" w:color="auto"/>
            </w:tcBorders>
            <w:shd w:val="clear" w:color="auto" w:fill="auto"/>
            <w:vAlign w:val="center"/>
          </w:tcPr>
          <w:p w:rsidR="00525604" w:rsidRPr="00A34388" w:rsidRDefault="00525604" w:rsidP="00FF125D">
            <w:pPr>
              <w:rPr>
                <w:rFonts w:cs="Arial"/>
                <w:color w:val="808080"/>
                <w:sz w:val="16"/>
                <w:szCs w:val="16"/>
                <w:lang w:val="es-ES_tradnl"/>
              </w:rPr>
            </w:pPr>
            <w:r w:rsidRPr="00332758">
              <w:rPr>
                <w:b/>
                <w:sz w:val="16"/>
                <w:lang w:val="es-ES_tradnl"/>
              </w:rPr>
              <w:t>Indicadores de rendimiento</w:t>
            </w:r>
          </w:p>
        </w:tc>
        <w:tc>
          <w:tcPr>
            <w:tcW w:w="772" w:type="pct"/>
            <w:tcBorders>
              <w:top w:val="single" w:sz="4" w:space="0" w:color="auto"/>
            </w:tcBorders>
            <w:shd w:val="clear" w:color="auto" w:fill="auto"/>
            <w:vAlign w:val="center"/>
          </w:tcPr>
          <w:p w:rsidR="00525604" w:rsidRPr="00A34388" w:rsidRDefault="00525604" w:rsidP="00853209">
            <w:pPr>
              <w:keepNext/>
              <w:keepLines/>
              <w:spacing w:after="40"/>
              <w:rPr>
                <w:rFonts w:cs="Arial"/>
                <w:b/>
                <w:bCs/>
                <w:color w:val="808080"/>
                <w:sz w:val="16"/>
                <w:szCs w:val="16"/>
                <w:lang w:val="es-ES_tradnl"/>
              </w:rPr>
            </w:pPr>
            <w:r w:rsidRPr="00332758">
              <w:rPr>
                <w:b/>
                <w:sz w:val="16"/>
                <w:lang w:val="es-ES_tradnl"/>
              </w:rPr>
              <w:t>Referencia</w:t>
            </w:r>
          </w:p>
        </w:tc>
        <w:tc>
          <w:tcPr>
            <w:tcW w:w="891" w:type="pct"/>
            <w:tcBorders>
              <w:top w:val="single" w:sz="4" w:space="0" w:color="auto"/>
            </w:tcBorders>
            <w:shd w:val="clear" w:color="auto" w:fill="auto"/>
            <w:tcMar>
              <w:top w:w="110" w:type="dxa"/>
            </w:tcMar>
            <w:vAlign w:val="center"/>
          </w:tcPr>
          <w:p w:rsidR="00525604" w:rsidRPr="00A34388" w:rsidRDefault="00525604" w:rsidP="00853209">
            <w:pPr>
              <w:keepNext/>
              <w:keepLines/>
              <w:spacing w:after="40"/>
              <w:rPr>
                <w:rFonts w:cs="Arial"/>
                <w:b/>
                <w:color w:val="808080"/>
                <w:sz w:val="16"/>
                <w:szCs w:val="16"/>
                <w:lang w:val="es-ES_tradnl"/>
              </w:rPr>
            </w:pPr>
            <w:r w:rsidRPr="00332758">
              <w:rPr>
                <w:b/>
                <w:sz w:val="16"/>
                <w:lang w:val="es-ES_tradnl"/>
              </w:rPr>
              <w:t>Objetivos</w:t>
            </w:r>
          </w:p>
        </w:tc>
        <w:tc>
          <w:tcPr>
            <w:tcW w:w="1717" w:type="pct"/>
            <w:gridSpan w:val="2"/>
            <w:tcBorders>
              <w:top w:val="single" w:sz="4" w:space="0" w:color="auto"/>
            </w:tcBorders>
            <w:shd w:val="clear" w:color="auto" w:fill="FFFFFF"/>
            <w:tcMar>
              <w:top w:w="110" w:type="dxa"/>
            </w:tcMar>
            <w:vAlign w:val="center"/>
          </w:tcPr>
          <w:p w:rsidR="00525604" w:rsidRPr="00A34388" w:rsidRDefault="00525604" w:rsidP="00853209">
            <w:pPr>
              <w:keepNext/>
              <w:keepLines/>
              <w:spacing w:after="40"/>
              <w:rPr>
                <w:rFonts w:cs="Arial"/>
                <w:color w:val="808080"/>
                <w:sz w:val="16"/>
                <w:szCs w:val="16"/>
                <w:lang w:val="es-ES_tradnl"/>
              </w:rPr>
            </w:pPr>
            <w:r w:rsidRPr="00332758">
              <w:rPr>
                <w:b/>
                <w:sz w:val="16"/>
                <w:lang w:val="es-ES_tradnl"/>
              </w:rPr>
              <w:t>Datos sobre el rendimiento</w:t>
            </w:r>
          </w:p>
        </w:tc>
        <w:tc>
          <w:tcPr>
            <w:tcW w:w="572" w:type="pct"/>
            <w:tcBorders>
              <w:top w:val="single" w:sz="4" w:space="0" w:color="auto"/>
            </w:tcBorders>
            <w:shd w:val="clear" w:color="auto" w:fill="auto"/>
            <w:tcMar>
              <w:top w:w="110" w:type="dxa"/>
            </w:tcMar>
            <w:vAlign w:val="center"/>
          </w:tcPr>
          <w:p w:rsidR="00525604" w:rsidRPr="00332758" w:rsidRDefault="00525604" w:rsidP="00853209">
            <w:pPr>
              <w:keepNext/>
              <w:keepLines/>
              <w:spacing w:after="40"/>
              <w:jc w:val="center"/>
              <w:rPr>
                <w:rFonts w:cs="Arial"/>
                <w:b/>
                <w:bCs/>
                <w:sz w:val="16"/>
                <w:szCs w:val="16"/>
                <w:lang w:val="es-ES_tradnl"/>
              </w:rPr>
            </w:pPr>
            <w:r w:rsidRPr="00332758">
              <w:rPr>
                <w:b/>
                <w:sz w:val="16"/>
                <w:lang w:val="es-ES_tradnl"/>
              </w:rPr>
              <w:t>Clave de colores</w:t>
            </w:r>
          </w:p>
        </w:tc>
      </w:tr>
      <w:tr w:rsidR="00525604" w:rsidRPr="00A34388" w:rsidTr="000557C0">
        <w:tc>
          <w:tcPr>
            <w:tcW w:w="1048" w:type="pct"/>
            <w:gridSpan w:val="2"/>
            <w:tcBorders>
              <w:bottom w:val="single" w:sz="4" w:space="0" w:color="auto"/>
            </w:tcBorders>
            <w:shd w:val="clear" w:color="auto" w:fill="FFFFFF"/>
          </w:tcPr>
          <w:p w:rsidR="00525604" w:rsidRPr="00A34388" w:rsidRDefault="00525604" w:rsidP="00FF125D">
            <w:pPr>
              <w:rPr>
                <w:rFonts w:cs="Arial"/>
                <w:sz w:val="16"/>
                <w:szCs w:val="16"/>
                <w:lang w:val="es-ES_tradnl"/>
              </w:rPr>
            </w:pPr>
            <w:r w:rsidRPr="00A34388">
              <w:rPr>
                <w:sz w:val="16"/>
                <w:lang w:val="es-ES_tradnl"/>
              </w:rPr>
              <w:t xml:space="preserve">Progresos en la aplicación de las recomendaciones </w:t>
            </w:r>
            <w:r w:rsidR="00FC0D4D" w:rsidRPr="00A34388">
              <w:rPr>
                <w:sz w:val="16"/>
                <w:lang w:val="es-ES_tradnl"/>
              </w:rPr>
              <w:t xml:space="preserve">secundadas </w:t>
            </w:r>
            <w:r w:rsidRPr="00A34388">
              <w:rPr>
                <w:sz w:val="16"/>
                <w:lang w:val="es-ES_tradnl"/>
              </w:rPr>
              <w:t xml:space="preserve">por el Grupo de Trabajo del PCT en 2010 acerca de la forma de mejorar el funcionamiento del PCT, concretamente en relación con los seis grupos de cuestiones que figuran a continuación: </w:t>
            </w:r>
          </w:p>
          <w:p w:rsidR="00525604" w:rsidRPr="00A34388" w:rsidRDefault="00525604" w:rsidP="00FF125D">
            <w:pPr>
              <w:rPr>
                <w:rFonts w:cs="Arial"/>
                <w:sz w:val="16"/>
                <w:szCs w:val="16"/>
                <w:lang w:val="es-ES_tradnl"/>
              </w:rPr>
            </w:pPr>
            <w:r w:rsidRPr="00A34388">
              <w:rPr>
                <w:sz w:val="16"/>
                <w:lang w:val="es-ES_tradnl"/>
              </w:rPr>
              <w:t>i) retrasos:</w:t>
            </w:r>
            <w:r w:rsidR="007E4D96" w:rsidRPr="00A34388">
              <w:rPr>
                <w:sz w:val="16"/>
                <w:lang w:val="es-ES_tradnl"/>
              </w:rPr>
              <w:t xml:space="preserve"> </w:t>
            </w:r>
            <w:r w:rsidRPr="00A34388">
              <w:rPr>
                <w:sz w:val="16"/>
                <w:lang w:val="es-ES_tradnl"/>
              </w:rPr>
              <w:t xml:space="preserve"> mejorar la calidad de las patentes concedidas;  ii) puntualidad en la fase internacional;  iii) calidad en las búsquedas internacionales y en los exámenes preliminares;  </w:t>
            </w:r>
          </w:p>
          <w:p w:rsidR="00525604" w:rsidRPr="00A34388" w:rsidRDefault="00525604" w:rsidP="00FF125D">
            <w:pPr>
              <w:rPr>
                <w:rFonts w:cs="Arial"/>
                <w:sz w:val="16"/>
                <w:szCs w:val="16"/>
                <w:lang w:val="es-ES_tradnl"/>
              </w:rPr>
            </w:pPr>
            <w:r w:rsidRPr="00A34388">
              <w:rPr>
                <w:sz w:val="16"/>
                <w:lang w:val="es-ES_tradnl"/>
              </w:rPr>
              <w:t xml:space="preserve">iv) incentivos para que los solicitantes hagan un uso eficaz del sistema;  lagunas en materia de competencias y de mano de obra;  </w:t>
            </w:r>
          </w:p>
          <w:p w:rsidR="00525604" w:rsidRPr="00A34388" w:rsidRDefault="00525604" w:rsidP="00FF125D">
            <w:pPr>
              <w:rPr>
                <w:rFonts w:cs="Arial"/>
                <w:sz w:val="16"/>
                <w:szCs w:val="16"/>
                <w:lang w:val="es-ES_tradnl"/>
              </w:rPr>
            </w:pPr>
            <w:r w:rsidRPr="00A34388">
              <w:rPr>
                <w:sz w:val="16"/>
                <w:lang w:val="es-ES_tradnl"/>
              </w:rPr>
              <w:t xml:space="preserve">v) costos y otras cuestiones de accesibilidad; </w:t>
            </w:r>
            <w:r w:rsidR="00267DA6" w:rsidRPr="00A34388">
              <w:rPr>
                <w:sz w:val="16"/>
                <w:lang w:val="es-ES_tradnl"/>
              </w:rPr>
              <w:t xml:space="preserve"> </w:t>
            </w:r>
            <w:r w:rsidRPr="00A34388">
              <w:rPr>
                <w:sz w:val="16"/>
                <w:lang w:val="es-ES_tradnl"/>
              </w:rPr>
              <w:t xml:space="preserve">coherencia y disponibilidad de salvaguardias;  </w:t>
            </w:r>
          </w:p>
          <w:p w:rsidR="00525604" w:rsidRPr="00A34388" w:rsidRDefault="00525604" w:rsidP="00FF125D">
            <w:pPr>
              <w:rPr>
                <w:rFonts w:cs="Arial"/>
                <w:sz w:val="16"/>
                <w:szCs w:val="16"/>
                <w:lang w:val="es-ES_tradnl"/>
              </w:rPr>
            </w:pPr>
            <w:r w:rsidRPr="00A34388">
              <w:rPr>
                <w:sz w:val="16"/>
                <w:lang w:val="es-ES_tradnl"/>
              </w:rPr>
              <w:t xml:space="preserve">vi) asistencia técnica; </w:t>
            </w:r>
            <w:r w:rsidR="00267DA6" w:rsidRPr="00A34388">
              <w:rPr>
                <w:sz w:val="16"/>
                <w:lang w:val="es-ES_tradnl"/>
              </w:rPr>
              <w:t xml:space="preserve"> </w:t>
            </w:r>
            <w:r w:rsidRPr="00A34388">
              <w:rPr>
                <w:sz w:val="16"/>
                <w:lang w:val="es-ES_tradnl"/>
              </w:rPr>
              <w:t>información y transferencia de tecnología en el marco del PCT</w:t>
            </w:r>
          </w:p>
          <w:p w:rsidR="00525604" w:rsidRPr="00A34388" w:rsidRDefault="00525604" w:rsidP="00FF125D">
            <w:pPr>
              <w:rPr>
                <w:rFonts w:cs="Arial"/>
                <w:sz w:val="16"/>
                <w:szCs w:val="16"/>
                <w:lang w:val="es-ES_tradnl"/>
              </w:rPr>
            </w:pPr>
          </w:p>
        </w:tc>
        <w:tc>
          <w:tcPr>
            <w:tcW w:w="772" w:type="pct"/>
            <w:tcBorders>
              <w:bottom w:val="single" w:sz="4" w:space="0" w:color="auto"/>
            </w:tcBorders>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Decisiones adoptadas en 2011 por los órganos correspondientes del PCT.</w:t>
            </w:r>
          </w:p>
        </w:tc>
        <w:tc>
          <w:tcPr>
            <w:tcW w:w="891" w:type="pct"/>
            <w:tcBorders>
              <w:bottom w:val="single" w:sz="4" w:space="0" w:color="auto"/>
            </w:tcBorders>
            <w:shd w:val="clear" w:color="auto" w:fill="auto"/>
            <w:tcMar>
              <w:top w:w="110" w:type="dxa"/>
            </w:tcMar>
          </w:tcPr>
          <w:p w:rsidR="00525604" w:rsidRPr="00A34388" w:rsidRDefault="00525604" w:rsidP="00853209">
            <w:pPr>
              <w:keepNext/>
              <w:keepLines/>
              <w:autoSpaceDE w:val="0"/>
              <w:autoSpaceDN w:val="0"/>
              <w:adjustRightInd w:val="0"/>
              <w:rPr>
                <w:rFonts w:cs="Arial"/>
                <w:sz w:val="16"/>
                <w:szCs w:val="16"/>
                <w:lang w:val="es-ES_tradnl"/>
              </w:rPr>
            </w:pPr>
            <w:r w:rsidRPr="00332758">
              <w:rPr>
                <w:sz w:val="16"/>
                <w:lang w:val="es-ES_tradnl"/>
              </w:rPr>
              <w:t>Decisiones adoptadas en 2013 por los órganos correspondientes del PCT.</w:t>
            </w:r>
          </w:p>
        </w:tc>
        <w:tc>
          <w:tcPr>
            <w:tcW w:w="1717" w:type="pct"/>
            <w:gridSpan w:val="2"/>
            <w:tcBorders>
              <w:bottom w:val="single" w:sz="4" w:space="0" w:color="auto"/>
            </w:tcBorders>
            <w:shd w:val="clear" w:color="auto" w:fill="FFFFFF"/>
            <w:tcMar>
              <w:top w:w="110" w:type="dxa"/>
            </w:tcMar>
          </w:tcPr>
          <w:p w:rsidR="00525604" w:rsidRPr="00332758" w:rsidRDefault="00525604" w:rsidP="00853209">
            <w:pPr>
              <w:keepNext/>
              <w:keepLines/>
              <w:rPr>
                <w:rFonts w:cs="Arial"/>
                <w:sz w:val="16"/>
                <w:szCs w:val="16"/>
                <w:lang w:val="es-ES_tradnl"/>
              </w:rPr>
            </w:pPr>
            <w:r w:rsidRPr="00332758">
              <w:rPr>
                <w:sz w:val="16"/>
                <w:lang w:val="es-ES_tradnl"/>
              </w:rPr>
              <w:t>En el bienio 2012/13 se ha conseguido avanzar de forma significativa en los aspectos siguientes, conforme a la hoja de ruta del PCT:  a) la calidad de los documentos que se producen ocupa ahora un lugar destacado entre las prioridades del PCT, incluidos los informes de búsqueda internacional y las opiniones escritas, así como la administración en la Oficina Internacional y en las distintas oficinas;  b) las partes interesadas a nivel nacional reconocen la utilidad de que los documentos que se producen en el marco del PCT sean de calidad y la importancia que tiene el PCT para el funcionamiento del sistema internacional de patentes;  c) las partes interesadas entienden mejor la función que desempeña el PCT en la divulgación eficaz de la información técnica;  y d) hay más conciencia de la necesidad que tienen los Estados contratantes de que tanto las solicitudes internacionales como los documentos que se producen en el marco del PCT sean de calidad, de la capacidad de los Estados contratantes para realizar sus propias búsquedas y exámenes de manera eficaz y de la necesidad de prestar asistencia técnica de forma continuada en este sentido a los países en desarrollo y los menos adelantados.</w:t>
            </w:r>
          </w:p>
          <w:p w:rsidR="00525604" w:rsidRPr="00A34388" w:rsidRDefault="00525604" w:rsidP="00853209">
            <w:pPr>
              <w:keepNext/>
              <w:keepLines/>
              <w:rPr>
                <w:rFonts w:cs="Arial"/>
                <w:sz w:val="16"/>
                <w:szCs w:val="16"/>
                <w:lang w:val="es-ES_tradnl"/>
              </w:rPr>
            </w:pPr>
          </w:p>
          <w:p w:rsidR="00525604" w:rsidRPr="00A34388" w:rsidRDefault="00525604" w:rsidP="00853209">
            <w:pPr>
              <w:keepNext/>
              <w:keepLines/>
              <w:rPr>
                <w:rFonts w:cs="Arial"/>
                <w:sz w:val="16"/>
                <w:szCs w:val="16"/>
                <w:lang w:val="es-ES_tradnl"/>
              </w:rPr>
            </w:pPr>
            <w:r w:rsidRPr="00A34388">
              <w:rPr>
                <w:sz w:val="16"/>
                <w:lang w:val="es-ES_tradnl"/>
              </w:rPr>
              <w:t xml:space="preserve">El sistema </w:t>
            </w:r>
            <w:proofErr w:type="spellStart"/>
            <w:r w:rsidRPr="00A34388">
              <w:rPr>
                <w:sz w:val="16"/>
                <w:lang w:val="es-ES_tradnl"/>
              </w:rPr>
              <w:t>ePCT</w:t>
            </w:r>
            <w:proofErr w:type="spellEnd"/>
            <w:r w:rsidRPr="00A34388">
              <w:rPr>
                <w:sz w:val="16"/>
                <w:lang w:val="es-ES_tradnl"/>
              </w:rPr>
              <w:t xml:space="preserve"> </w:t>
            </w:r>
            <w:r w:rsidR="00FC0D4D" w:rsidRPr="00A34388">
              <w:rPr>
                <w:sz w:val="16"/>
                <w:lang w:val="es-ES_tradnl"/>
              </w:rPr>
              <w:t xml:space="preserve">pasó a disposición </w:t>
            </w:r>
            <w:r w:rsidRPr="00A34388">
              <w:rPr>
                <w:sz w:val="16"/>
                <w:lang w:val="es-ES_tradnl"/>
              </w:rPr>
              <w:t xml:space="preserve">de las Oficinas y solicitantes, </w:t>
            </w:r>
            <w:r w:rsidR="00FC0D4D" w:rsidRPr="00A34388">
              <w:rPr>
                <w:sz w:val="16"/>
                <w:lang w:val="es-ES_tradnl"/>
              </w:rPr>
              <w:t xml:space="preserve">incorporando </w:t>
            </w:r>
            <w:r w:rsidRPr="00A34388">
              <w:rPr>
                <w:sz w:val="16"/>
                <w:lang w:val="es-ES_tradnl"/>
              </w:rPr>
              <w:t xml:space="preserve">una gran variedad de nuevas </w:t>
            </w:r>
            <w:r w:rsidR="00FC0D4D" w:rsidRPr="00A34388">
              <w:rPr>
                <w:sz w:val="16"/>
                <w:lang w:val="es-ES_tradnl"/>
              </w:rPr>
              <w:t xml:space="preserve">funciones </w:t>
            </w:r>
            <w:r w:rsidRPr="00A34388">
              <w:rPr>
                <w:sz w:val="16"/>
                <w:lang w:val="es-ES_tradnl"/>
              </w:rPr>
              <w:t>y servicios que contribuirán a dotar de una mayor puntualidad y coherencia a la fase internacional de la tramitación, con un menor riesgo de error.</w:t>
            </w:r>
          </w:p>
          <w:p w:rsidR="00525604" w:rsidRPr="00A34388" w:rsidRDefault="00525604" w:rsidP="00853209">
            <w:pPr>
              <w:keepNext/>
              <w:keepLines/>
              <w:jc w:val="both"/>
              <w:rPr>
                <w:rFonts w:cs="Arial"/>
                <w:sz w:val="16"/>
                <w:szCs w:val="16"/>
                <w:lang w:val="es-ES_tradnl"/>
              </w:rPr>
            </w:pPr>
          </w:p>
        </w:tc>
        <w:tc>
          <w:tcPr>
            <w:tcW w:w="572" w:type="pct"/>
            <w:tcBorders>
              <w:bottom w:val="single" w:sz="4" w:space="0" w:color="auto"/>
            </w:tcBorders>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E94BEA" w:rsidTr="00853209">
        <w:tc>
          <w:tcPr>
            <w:tcW w:w="5000" w:type="pct"/>
            <w:gridSpan w:val="7"/>
            <w:tcBorders>
              <w:top w:val="single" w:sz="4" w:space="0" w:color="auto"/>
              <w:bottom w:val="single" w:sz="4" w:space="0" w:color="auto"/>
            </w:tcBorders>
            <w:shd w:val="clear" w:color="auto" w:fill="CCFFFF"/>
            <w:vAlign w:val="center"/>
          </w:tcPr>
          <w:p w:rsidR="00525604" w:rsidRPr="00332758" w:rsidRDefault="00525604" w:rsidP="00853209">
            <w:pPr>
              <w:tabs>
                <w:tab w:val="left" w:pos="1452"/>
                <w:tab w:val="left" w:pos="1877"/>
              </w:tabs>
              <w:spacing w:before="120" w:after="120"/>
              <w:ind w:left="1452" w:hanging="1452"/>
              <w:rPr>
                <w:rFonts w:cs="Arial"/>
                <w:b/>
                <w:bCs/>
                <w:sz w:val="16"/>
                <w:szCs w:val="16"/>
                <w:lang w:val="es-ES_tradnl"/>
              </w:rPr>
            </w:pPr>
            <w:r w:rsidRPr="00332758">
              <w:rPr>
                <w:b/>
                <w:sz w:val="16"/>
                <w:lang w:val="es-ES_tradnl"/>
              </w:rPr>
              <w:lastRenderedPageBreak/>
              <w:t>Resultados previstos:</w:t>
            </w:r>
            <w:r w:rsidRPr="00A34388">
              <w:rPr>
                <w:lang w:val="es-ES_tradnl"/>
              </w:rPr>
              <w:tab/>
            </w:r>
            <w:r w:rsidRPr="00332758">
              <w:rPr>
                <w:sz w:val="16"/>
                <w:lang w:val="es-ES_tradnl"/>
              </w:rPr>
              <w:t>Mejor funcionamiento de la Oficina Internacional (véase el Anexo VI)</w:t>
            </w:r>
          </w:p>
        </w:tc>
      </w:tr>
      <w:tr w:rsidR="00525604" w:rsidRPr="00A34388" w:rsidTr="000557C0">
        <w:tc>
          <w:tcPr>
            <w:tcW w:w="802" w:type="pct"/>
            <w:tcBorders>
              <w:top w:val="single" w:sz="4" w:space="0" w:color="auto"/>
            </w:tcBorders>
            <w:shd w:val="clear" w:color="auto" w:fill="auto"/>
            <w:vAlign w:val="center"/>
          </w:tcPr>
          <w:p w:rsidR="00525604" w:rsidRPr="00A34388" w:rsidRDefault="00525604" w:rsidP="00853209">
            <w:pPr>
              <w:spacing w:after="40"/>
              <w:rPr>
                <w:rFonts w:cs="Arial"/>
                <w:color w:val="808080"/>
                <w:sz w:val="16"/>
                <w:szCs w:val="16"/>
                <w:lang w:val="es-ES_tradnl"/>
              </w:rPr>
            </w:pPr>
            <w:r w:rsidRPr="00332758">
              <w:rPr>
                <w:b/>
                <w:sz w:val="16"/>
                <w:lang w:val="es-ES_tradnl"/>
              </w:rPr>
              <w:t>Indicadores de rendimiento</w:t>
            </w:r>
          </w:p>
        </w:tc>
        <w:tc>
          <w:tcPr>
            <w:tcW w:w="1018" w:type="pct"/>
            <w:gridSpan w:val="2"/>
            <w:tcBorders>
              <w:top w:val="single" w:sz="4" w:space="0" w:color="auto"/>
            </w:tcBorders>
            <w:shd w:val="clear" w:color="auto" w:fill="auto"/>
            <w:vAlign w:val="center"/>
          </w:tcPr>
          <w:p w:rsidR="00525604" w:rsidRPr="00A34388" w:rsidRDefault="00525604" w:rsidP="00853209">
            <w:pPr>
              <w:spacing w:after="40"/>
              <w:rPr>
                <w:rFonts w:cs="Arial"/>
                <w:b/>
                <w:bCs/>
                <w:color w:val="808080"/>
                <w:sz w:val="16"/>
                <w:szCs w:val="16"/>
                <w:lang w:val="es-ES_tradnl"/>
              </w:rPr>
            </w:pPr>
            <w:r w:rsidRPr="00332758">
              <w:rPr>
                <w:b/>
                <w:sz w:val="16"/>
                <w:lang w:val="es-ES_tradnl"/>
              </w:rPr>
              <w:t>Referencia</w:t>
            </w:r>
          </w:p>
        </w:tc>
        <w:tc>
          <w:tcPr>
            <w:tcW w:w="891" w:type="pct"/>
            <w:tcBorders>
              <w:top w:val="single" w:sz="4" w:space="0" w:color="auto"/>
            </w:tcBorders>
            <w:shd w:val="clear" w:color="auto" w:fill="auto"/>
            <w:tcMar>
              <w:top w:w="110" w:type="dxa"/>
            </w:tcMar>
            <w:vAlign w:val="center"/>
          </w:tcPr>
          <w:p w:rsidR="00525604" w:rsidRPr="00A34388" w:rsidRDefault="00525604" w:rsidP="00853209">
            <w:pPr>
              <w:spacing w:after="40"/>
              <w:rPr>
                <w:rFonts w:cs="Arial"/>
                <w:b/>
                <w:color w:val="808080"/>
                <w:sz w:val="16"/>
                <w:szCs w:val="16"/>
                <w:lang w:val="es-ES_tradnl"/>
              </w:rPr>
            </w:pPr>
            <w:r w:rsidRPr="00332758">
              <w:rPr>
                <w:b/>
                <w:sz w:val="16"/>
                <w:lang w:val="es-ES_tradnl"/>
              </w:rPr>
              <w:t>Objetivos</w:t>
            </w:r>
          </w:p>
        </w:tc>
        <w:tc>
          <w:tcPr>
            <w:tcW w:w="1717" w:type="pct"/>
            <w:gridSpan w:val="2"/>
            <w:tcBorders>
              <w:top w:val="single" w:sz="4" w:space="0" w:color="auto"/>
            </w:tcBorders>
            <w:shd w:val="clear" w:color="auto" w:fill="FFFFFF"/>
            <w:tcMar>
              <w:top w:w="110" w:type="dxa"/>
            </w:tcMar>
            <w:vAlign w:val="center"/>
          </w:tcPr>
          <w:p w:rsidR="00525604" w:rsidRPr="00A34388" w:rsidRDefault="00525604" w:rsidP="00853209">
            <w:pPr>
              <w:spacing w:after="40"/>
              <w:rPr>
                <w:rFonts w:cs="Arial"/>
                <w:color w:val="808080"/>
                <w:sz w:val="16"/>
                <w:szCs w:val="16"/>
                <w:lang w:val="es-ES_tradnl"/>
              </w:rPr>
            </w:pPr>
            <w:r w:rsidRPr="00332758">
              <w:rPr>
                <w:b/>
                <w:sz w:val="16"/>
                <w:lang w:val="es-ES_tradnl"/>
              </w:rPr>
              <w:t>Datos sobre el rendimiento</w:t>
            </w:r>
          </w:p>
        </w:tc>
        <w:tc>
          <w:tcPr>
            <w:tcW w:w="572" w:type="pct"/>
            <w:tcBorders>
              <w:top w:val="single" w:sz="4" w:space="0" w:color="auto"/>
            </w:tcBorders>
            <w:shd w:val="clear" w:color="auto" w:fill="auto"/>
            <w:tcMar>
              <w:top w:w="110" w:type="dxa"/>
            </w:tcMar>
            <w:vAlign w:val="center"/>
          </w:tcPr>
          <w:p w:rsidR="00525604" w:rsidRPr="00332758" w:rsidRDefault="00525604" w:rsidP="00853209">
            <w:pPr>
              <w:spacing w:after="40"/>
              <w:jc w:val="center"/>
              <w:rPr>
                <w:rFonts w:cs="Arial"/>
                <w:b/>
                <w:bCs/>
                <w:sz w:val="16"/>
                <w:szCs w:val="16"/>
                <w:lang w:val="es-ES_tradnl"/>
              </w:rPr>
            </w:pPr>
            <w:r w:rsidRPr="00332758">
              <w:rPr>
                <w:b/>
                <w:sz w:val="16"/>
                <w:lang w:val="es-ES_tradnl"/>
              </w:rPr>
              <w:t>Clave de colores</w:t>
            </w:r>
          </w:p>
        </w:tc>
      </w:tr>
      <w:tr w:rsidR="00525604" w:rsidRPr="00A34388" w:rsidTr="000557C0">
        <w:tc>
          <w:tcPr>
            <w:tcW w:w="802" w:type="pct"/>
            <w:shd w:val="clear" w:color="auto" w:fill="FFFFFF"/>
          </w:tcPr>
          <w:p w:rsidR="00525604" w:rsidRPr="00A34388" w:rsidRDefault="00525604" w:rsidP="00853209">
            <w:pPr>
              <w:rPr>
                <w:rFonts w:cs="Arial"/>
                <w:sz w:val="16"/>
                <w:szCs w:val="16"/>
                <w:lang w:val="es-ES_tradnl"/>
              </w:rPr>
            </w:pPr>
            <w:r w:rsidRPr="00332758">
              <w:rPr>
                <w:sz w:val="16"/>
                <w:lang w:val="es-ES_tradnl"/>
              </w:rPr>
              <w:t>Costo unitario de tramitación de las solicitudes.</w:t>
            </w:r>
          </w:p>
        </w:tc>
        <w:tc>
          <w:tcPr>
            <w:tcW w:w="1018" w:type="pct"/>
            <w:gridSpan w:val="2"/>
            <w:shd w:val="clear" w:color="auto" w:fill="auto"/>
          </w:tcPr>
          <w:p w:rsidR="00525604" w:rsidRPr="00910203" w:rsidRDefault="00525604" w:rsidP="00853209">
            <w:pPr>
              <w:pStyle w:val="Default"/>
              <w:rPr>
                <w:i/>
                <w:color w:val="002060"/>
                <w:sz w:val="16"/>
                <w:szCs w:val="16"/>
                <w:lang w:val="es-ES_tradnl"/>
              </w:rPr>
            </w:pPr>
            <w:r w:rsidRPr="00910203">
              <w:rPr>
                <w:i/>
                <w:color w:val="002060"/>
                <w:sz w:val="16"/>
                <w:lang w:val="es-ES_tradnl"/>
              </w:rPr>
              <w:t xml:space="preserve">Referencia actualizada a fines de 2011: </w:t>
            </w:r>
          </w:p>
          <w:p w:rsidR="00525604" w:rsidRPr="00910203" w:rsidRDefault="00525604" w:rsidP="00853209">
            <w:pPr>
              <w:rPr>
                <w:rFonts w:cs="Arial"/>
                <w:color w:val="002060"/>
                <w:sz w:val="16"/>
                <w:szCs w:val="16"/>
                <w:lang w:val="es-ES_tradnl"/>
              </w:rPr>
            </w:pPr>
            <w:r w:rsidRPr="00910203">
              <w:rPr>
                <w:color w:val="002060"/>
                <w:sz w:val="16"/>
                <w:lang w:val="es-ES_tradnl"/>
              </w:rPr>
              <w:t>747 francos suizos</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rFonts w:cs="Arial"/>
                <w:sz w:val="16"/>
                <w:szCs w:val="16"/>
                <w:lang w:val="es-ES_tradnl"/>
              </w:rPr>
              <w:br/>
            </w:r>
            <w:r w:rsidRPr="00A34388">
              <w:rPr>
                <w:sz w:val="16"/>
                <w:lang w:val="es-ES_tradnl"/>
              </w:rPr>
              <w:t>Costo unitario en 2011.</w:t>
            </w:r>
          </w:p>
        </w:tc>
        <w:tc>
          <w:tcPr>
            <w:tcW w:w="89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Mejora durante el bienio</w:t>
            </w:r>
          </w:p>
        </w:tc>
        <w:tc>
          <w:tcPr>
            <w:tcW w:w="1717" w:type="pct"/>
            <w:gridSpan w:val="2"/>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712 francos suizos</w:t>
            </w:r>
          </w:p>
          <w:p w:rsidR="00525604" w:rsidRPr="00A34388" w:rsidRDefault="00525604" w:rsidP="00853209">
            <w:pPr>
              <w:rPr>
                <w:rFonts w:cs="Arial"/>
                <w:i/>
                <w:sz w:val="16"/>
                <w:szCs w:val="16"/>
                <w:lang w:val="es-ES_tradnl"/>
              </w:rPr>
            </w:pPr>
            <w:r w:rsidRPr="00332758">
              <w:rPr>
                <w:sz w:val="16"/>
                <w:lang w:val="es-ES_tradnl"/>
              </w:rPr>
              <w:t>722 francos suizos</w:t>
            </w:r>
            <w:r w:rsidRPr="00332758">
              <w:rPr>
                <w:rStyle w:val="FootnoteReference"/>
                <w:sz w:val="16"/>
                <w:lang w:val="es-ES_tradnl"/>
              </w:rPr>
              <w:footnoteReference w:id="6"/>
            </w:r>
          </w:p>
        </w:tc>
        <w:tc>
          <w:tcPr>
            <w:tcW w:w="572" w:type="pct"/>
            <w:shd w:val="clear" w:color="auto" w:fill="auto"/>
            <w:tcMar>
              <w:top w:w="110" w:type="dxa"/>
            </w:tcMar>
          </w:tcPr>
          <w:p w:rsidR="00525604" w:rsidRPr="00A34388" w:rsidRDefault="00525604" w:rsidP="00853209">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Productividad en el examen de las formalidades.</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7%</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rFonts w:cs="Arial"/>
                <w:sz w:val="16"/>
                <w:szCs w:val="16"/>
                <w:lang w:val="es-ES_tradnl"/>
              </w:rPr>
              <w:br/>
            </w:r>
            <w:r w:rsidRPr="00A34388">
              <w:rPr>
                <w:sz w:val="16"/>
                <w:lang w:val="es-ES_tradnl"/>
              </w:rPr>
              <w:t>Productividad en 2011.</w:t>
            </w:r>
          </w:p>
        </w:tc>
        <w:tc>
          <w:tcPr>
            <w:tcW w:w="89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Mejora durante el bienio</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10% (2012)</w:t>
            </w:r>
          </w:p>
          <w:p w:rsidR="00525604" w:rsidRPr="00A34388" w:rsidRDefault="00525604" w:rsidP="00853209">
            <w:pPr>
              <w:rPr>
                <w:rFonts w:cs="Arial"/>
                <w:sz w:val="16"/>
                <w:szCs w:val="16"/>
                <w:lang w:val="es-ES_tradnl"/>
              </w:rPr>
            </w:pPr>
            <w:r w:rsidRPr="00A34388">
              <w:rPr>
                <w:sz w:val="16"/>
                <w:lang w:val="es-ES_tradnl"/>
              </w:rPr>
              <w:t>8% (2013)</w:t>
            </w:r>
          </w:p>
        </w:tc>
        <w:tc>
          <w:tcPr>
            <w:tcW w:w="572" w:type="pct"/>
            <w:shd w:val="clear" w:color="auto" w:fill="auto"/>
          </w:tcPr>
          <w:p w:rsidR="00525604" w:rsidRPr="00A34388" w:rsidRDefault="00525604" w:rsidP="00853209">
            <w:pPr>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Calidad del examen de las formalidades.</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90,56%</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rFonts w:cs="Arial"/>
                <w:sz w:val="16"/>
                <w:szCs w:val="16"/>
                <w:lang w:val="es-ES_tradnl"/>
              </w:rPr>
              <w:br/>
            </w:r>
            <w:r w:rsidRPr="00A34388">
              <w:rPr>
                <w:sz w:val="16"/>
                <w:lang w:val="es-ES_tradnl"/>
              </w:rPr>
              <w:t>Media de los últimos tres años.</w:t>
            </w:r>
          </w:p>
        </w:tc>
        <w:tc>
          <w:tcPr>
            <w:tcW w:w="891" w:type="pct"/>
            <w:shd w:val="clear" w:color="auto" w:fill="auto"/>
            <w:tcMar>
              <w:top w:w="110" w:type="dxa"/>
            </w:tcMar>
          </w:tcPr>
          <w:p w:rsidR="00525604" w:rsidRPr="00A34388" w:rsidRDefault="00525604" w:rsidP="000D2171">
            <w:pPr>
              <w:autoSpaceDE w:val="0"/>
              <w:autoSpaceDN w:val="0"/>
              <w:adjustRightInd w:val="0"/>
              <w:rPr>
                <w:rFonts w:cs="Arial"/>
                <w:sz w:val="16"/>
                <w:szCs w:val="16"/>
                <w:lang w:val="es-ES_tradnl"/>
              </w:rPr>
            </w:pPr>
            <w:r w:rsidRPr="00A34388">
              <w:rPr>
                <w:sz w:val="16"/>
                <w:lang w:val="es-ES_tradnl"/>
              </w:rPr>
              <w:t>90% (</w:t>
            </w:r>
            <w:r w:rsidR="000D2171" w:rsidRPr="00A34388">
              <w:rPr>
                <w:sz w:val="16"/>
                <w:lang w:val="es-ES_tradnl"/>
              </w:rPr>
              <w:t xml:space="preserve">promedio </w:t>
            </w:r>
            <w:r w:rsidRPr="00A34388">
              <w:rPr>
                <w:sz w:val="16"/>
                <w:lang w:val="es-ES_tradnl"/>
              </w:rPr>
              <w:t>de los últimos</w:t>
            </w:r>
            <w:r w:rsidR="000D2171" w:rsidRPr="00A34388">
              <w:rPr>
                <w:sz w:val="16"/>
                <w:lang w:val="es-ES_tradnl"/>
              </w:rPr>
              <w:t xml:space="preserve"> </w:t>
            </w:r>
            <w:r w:rsidRPr="00A34388">
              <w:rPr>
                <w:sz w:val="16"/>
                <w:lang w:val="es-ES_tradnl"/>
              </w:rPr>
              <w:t>tres años)</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90,06% (</w:t>
            </w:r>
            <w:r w:rsidR="000D2171" w:rsidRPr="00A34388">
              <w:rPr>
                <w:sz w:val="16"/>
                <w:lang w:val="es-ES_tradnl"/>
              </w:rPr>
              <w:t xml:space="preserve">promedio </w:t>
            </w:r>
            <w:r w:rsidRPr="00A34388">
              <w:rPr>
                <w:sz w:val="16"/>
                <w:lang w:val="es-ES_tradnl"/>
              </w:rPr>
              <w:t>de 2010/12)</w:t>
            </w:r>
          </w:p>
          <w:p w:rsidR="00525604" w:rsidRPr="00A34388" w:rsidRDefault="00525604" w:rsidP="000D2171">
            <w:pPr>
              <w:rPr>
                <w:rFonts w:cs="Arial"/>
                <w:sz w:val="16"/>
                <w:szCs w:val="16"/>
                <w:lang w:val="es-ES_tradnl"/>
              </w:rPr>
            </w:pPr>
            <w:r w:rsidRPr="00A34388">
              <w:rPr>
                <w:sz w:val="16"/>
                <w:lang w:val="es-ES_tradnl"/>
              </w:rPr>
              <w:t>88,74% (</w:t>
            </w:r>
            <w:r w:rsidR="000D2171" w:rsidRPr="00A34388">
              <w:rPr>
                <w:sz w:val="16"/>
                <w:lang w:val="es-ES_tradnl"/>
              </w:rPr>
              <w:t xml:space="preserve">promedio </w:t>
            </w:r>
            <w:r w:rsidRPr="00A34388">
              <w:rPr>
                <w:sz w:val="16"/>
                <w:lang w:val="es-ES_tradnl"/>
              </w:rPr>
              <w:t>de 2011/13)</w:t>
            </w:r>
          </w:p>
        </w:tc>
        <w:tc>
          <w:tcPr>
            <w:tcW w:w="572" w:type="pct"/>
            <w:shd w:val="clear" w:color="auto" w:fill="auto"/>
            <w:tcMar>
              <w:top w:w="110" w:type="dxa"/>
            </w:tcMar>
          </w:tcPr>
          <w:p w:rsidR="00525604" w:rsidRPr="00A34388" w:rsidRDefault="00525604" w:rsidP="00853209">
            <w:pPr>
              <w:spacing w:after="120"/>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Tiempo necesario para el examen de las formalidades (porcentaje de exámenes efectuados en 3 semanas a partir de la recepción).</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77,02%</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rFonts w:cs="Arial"/>
                <w:sz w:val="16"/>
                <w:szCs w:val="16"/>
                <w:lang w:val="es-ES_tradnl"/>
              </w:rPr>
              <w:br/>
            </w:r>
            <w:r w:rsidRPr="00A34388">
              <w:rPr>
                <w:sz w:val="16"/>
                <w:lang w:val="es-ES_tradnl"/>
              </w:rPr>
              <w:t>Media de los últimos tres años</w:t>
            </w:r>
          </w:p>
          <w:p w:rsidR="00525604" w:rsidRPr="00A34388" w:rsidRDefault="00525604" w:rsidP="00853209">
            <w:pPr>
              <w:rPr>
                <w:rFonts w:cs="Arial"/>
                <w:sz w:val="16"/>
                <w:szCs w:val="16"/>
                <w:lang w:val="es-ES_tradnl"/>
              </w:rPr>
            </w:pPr>
          </w:p>
        </w:tc>
        <w:tc>
          <w:tcPr>
            <w:tcW w:w="891" w:type="pct"/>
            <w:shd w:val="clear" w:color="auto" w:fill="auto"/>
            <w:tcMar>
              <w:top w:w="110" w:type="dxa"/>
            </w:tcMar>
          </w:tcPr>
          <w:p w:rsidR="00525604" w:rsidRPr="00A34388" w:rsidRDefault="00525604" w:rsidP="000D2171">
            <w:pPr>
              <w:rPr>
                <w:rFonts w:cs="Arial"/>
                <w:sz w:val="16"/>
                <w:szCs w:val="16"/>
                <w:lang w:val="es-ES_tradnl"/>
              </w:rPr>
            </w:pPr>
            <w:r w:rsidRPr="00A34388">
              <w:rPr>
                <w:sz w:val="16"/>
                <w:lang w:val="es-ES_tradnl"/>
              </w:rPr>
              <w:t>80% (</w:t>
            </w:r>
            <w:r w:rsidR="000D2171" w:rsidRPr="00A34388">
              <w:rPr>
                <w:sz w:val="16"/>
                <w:lang w:val="es-ES_tradnl"/>
              </w:rPr>
              <w:t xml:space="preserve">promedio </w:t>
            </w:r>
            <w:r w:rsidRPr="00A34388">
              <w:rPr>
                <w:sz w:val="16"/>
                <w:lang w:val="es-ES_tradnl"/>
              </w:rPr>
              <w:t>de los</w:t>
            </w:r>
            <w:r w:rsidR="000D2171" w:rsidRPr="00A34388">
              <w:rPr>
                <w:sz w:val="16"/>
                <w:lang w:val="es-ES_tradnl"/>
              </w:rPr>
              <w:t xml:space="preserve"> </w:t>
            </w:r>
            <w:r w:rsidRPr="00A34388">
              <w:rPr>
                <w:sz w:val="16"/>
                <w:lang w:val="es-ES_tradnl"/>
              </w:rPr>
              <w:t>últimos tres años)</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74,56% (</w:t>
            </w:r>
            <w:r w:rsidR="000D2171" w:rsidRPr="00A34388">
              <w:rPr>
                <w:sz w:val="16"/>
                <w:lang w:val="es-ES_tradnl"/>
              </w:rPr>
              <w:t xml:space="preserve">promedio </w:t>
            </w:r>
            <w:r w:rsidRPr="00A34388">
              <w:rPr>
                <w:sz w:val="16"/>
                <w:lang w:val="es-ES_tradnl"/>
              </w:rPr>
              <w:t>de 2010/12)</w:t>
            </w:r>
          </w:p>
          <w:p w:rsidR="00525604" w:rsidRPr="00A34388" w:rsidRDefault="00525604" w:rsidP="000D2171">
            <w:pPr>
              <w:rPr>
                <w:rFonts w:cs="Arial"/>
                <w:sz w:val="16"/>
                <w:szCs w:val="16"/>
                <w:lang w:val="es-ES_tradnl"/>
              </w:rPr>
            </w:pPr>
            <w:r w:rsidRPr="00A34388">
              <w:rPr>
                <w:sz w:val="16"/>
                <w:lang w:val="es-ES_tradnl"/>
              </w:rPr>
              <w:t>74,47% (</w:t>
            </w:r>
            <w:r w:rsidR="000D2171" w:rsidRPr="00A34388">
              <w:rPr>
                <w:sz w:val="16"/>
                <w:lang w:val="es-ES_tradnl"/>
              </w:rPr>
              <w:t xml:space="preserve">promedio </w:t>
            </w:r>
            <w:r w:rsidRPr="00A34388">
              <w:rPr>
                <w:sz w:val="16"/>
                <w:lang w:val="es-ES_tradnl"/>
              </w:rPr>
              <w:t>de 2011/13)</w:t>
            </w:r>
          </w:p>
        </w:tc>
        <w:tc>
          <w:tcPr>
            <w:tcW w:w="572" w:type="pct"/>
            <w:shd w:val="clear" w:color="auto" w:fill="auto"/>
            <w:tcMar>
              <w:top w:w="110" w:type="dxa"/>
            </w:tcMar>
          </w:tcPr>
          <w:p w:rsidR="00525604" w:rsidRPr="00A34388" w:rsidRDefault="00525604" w:rsidP="00853209">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Tiempo necesario para la publicación (porcentaje de solicitudes publicadas en 18 meses + 3 semanas a partir de la fecha de prioridad).</w:t>
            </w:r>
          </w:p>
        </w:tc>
        <w:tc>
          <w:tcPr>
            <w:tcW w:w="1018" w:type="pct"/>
            <w:gridSpan w:val="2"/>
            <w:shd w:val="clear" w:color="auto" w:fill="auto"/>
          </w:tcPr>
          <w:p w:rsidR="00525604" w:rsidRPr="00A34388" w:rsidRDefault="00525604" w:rsidP="00853209">
            <w:pPr>
              <w:pStyle w:val="Default"/>
              <w:keepNext/>
              <w:keepLines/>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97,04%</w:t>
            </w:r>
          </w:p>
          <w:p w:rsidR="00525604" w:rsidRPr="00A34388" w:rsidRDefault="00525604" w:rsidP="00853209">
            <w:pPr>
              <w:keepNext/>
              <w:keepLines/>
              <w:rPr>
                <w:rFonts w:cs="Arial"/>
                <w:i/>
                <w:sz w:val="8"/>
                <w:szCs w:val="8"/>
                <w:lang w:val="es-ES_tradnl"/>
              </w:rPr>
            </w:pPr>
          </w:p>
          <w:p w:rsidR="00525604" w:rsidRPr="00A34388" w:rsidRDefault="00525604" w:rsidP="00853209">
            <w:pPr>
              <w:keepNext/>
              <w:keepLines/>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rFonts w:cs="Arial"/>
                <w:sz w:val="16"/>
                <w:szCs w:val="16"/>
                <w:lang w:val="es-ES_tradnl"/>
              </w:rPr>
              <w:br/>
            </w:r>
            <w:r w:rsidRPr="00A34388">
              <w:rPr>
                <w:sz w:val="16"/>
                <w:lang w:val="es-ES_tradnl"/>
              </w:rPr>
              <w:t>Media de los últimos tres años.</w:t>
            </w:r>
          </w:p>
        </w:tc>
        <w:tc>
          <w:tcPr>
            <w:tcW w:w="891" w:type="pct"/>
            <w:shd w:val="clear" w:color="auto" w:fill="auto"/>
            <w:tcMar>
              <w:top w:w="110" w:type="dxa"/>
            </w:tcMar>
          </w:tcPr>
          <w:p w:rsidR="00525604" w:rsidRPr="00A34388" w:rsidRDefault="00525604" w:rsidP="000D2171">
            <w:pPr>
              <w:keepNext/>
              <w:keepLines/>
              <w:rPr>
                <w:rFonts w:cs="Arial"/>
                <w:sz w:val="16"/>
                <w:szCs w:val="16"/>
                <w:lang w:val="es-ES_tradnl"/>
              </w:rPr>
            </w:pPr>
            <w:r w:rsidRPr="00A34388">
              <w:rPr>
                <w:sz w:val="16"/>
                <w:lang w:val="es-ES_tradnl"/>
              </w:rPr>
              <w:t>96% (</w:t>
            </w:r>
            <w:r w:rsidR="000D2171" w:rsidRPr="00A34388">
              <w:rPr>
                <w:sz w:val="16"/>
                <w:lang w:val="es-ES_tradnl"/>
              </w:rPr>
              <w:t xml:space="preserve">promedio </w:t>
            </w:r>
            <w:r w:rsidRPr="00A34388">
              <w:rPr>
                <w:sz w:val="16"/>
                <w:lang w:val="es-ES_tradnl"/>
              </w:rPr>
              <w:t>de los</w:t>
            </w:r>
            <w:r w:rsidR="000D2171" w:rsidRPr="00A34388">
              <w:rPr>
                <w:sz w:val="16"/>
                <w:lang w:val="es-ES_tradnl"/>
              </w:rPr>
              <w:t xml:space="preserve"> </w:t>
            </w:r>
            <w:r w:rsidRPr="00A34388">
              <w:rPr>
                <w:sz w:val="16"/>
                <w:lang w:val="es-ES_tradnl"/>
              </w:rPr>
              <w:t>últimos tres años)</w:t>
            </w:r>
          </w:p>
        </w:tc>
        <w:tc>
          <w:tcPr>
            <w:tcW w:w="1717" w:type="pct"/>
            <w:gridSpan w:val="2"/>
            <w:shd w:val="clear" w:color="auto" w:fill="FFFFFF"/>
            <w:tcMar>
              <w:top w:w="110" w:type="dxa"/>
            </w:tcMar>
          </w:tcPr>
          <w:p w:rsidR="00525604" w:rsidRPr="00A34388" w:rsidRDefault="00525604" w:rsidP="00853209">
            <w:pPr>
              <w:keepNext/>
              <w:keepLines/>
              <w:rPr>
                <w:rFonts w:cs="Arial"/>
                <w:sz w:val="16"/>
                <w:szCs w:val="16"/>
                <w:lang w:val="es-ES_tradnl"/>
              </w:rPr>
            </w:pPr>
            <w:r w:rsidRPr="00A34388">
              <w:rPr>
                <w:sz w:val="16"/>
                <w:lang w:val="es-ES_tradnl"/>
              </w:rPr>
              <w:t>97,98% (</w:t>
            </w:r>
            <w:r w:rsidR="000D2171" w:rsidRPr="00A34388">
              <w:rPr>
                <w:sz w:val="16"/>
                <w:lang w:val="es-ES_tradnl"/>
              </w:rPr>
              <w:t xml:space="preserve">promedio </w:t>
            </w:r>
            <w:r w:rsidRPr="00A34388">
              <w:rPr>
                <w:sz w:val="16"/>
                <w:lang w:val="es-ES_tradnl"/>
              </w:rPr>
              <w:t>de 2010/12)</w:t>
            </w:r>
          </w:p>
          <w:p w:rsidR="00525604" w:rsidRPr="00A34388" w:rsidRDefault="00525604" w:rsidP="000D2171">
            <w:pPr>
              <w:keepNext/>
              <w:keepLines/>
              <w:rPr>
                <w:rFonts w:cs="Arial"/>
                <w:sz w:val="16"/>
                <w:szCs w:val="16"/>
                <w:lang w:val="es-ES_tradnl"/>
              </w:rPr>
            </w:pPr>
            <w:r w:rsidRPr="00A34388">
              <w:rPr>
                <w:sz w:val="16"/>
                <w:lang w:val="es-ES_tradnl"/>
              </w:rPr>
              <w:t>98,50% (</w:t>
            </w:r>
            <w:r w:rsidR="000D2171" w:rsidRPr="00A34388">
              <w:rPr>
                <w:sz w:val="16"/>
                <w:lang w:val="es-ES_tradnl"/>
              </w:rPr>
              <w:t xml:space="preserve">promedio </w:t>
            </w:r>
            <w:r w:rsidRPr="00A34388">
              <w:rPr>
                <w:sz w:val="16"/>
                <w:lang w:val="es-ES_tradnl"/>
              </w:rPr>
              <w:t>de 2011/13)</w:t>
            </w:r>
          </w:p>
        </w:tc>
        <w:tc>
          <w:tcPr>
            <w:tcW w:w="572" w:type="pct"/>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Calidad de la traducción (porcentaje de traducciones que aprueban el control de calidad).</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84,4%</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rFonts w:cs="Arial"/>
                <w:sz w:val="16"/>
                <w:szCs w:val="16"/>
                <w:lang w:val="es-ES_tradnl"/>
              </w:rPr>
              <w:br/>
            </w:r>
            <w:r w:rsidRPr="00A34388">
              <w:rPr>
                <w:sz w:val="16"/>
                <w:lang w:val="es-ES_tradnl"/>
              </w:rPr>
              <w:t>Nivel de calidad en 2011.</w:t>
            </w:r>
          </w:p>
        </w:tc>
        <w:tc>
          <w:tcPr>
            <w:tcW w:w="89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87%</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87,2% (2012)</w:t>
            </w:r>
          </w:p>
          <w:p w:rsidR="00525604" w:rsidRPr="00A34388" w:rsidRDefault="00525604" w:rsidP="00853209">
            <w:pPr>
              <w:rPr>
                <w:rFonts w:cs="Arial"/>
                <w:sz w:val="16"/>
                <w:szCs w:val="16"/>
                <w:lang w:val="es-ES_tradnl"/>
              </w:rPr>
            </w:pPr>
            <w:r w:rsidRPr="00A34388">
              <w:rPr>
                <w:sz w:val="16"/>
                <w:lang w:val="es-ES_tradnl"/>
              </w:rPr>
              <w:t>87,1% (2013)</w:t>
            </w:r>
          </w:p>
        </w:tc>
        <w:tc>
          <w:tcPr>
            <w:tcW w:w="572" w:type="pct"/>
            <w:shd w:val="clear" w:color="auto" w:fill="auto"/>
            <w:tcMar>
              <w:top w:w="110" w:type="dxa"/>
            </w:tcMar>
          </w:tcPr>
          <w:p w:rsidR="00525604" w:rsidRPr="00A34388" w:rsidRDefault="00525604" w:rsidP="00853209">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c>
          <w:tcPr>
            <w:tcW w:w="802" w:type="pct"/>
            <w:shd w:val="clear" w:color="auto" w:fill="auto"/>
          </w:tcPr>
          <w:p w:rsidR="00525604" w:rsidRPr="00A34388" w:rsidRDefault="00525604" w:rsidP="00853209">
            <w:pPr>
              <w:rPr>
                <w:rFonts w:cs="Arial"/>
                <w:sz w:val="16"/>
                <w:szCs w:val="16"/>
                <w:lang w:val="es-ES_tradnl"/>
              </w:rPr>
            </w:pPr>
            <w:r w:rsidRPr="00332758">
              <w:rPr>
                <w:sz w:val="16"/>
                <w:lang w:val="es-ES_tradnl"/>
              </w:rPr>
              <w:t>Presentación de solicitudes en la Oficina Internacional como Oficina receptora.</w:t>
            </w:r>
          </w:p>
        </w:tc>
        <w:tc>
          <w:tcPr>
            <w:tcW w:w="1018" w:type="pct"/>
            <w:gridSpan w:val="2"/>
            <w:shd w:val="clear" w:color="auto" w:fill="auto"/>
          </w:tcPr>
          <w:p w:rsidR="00525604" w:rsidRPr="00A34388" w:rsidRDefault="00525604" w:rsidP="00853209">
            <w:pPr>
              <w:pStyle w:val="Default"/>
              <w:rPr>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 8.753</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 xml:space="preserve">Referencia original </w:t>
            </w:r>
            <w:proofErr w:type="spellStart"/>
            <w:r w:rsidRPr="00A34388">
              <w:rPr>
                <w:i/>
                <w:sz w:val="16"/>
                <w:lang w:val="es-ES_tradnl"/>
              </w:rPr>
              <w:t>Presup</w:t>
            </w:r>
            <w:proofErr w:type="spellEnd"/>
            <w:r w:rsidRPr="00A34388">
              <w:rPr>
                <w:i/>
                <w:sz w:val="16"/>
                <w:lang w:val="es-ES_tradnl"/>
              </w:rPr>
              <w:t xml:space="preserve">. </w:t>
            </w:r>
            <w:proofErr w:type="gramStart"/>
            <w:r w:rsidRPr="00A34388">
              <w:rPr>
                <w:i/>
                <w:sz w:val="16"/>
                <w:lang w:val="es-ES_tradnl"/>
              </w:rPr>
              <w:t>por</w:t>
            </w:r>
            <w:proofErr w:type="gramEnd"/>
            <w:r w:rsidRPr="00A34388">
              <w:rPr>
                <w:i/>
                <w:sz w:val="16"/>
                <w:lang w:val="es-ES_tradnl"/>
              </w:rPr>
              <w:t xml:space="preserve"> </w:t>
            </w:r>
            <w:proofErr w:type="spellStart"/>
            <w:r w:rsidRPr="00A34388">
              <w:rPr>
                <w:i/>
                <w:sz w:val="16"/>
                <w:lang w:val="es-ES_tradnl"/>
              </w:rPr>
              <w:t>prog</w:t>
            </w:r>
            <w:proofErr w:type="spellEnd"/>
            <w:r w:rsidRPr="00A34388">
              <w:rPr>
                <w:i/>
                <w:sz w:val="16"/>
                <w:lang w:val="es-ES_tradnl"/>
              </w:rPr>
              <w:t>. 2012/13:</w:t>
            </w:r>
            <w:r w:rsidRPr="00A34388">
              <w:rPr>
                <w:rFonts w:cs="Arial"/>
                <w:sz w:val="16"/>
                <w:szCs w:val="16"/>
                <w:lang w:val="es-ES_tradnl"/>
              </w:rPr>
              <w:br/>
            </w:r>
            <w:r w:rsidRPr="00A34388">
              <w:rPr>
                <w:sz w:val="16"/>
                <w:lang w:val="es-ES_tradnl"/>
              </w:rPr>
              <w:t>Solicitudes presentadas en 2011</w:t>
            </w:r>
          </w:p>
          <w:p w:rsidR="00525604" w:rsidRPr="00A34388" w:rsidRDefault="00525604" w:rsidP="00853209">
            <w:pPr>
              <w:rPr>
                <w:rFonts w:cs="Arial"/>
                <w:sz w:val="16"/>
                <w:szCs w:val="16"/>
                <w:lang w:val="es-ES_tradnl"/>
              </w:rPr>
            </w:pPr>
          </w:p>
        </w:tc>
        <w:tc>
          <w:tcPr>
            <w:tcW w:w="891"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9.700 (2012)</w:t>
            </w:r>
          </w:p>
          <w:p w:rsidR="00525604" w:rsidRPr="00A34388" w:rsidRDefault="00525604" w:rsidP="00853209">
            <w:pPr>
              <w:rPr>
                <w:rFonts w:cs="Arial"/>
                <w:sz w:val="16"/>
                <w:szCs w:val="16"/>
                <w:lang w:val="es-ES_tradnl"/>
              </w:rPr>
            </w:pPr>
            <w:r w:rsidRPr="00A34388">
              <w:rPr>
                <w:sz w:val="16"/>
                <w:lang w:val="es-ES_tradnl"/>
              </w:rPr>
              <w:t>10.100 (2013)</w:t>
            </w:r>
          </w:p>
        </w:tc>
        <w:tc>
          <w:tcPr>
            <w:tcW w:w="1717" w:type="pct"/>
            <w:gridSpan w:val="2"/>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9.711 (2012)</w:t>
            </w:r>
          </w:p>
          <w:p w:rsidR="00525604" w:rsidRPr="00A34388" w:rsidRDefault="00525604" w:rsidP="00853209">
            <w:pPr>
              <w:rPr>
                <w:rFonts w:cs="Arial"/>
                <w:sz w:val="16"/>
                <w:szCs w:val="16"/>
                <w:lang w:val="es-ES_tradnl"/>
              </w:rPr>
            </w:pPr>
            <w:r w:rsidRPr="00A34388">
              <w:rPr>
                <w:sz w:val="16"/>
                <w:lang w:val="es-ES_tradnl"/>
              </w:rPr>
              <w:t>10.313 (2013)</w:t>
            </w:r>
          </w:p>
        </w:tc>
        <w:tc>
          <w:tcPr>
            <w:tcW w:w="572" w:type="pct"/>
            <w:shd w:val="clear" w:color="auto" w:fill="auto"/>
            <w:tcMar>
              <w:top w:w="110" w:type="dxa"/>
            </w:tcMar>
          </w:tcPr>
          <w:p w:rsidR="00525604" w:rsidRPr="00A34388" w:rsidRDefault="00525604" w:rsidP="00853209">
            <w:pPr>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525604" w:rsidRPr="00A34388" w:rsidRDefault="00525604" w:rsidP="00525604">
      <w:pPr>
        <w:rPr>
          <w:lang w:val="es-ES_tradnl"/>
        </w:rPr>
      </w:pPr>
    </w:p>
    <w:p w:rsidR="00525604" w:rsidRPr="00A34388" w:rsidRDefault="00525604" w:rsidP="00525604">
      <w:pPr>
        <w:rPr>
          <w:rFonts w:cs="Arial"/>
          <w:lang w:val="es-ES_tradnl"/>
        </w:rPr>
      </w:pPr>
    </w:p>
    <w:p w:rsidR="00435EE7" w:rsidRDefault="00435EE7">
      <w:pPr>
        <w:rPr>
          <w:sz w:val="22"/>
          <w:lang w:val="es-ES_tradnl"/>
        </w:rPr>
      </w:pPr>
      <w:r>
        <w:rPr>
          <w:sz w:val="22"/>
          <w:lang w:val="es-ES_tradnl"/>
        </w:rPr>
        <w:br w:type="page"/>
      </w:r>
    </w:p>
    <w:p w:rsidR="00525604" w:rsidRPr="00A34388" w:rsidRDefault="00525604" w:rsidP="00525604">
      <w:pPr>
        <w:rPr>
          <w:sz w:val="22"/>
          <w:szCs w:val="22"/>
          <w:lang w:val="es-ES_tradnl"/>
        </w:rPr>
      </w:pPr>
      <w:r w:rsidRPr="00332758">
        <w:rPr>
          <w:sz w:val="22"/>
          <w:lang w:val="es-ES_tradnl"/>
        </w:rPr>
        <w:lastRenderedPageBreak/>
        <w:t>PRESUPUESTO Y GASTOS REALES</w:t>
      </w:r>
    </w:p>
    <w:p w:rsidR="00525604" w:rsidRPr="00FF125D" w:rsidRDefault="00525604" w:rsidP="00525604">
      <w:pPr>
        <w:pStyle w:val="NormalWeb"/>
        <w:spacing w:before="0" w:beforeAutospacing="0" w:after="0" w:afterAutospacing="0"/>
        <w:rPr>
          <w:color w:val="000000"/>
          <w:sz w:val="20"/>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FF125D" w:rsidRDefault="00525604" w:rsidP="00525604">
      <w:pPr>
        <w:rPr>
          <w:rFonts w:cs="Arial"/>
          <w:bCs/>
          <w:color w:val="000000"/>
          <w:szCs w:val="20"/>
          <w:lang w:val="es-ES_tradnl"/>
        </w:rPr>
      </w:pPr>
    </w:p>
    <w:tbl>
      <w:tblPr>
        <w:tblW w:w="0" w:type="auto"/>
        <w:tblInd w:w="103" w:type="dxa"/>
        <w:tblLayout w:type="fixed"/>
        <w:tblLook w:val="04A0" w:firstRow="1" w:lastRow="0" w:firstColumn="1" w:lastColumn="0" w:noHBand="0" w:noVBand="1"/>
      </w:tblPr>
      <w:tblGrid>
        <w:gridCol w:w="468"/>
        <w:gridCol w:w="4782"/>
        <w:gridCol w:w="1370"/>
        <w:gridCol w:w="1370"/>
        <w:gridCol w:w="1371"/>
      </w:tblGrid>
      <w:tr w:rsidR="00525604" w:rsidRPr="00A34388" w:rsidTr="00853209">
        <w:trPr>
          <w:trHeight w:val="711"/>
        </w:trPr>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w:t>
            </w:r>
            <w:r w:rsidRPr="00332758">
              <w:rPr>
                <w:sz w:val="16"/>
                <w:lang w:val="es-ES_tradnl"/>
              </w:rPr>
              <w:br/>
              <w:t>2012/13</w:t>
            </w:r>
          </w:p>
        </w:tc>
      </w:tr>
      <w:tr w:rsidR="00525604" w:rsidRPr="00A34388" w:rsidTr="00853209">
        <w:trPr>
          <w:trHeight w:val="536"/>
        </w:trPr>
        <w:tc>
          <w:tcPr>
            <w:tcW w:w="468"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II.1</w:t>
            </w:r>
          </w:p>
        </w:tc>
        <w:tc>
          <w:tcPr>
            <w:tcW w:w="4782"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Utilización estratégica del PCT, con conocimiento de causa, por todos los innovadores que puedan aprovecharlo.</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6.380 </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5.602</w:t>
            </w:r>
          </w:p>
        </w:tc>
        <w:tc>
          <w:tcPr>
            <w:tcW w:w="1371"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5.139</w:t>
            </w:r>
          </w:p>
        </w:tc>
      </w:tr>
      <w:tr w:rsidR="00525604" w:rsidRPr="00A34388" w:rsidTr="00853209">
        <w:trPr>
          <w:trHeight w:val="402"/>
        </w:trPr>
        <w:tc>
          <w:tcPr>
            <w:tcW w:w="468"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II.2</w:t>
            </w:r>
          </w:p>
        </w:tc>
        <w:tc>
          <w:tcPr>
            <w:tcW w:w="4782"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Fortalecimiento de las relaciones con los usuarios del PCT y las oficinas.</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16.897 </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15.794 </w:t>
            </w:r>
          </w:p>
        </w:tc>
        <w:tc>
          <w:tcPr>
            <w:tcW w:w="1371"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15.505 </w:t>
            </w:r>
          </w:p>
        </w:tc>
      </w:tr>
      <w:tr w:rsidR="00525604" w:rsidRPr="00A34388" w:rsidTr="00853209">
        <w:trPr>
          <w:trHeight w:val="416"/>
        </w:trPr>
        <w:tc>
          <w:tcPr>
            <w:tcW w:w="468"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II.3</w:t>
            </w:r>
          </w:p>
        </w:tc>
        <w:tc>
          <w:tcPr>
            <w:tcW w:w="4782"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Perfeccionamiento del Sistema del PCT en su conjunto</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3.225 </w:t>
            </w:r>
          </w:p>
        </w:tc>
        <w:tc>
          <w:tcPr>
            <w:tcW w:w="1370"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3.261</w:t>
            </w:r>
          </w:p>
        </w:tc>
        <w:tc>
          <w:tcPr>
            <w:tcW w:w="1371"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3.061 </w:t>
            </w:r>
          </w:p>
        </w:tc>
      </w:tr>
      <w:tr w:rsidR="00525604" w:rsidRPr="00A34388" w:rsidTr="00853209">
        <w:trPr>
          <w:trHeight w:val="349"/>
        </w:trPr>
        <w:tc>
          <w:tcPr>
            <w:tcW w:w="468"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II.4</w:t>
            </w:r>
          </w:p>
        </w:tc>
        <w:tc>
          <w:tcPr>
            <w:tcW w:w="4782"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Mejora del funcionamiento de la Oficina Internacional</w:t>
            </w:r>
          </w:p>
        </w:tc>
        <w:tc>
          <w:tcPr>
            <w:tcW w:w="1370"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152.098 </w:t>
            </w:r>
          </w:p>
        </w:tc>
        <w:tc>
          <w:tcPr>
            <w:tcW w:w="1370"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154.558 </w:t>
            </w:r>
          </w:p>
        </w:tc>
        <w:tc>
          <w:tcPr>
            <w:tcW w:w="1371"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150.449 </w:t>
            </w:r>
          </w:p>
        </w:tc>
      </w:tr>
      <w:tr w:rsidR="00525604" w:rsidRPr="00A34388" w:rsidTr="00853209">
        <w:trPr>
          <w:trHeight w:val="402"/>
        </w:trPr>
        <w:tc>
          <w:tcPr>
            <w:tcW w:w="468"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782"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370"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178.600</w:t>
            </w:r>
          </w:p>
        </w:tc>
        <w:tc>
          <w:tcPr>
            <w:tcW w:w="1370"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179.215</w:t>
            </w:r>
          </w:p>
        </w:tc>
        <w:tc>
          <w:tcPr>
            <w:tcW w:w="1371"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174.154</w:t>
            </w:r>
          </w:p>
        </w:tc>
      </w:tr>
    </w:tbl>
    <w:p w:rsidR="00525604" w:rsidRPr="00FF125D" w:rsidRDefault="00525604" w:rsidP="00525604">
      <w:pPr>
        <w:rPr>
          <w:rFonts w:cs="Arial"/>
          <w:bCs/>
          <w:color w:val="000000"/>
          <w:szCs w:val="20"/>
          <w:lang w:val="es-ES_tradnl"/>
        </w:rPr>
      </w:pPr>
    </w:p>
    <w:p w:rsidR="00525604" w:rsidRPr="00FF125D" w:rsidRDefault="00525604" w:rsidP="00525604">
      <w:pPr>
        <w:rPr>
          <w:rFonts w:cs="Arial"/>
          <w:bCs/>
          <w:color w:val="000000"/>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w:t>
      </w:r>
      <w:proofErr w:type="gramStart"/>
      <w:r w:rsidRPr="00332758">
        <w:rPr>
          <w:i/>
          <w:sz w:val="20"/>
          <w:lang w:val="es-ES_tradnl"/>
        </w:rPr>
        <w:t>en</w:t>
      </w:r>
      <w:proofErr w:type="gramEnd"/>
      <w:r w:rsidRPr="00332758">
        <w:rPr>
          <w:i/>
          <w:sz w:val="20"/>
          <w:lang w:val="es-ES_tradnl"/>
        </w:rPr>
        <w:t xml:space="preserve"> miles de francos suizos)</w:t>
      </w:r>
    </w:p>
    <w:p w:rsidR="00525604" w:rsidRPr="00FF125D" w:rsidRDefault="00525604" w:rsidP="00525604">
      <w:pPr>
        <w:rPr>
          <w:rFonts w:cs="Arial"/>
          <w:bCs/>
          <w:color w:val="000000"/>
          <w:szCs w:val="20"/>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25604" w:rsidRPr="00A34388" w:rsidTr="00853209">
        <w:trPr>
          <w:trHeight w:val="330"/>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118.705</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117.580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117.580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59.895</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61.635</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56.575</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92%</w:t>
            </w:r>
          </w:p>
        </w:tc>
      </w:tr>
      <w:tr w:rsidR="00525604" w:rsidRPr="00A34388" w:rsidTr="00853209">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178.600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179.215</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174.154</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97%</w:t>
            </w:r>
          </w:p>
        </w:tc>
      </w:tr>
    </w:tbl>
    <w:p w:rsidR="00525604" w:rsidRPr="00A34388" w:rsidRDefault="00525604" w:rsidP="00FF125D">
      <w:pPr>
        <w:autoSpaceDE w:val="0"/>
        <w:autoSpaceDN w:val="0"/>
        <w:adjustRightInd w:val="0"/>
        <w:rPr>
          <w:rFonts w:cs="Arial"/>
          <w:sz w:val="16"/>
          <w:szCs w:val="16"/>
          <w:lang w:val="es-ES_tradnl"/>
        </w:rPr>
      </w:pPr>
    </w:p>
    <w:p w:rsidR="00525604" w:rsidRPr="00A34388" w:rsidRDefault="00525604" w:rsidP="00FF125D">
      <w:pPr>
        <w:autoSpaceDE w:val="0"/>
        <w:autoSpaceDN w:val="0"/>
        <w:rPr>
          <w:sz w:val="16"/>
          <w:szCs w:val="16"/>
          <w:lang w:val="es-ES_tradnl"/>
        </w:rPr>
      </w:pPr>
      <w:r w:rsidRPr="00332758">
        <w:rPr>
          <w:sz w:val="16"/>
          <w:lang w:val="es-ES_tradnl"/>
        </w:rPr>
        <w:t>NOTAS:</w:t>
      </w:r>
    </w:p>
    <w:p w:rsidR="00525604" w:rsidRPr="00A34388" w:rsidRDefault="00525604" w:rsidP="00FF125D">
      <w:pPr>
        <w:autoSpaceDE w:val="0"/>
        <w:autoSpaceDN w:val="0"/>
        <w:rPr>
          <w:sz w:val="16"/>
          <w:szCs w:val="16"/>
          <w:lang w:val="es-ES_tradnl"/>
        </w:rPr>
      </w:pPr>
    </w:p>
    <w:p w:rsidR="00525604" w:rsidRPr="00A34388" w:rsidRDefault="00525604" w:rsidP="00FF125D">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FF125D">
      <w:pPr>
        <w:autoSpaceDE w:val="0"/>
        <w:autoSpaceDN w:val="0"/>
        <w:rPr>
          <w:sz w:val="16"/>
          <w:szCs w:val="16"/>
          <w:lang w:val="es-ES_tradnl"/>
        </w:rPr>
      </w:pPr>
    </w:p>
    <w:p w:rsidR="00525604" w:rsidRPr="00A34388" w:rsidRDefault="00525604" w:rsidP="00FF125D">
      <w:pPr>
        <w:autoSpaceDE w:val="0"/>
        <w:autoSpaceDN w:val="0"/>
        <w:jc w:val="both"/>
        <w:rPr>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rPr>
          <w:lang w:val="es-ES_tradnl"/>
        </w:rPr>
      </w:pPr>
    </w:p>
    <w:p w:rsidR="00525604" w:rsidRPr="00A34388" w:rsidRDefault="00525604" w:rsidP="00525604">
      <w:pPr>
        <w:rPr>
          <w:lang w:val="es-ES_tradnl"/>
        </w:rPr>
      </w:pPr>
    </w:p>
    <w:p w:rsidR="00FF125D" w:rsidRPr="00332758" w:rsidRDefault="00FF125D">
      <w:pPr>
        <w:rPr>
          <w:lang w:val="es-ES_tradnl"/>
        </w:rPr>
      </w:pPr>
      <w:r w:rsidRPr="00332758">
        <w:rPr>
          <w:lang w:val="es-ES_tradnl"/>
        </w:rPr>
        <w:br w:type="page"/>
      </w:r>
    </w:p>
    <w:p w:rsidR="00525604" w:rsidRPr="00841841" w:rsidRDefault="00525604" w:rsidP="00525604">
      <w:pPr>
        <w:tabs>
          <w:tab w:val="left" w:pos="709"/>
        </w:tabs>
        <w:rPr>
          <w:rFonts w:cs="Arial"/>
          <w:szCs w:val="20"/>
          <w:u w:val="single"/>
          <w:lang w:val="es-ES_tradnl"/>
        </w:rPr>
      </w:pPr>
      <w:r w:rsidRPr="00332758">
        <w:rPr>
          <w:lang w:val="es-ES_tradnl"/>
        </w:rPr>
        <w:lastRenderedPageBreak/>
        <w:t>A.</w:t>
      </w:r>
      <w:r w:rsidRPr="00A34388">
        <w:rPr>
          <w:lang w:val="es-ES_tradnl"/>
        </w:rPr>
        <w:tab/>
      </w:r>
      <w:r w:rsidRPr="00332758">
        <w:rPr>
          <w:u w:val="single"/>
          <w:lang w:val="es-ES_tradnl"/>
        </w:rPr>
        <w:t xml:space="preserve">Presupuesto 2012/13 después de las </w:t>
      </w:r>
      <w:r w:rsidRPr="00841841">
        <w:rPr>
          <w:u w:val="single"/>
          <w:lang w:val="es-ES_tradnl"/>
        </w:rPr>
        <w:t>transferencias</w:t>
      </w:r>
    </w:p>
    <w:p w:rsidR="00525604" w:rsidRPr="00A34388" w:rsidRDefault="00525604" w:rsidP="00525604">
      <w:pPr>
        <w:rPr>
          <w:rFonts w:cs="Arial"/>
          <w:szCs w:val="20"/>
          <w:u w:val="single"/>
          <w:lang w:val="es-ES_tradnl"/>
        </w:rPr>
      </w:pPr>
    </w:p>
    <w:p w:rsidR="00525604" w:rsidRPr="00A34388" w:rsidRDefault="00525604" w:rsidP="00525604">
      <w:pPr>
        <w:tabs>
          <w:tab w:val="left" w:pos="709"/>
        </w:tabs>
        <w:jc w:val="both"/>
        <w:rPr>
          <w:rFonts w:eastAsia="Batang" w:cs="Arial"/>
          <w:szCs w:val="20"/>
          <w:lang w:val="es-ES_tradnl"/>
        </w:rPr>
      </w:pPr>
      <w:r w:rsidRPr="00A34388">
        <w:rPr>
          <w:lang w:val="es-ES_tradnl"/>
        </w:rPr>
        <w:t>5.13.</w:t>
      </w:r>
      <w:r w:rsidRPr="00A34388">
        <w:rPr>
          <w:lang w:val="es-ES_tradnl"/>
        </w:rPr>
        <w:tab/>
        <w:t xml:space="preserve">La reducción de los recursos de personal, reflejada en todos los resultados, se debió fundamentalmente a una serie de vacantes en el programa durante el bienio.  El incremento de los recursos no relativos al personal es el resultado neto de las asignaciones adicionales </w:t>
      </w:r>
      <w:r w:rsidR="008E38B2" w:rsidRPr="00A34388">
        <w:rPr>
          <w:lang w:val="es-ES_tradnl"/>
        </w:rPr>
        <w:t xml:space="preserve">realizadas </w:t>
      </w:r>
      <w:proofErr w:type="gramStart"/>
      <w:r w:rsidRPr="00A34388">
        <w:rPr>
          <w:lang w:val="es-ES_tradnl"/>
        </w:rPr>
        <w:t>al programa necesarias</w:t>
      </w:r>
      <w:proofErr w:type="gramEnd"/>
      <w:r w:rsidRPr="00A34388">
        <w:rPr>
          <w:lang w:val="es-ES_tradnl"/>
        </w:rPr>
        <w:t xml:space="preserve"> para la </w:t>
      </w:r>
      <w:r w:rsidR="00F75655" w:rsidRPr="00A34388">
        <w:rPr>
          <w:lang w:val="es-ES_tradnl"/>
        </w:rPr>
        <w:t xml:space="preserve">subcontratación externa </w:t>
      </w:r>
      <w:r w:rsidRPr="00A34388">
        <w:rPr>
          <w:lang w:val="es-ES_tradnl"/>
        </w:rPr>
        <w:t xml:space="preserve">de servicios de traducción y para la sesión extraordinaria </w:t>
      </w:r>
      <w:r w:rsidR="000D2171" w:rsidRPr="00A34388">
        <w:rPr>
          <w:lang w:val="es-ES_tradnl"/>
        </w:rPr>
        <w:t xml:space="preserve">de </w:t>
      </w:r>
      <w:r w:rsidRPr="00A34388">
        <w:rPr>
          <w:lang w:val="es-ES_tradnl"/>
        </w:rPr>
        <w:t xml:space="preserve">la Asamblea de la Unión del PCT.  Esto se reflejó en un </w:t>
      </w:r>
      <w:r w:rsidR="008E38B2" w:rsidRPr="00A34388">
        <w:rPr>
          <w:lang w:val="es-ES_tradnl"/>
        </w:rPr>
        <w:t xml:space="preserve">incremento </w:t>
      </w:r>
      <w:r w:rsidRPr="00A34388">
        <w:rPr>
          <w:lang w:val="es-ES_tradnl"/>
        </w:rPr>
        <w:t xml:space="preserve">global del presupuesto 2012/13 después de las transferencias. </w:t>
      </w:r>
    </w:p>
    <w:p w:rsidR="00525604" w:rsidRPr="00A34388" w:rsidRDefault="00525604" w:rsidP="00525604">
      <w:pPr>
        <w:jc w:val="both"/>
        <w:rPr>
          <w:rFonts w:eastAsia="Batang" w:cs="Arial"/>
          <w:szCs w:val="20"/>
          <w:lang w:val="es-ES_tradnl"/>
        </w:rPr>
      </w:pPr>
    </w:p>
    <w:p w:rsidR="00525604" w:rsidRPr="00A34388" w:rsidRDefault="00525604" w:rsidP="00525604">
      <w:pPr>
        <w:tabs>
          <w:tab w:val="left" w:pos="709"/>
        </w:tabs>
        <w:jc w:val="both"/>
        <w:rPr>
          <w:rFonts w:eastAsia="Batang" w:cs="Arial"/>
          <w:szCs w:val="20"/>
          <w:lang w:val="es-ES_tradnl"/>
        </w:rPr>
      </w:pPr>
      <w:r w:rsidRPr="00A34388">
        <w:rPr>
          <w:lang w:val="es-ES_tradnl"/>
        </w:rPr>
        <w:t>5.14.</w:t>
      </w:r>
      <w:r w:rsidRPr="00A34388">
        <w:rPr>
          <w:lang w:val="es-ES_tradnl"/>
        </w:rPr>
        <w:tab/>
      </w:r>
      <w:r w:rsidR="0030737C" w:rsidRPr="00A34388">
        <w:rPr>
          <w:lang w:val="es-ES_tradnl"/>
        </w:rPr>
        <w:t xml:space="preserve">En el marco del </w:t>
      </w:r>
      <w:r w:rsidRPr="00A34388">
        <w:rPr>
          <w:lang w:val="es-ES_tradnl"/>
        </w:rPr>
        <w:t xml:space="preserve">resultado II.1 (Utilización estratégica del PCT, con conocimiento de causa), la reducción de los recursos no relativos al personal se debió fundamentalmente a </w:t>
      </w:r>
      <w:r w:rsidR="006B6785" w:rsidRPr="00A34388">
        <w:rPr>
          <w:lang w:val="es-ES_tradnl"/>
        </w:rPr>
        <w:t xml:space="preserve">los ahorros anticipados de costos de viajes relacionados con las sesiones de la Asamblea del PCT </w:t>
      </w:r>
      <w:r w:rsidR="00DF1B32" w:rsidRPr="00A34388">
        <w:rPr>
          <w:lang w:val="es-ES_tradnl"/>
        </w:rPr>
        <w:t xml:space="preserve">posibles gracias a </w:t>
      </w:r>
      <w:r w:rsidR="006B6785" w:rsidRPr="00A34388">
        <w:rPr>
          <w:lang w:val="es-ES_tradnl"/>
        </w:rPr>
        <w:t xml:space="preserve">mejoras en la </w:t>
      </w:r>
      <w:r w:rsidR="0030737C" w:rsidRPr="00A34388">
        <w:rPr>
          <w:lang w:val="es-ES_tradnl"/>
        </w:rPr>
        <w:t>eficacia</w:t>
      </w:r>
      <w:r w:rsidRPr="00A34388">
        <w:rPr>
          <w:lang w:val="es-ES_tradnl"/>
        </w:rPr>
        <w:t xml:space="preserve">. </w:t>
      </w:r>
      <w:r w:rsidR="00537926" w:rsidRPr="00A34388">
        <w:rPr>
          <w:lang w:val="es-ES_tradnl"/>
        </w:rPr>
        <w:t xml:space="preserve"> </w:t>
      </w:r>
      <w:r w:rsidRPr="00A34388">
        <w:rPr>
          <w:color w:val="000000"/>
          <w:lang w:val="es-ES_tradnl"/>
        </w:rPr>
        <w:t xml:space="preserve">Estos recursos no relativos al personal </w:t>
      </w:r>
      <w:r w:rsidR="006B6785" w:rsidRPr="00A34388">
        <w:rPr>
          <w:color w:val="000000"/>
          <w:lang w:val="es-ES_tradnl"/>
        </w:rPr>
        <w:t xml:space="preserve">fueron reasignados </w:t>
      </w:r>
      <w:r w:rsidRPr="00A34388">
        <w:rPr>
          <w:color w:val="000000"/>
          <w:lang w:val="es-ES_tradnl"/>
        </w:rPr>
        <w:t xml:space="preserve">dentro del programa durante el bienio para hacer frente a la creciente necesidad de servicios de traducción.  Estos ajustes se reflejan en una reducción de los recursos </w:t>
      </w:r>
      <w:r w:rsidR="0030737C" w:rsidRPr="00A34388">
        <w:rPr>
          <w:color w:val="000000"/>
          <w:lang w:val="es-ES_tradnl"/>
        </w:rPr>
        <w:t xml:space="preserve">relativos </w:t>
      </w:r>
      <w:r w:rsidRPr="00A34388">
        <w:rPr>
          <w:color w:val="000000"/>
          <w:lang w:val="es-ES_tradnl"/>
        </w:rPr>
        <w:t xml:space="preserve">a los resultados II.2 (Fortalecimiento de las relaciones con los usuarios del PCT y las oficinas) y II.3 </w:t>
      </w:r>
      <w:r w:rsidRPr="00A34388">
        <w:rPr>
          <w:lang w:val="es-ES_tradnl"/>
        </w:rPr>
        <w:t>(</w:t>
      </w:r>
      <w:r w:rsidRPr="00332758">
        <w:rPr>
          <w:lang w:val="es-ES_tradnl"/>
        </w:rPr>
        <w:t>Perfeccionamiento del Sistema del PCT en su conjunto</w:t>
      </w:r>
      <w:r w:rsidRPr="00A34388">
        <w:rPr>
          <w:lang w:val="es-ES_tradnl"/>
        </w:rPr>
        <w:t xml:space="preserve">). </w:t>
      </w:r>
    </w:p>
    <w:p w:rsidR="00525604" w:rsidRPr="00A34388" w:rsidRDefault="00525604" w:rsidP="006B6785">
      <w:pPr>
        <w:jc w:val="both"/>
        <w:rPr>
          <w:rFonts w:eastAsia="Batang" w:cs="Arial"/>
          <w:szCs w:val="20"/>
          <w:lang w:val="es-ES_tradnl"/>
        </w:rPr>
      </w:pPr>
    </w:p>
    <w:p w:rsidR="00FF125D" w:rsidRDefault="00FF125D" w:rsidP="00525604">
      <w:pPr>
        <w:tabs>
          <w:tab w:val="left" w:pos="709"/>
          <w:tab w:val="left" w:pos="3500"/>
        </w:tabs>
        <w:jc w:val="both"/>
        <w:rPr>
          <w:lang w:val="es-ES_tradnl"/>
        </w:rPr>
      </w:pPr>
    </w:p>
    <w:p w:rsidR="00525604" w:rsidRPr="00A34388" w:rsidRDefault="00525604" w:rsidP="00525604">
      <w:pPr>
        <w:tabs>
          <w:tab w:val="left" w:pos="709"/>
          <w:tab w:val="left" w:pos="3500"/>
        </w:tabs>
        <w:jc w:val="both"/>
        <w:rPr>
          <w:rFonts w:eastAsia="Batang"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jc w:val="both"/>
        <w:rPr>
          <w:rFonts w:eastAsia="Batang" w:cs="Arial"/>
          <w:szCs w:val="20"/>
          <w:u w:val="single"/>
          <w:lang w:val="es-ES_tradnl"/>
        </w:rPr>
      </w:pPr>
    </w:p>
    <w:p w:rsidR="00525604" w:rsidRPr="00A34388" w:rsidRDefault="00525604" w:rsidP="00525604">
      <w:pPr>
        <w:tabs>
          <w:tab w:val="left" w:pos="709"/>
        </w:tabs>
        <w:jc w:val="both"/>
        <w:rPr>
          <w:lang w:val="es-ES_tradnl"/>
        </w:rPr>
      </w:pPr>
      <w:r w:rsidRPr="00A34388">
        <w:rPr>
          <w:lang w:val="es-ES_tradnl"/>
        </w:rPr>
        <w:t>5.15.</w:t>
      </w:r>
      <w:r w:rsidRPr="00A34388">
        <w:rPr>
          <w:lang w:val="es-ES_tradnl"/>
        </w:rPr>
        <w:tab/>
      </w:r>
      <w:r w:rsidR="0030737C" w:rsidRPr="00A34388">
        <w:rPr>
          <w:lang w:val="es-ES_tradnl"/>
        </w:rPr>
        <w:t xml:space="preserve">En el marco del </w:t>
      </w:r>
      <w:r w:rsidRPr="00A34388">
        <w:rPr>
          <w:lang w:val="es-ES_tradnl"/>
        </w:rPr>
        <w:t xml:space="preserve">resultado II.4 (Mejora del funcionamiento de la Oficina Internacional), la mejora de la productividad permitió una mayor eficiencia y </w:t>
      </w:r>
      <w:r w:rsidR="00824743" w:rsidRPr="00A34388">
        <w:rPr>
          <w:lang w:val="es-ES_tradnl"/>
        </w:rPr>
        <w:t xml:space="preserve">una </w:t>
      </w:r>
      <w:r w:rsidRPr="00A34388">
        <w:rPr>
          <w:lang w:val="es-ES_tradnl"/>
        </w:rPr>
        <w:t xml:space="preserve">reducción general de costos por lo que respecta a la tramitación de las solicitudes internacionales.  Además, los gastos globales en traducción fueron inferiores a </w:t>
      </w:r>
      <w:r w:rsidR="00824743" w:rsidRPr="00A34388">
        <w:rPr>
          <w:lang w:val="es-ES_tradnl"/>
        </w:rPr>
        <w:t xml:space="preserve">los consignados en el </w:t>
      </w:r>
      <w:r w:rsidRPr="00A34388">
        <w:rPr>
          <w:lang w:val="es-ES_tradnl"/>
        </w:rPr>
        <w:t xml:space="preserve">presupuesto después de las transferencias.  </w:t>
      </w:r>
    </w:p>
    <w:p w:rsidR="00525604" w:rsidRPr="00A34388" w:rsidRDefault="00525604" w:rsidP="00525604">
      <w:pPr>
        <w:pStyle w:val="ListParagraph"/>
        <w:autoSpaceDE w:val="0"/>
        <w:autoSpaceDN w:val="0"/>
        <w:ind w:left="0"/>
        <w:jc w:val="both"/>
        <w:rPr>
          <w:lang w:val="es-ES_tradnl"/>
        </w:rPr>
      </w:pPr>
    </w:p>
    <w:p w:rsidR="00525604" w:rsidRPr="00A34388" w:rsidRDefault="00525604" w:rsidP="00525604">
      <w:pPr>
        <w:pStyle w:val="ListParagraph"/>
        <w:autoSpaceDE w:val="0"/>
        <w:autoSpaceDN w:val="0"/>
        <w:ind w:left="0"/>
        <w:jc w:val="both"/>
        <w:rPr>
          <w:lang w:val="es-ES_tradnl"/>
        </w:rPr>
      </w:pPr>
    </w:p>
    <w:p w:rsidR="00525604" w:rsidRPr="00A34388" w:rsidRDefault="00525604" w:rsidP="00525604">
      <w:pPr>
        <w:rPr>
          <w:szCs w:val="20"/>
          <w:lang w:val="es-ES_tradnl"/>
        </w:rPr>
      </w:pPr>
      <w:r w:rsidRPr="00A34388">
        <w:rPr>
          <w:lang w:val="es-ES_tradnl"/>
        </w:rPr>
        <w:br w:type="page"/>
      </w:r>
    </w:p>
    <w:p w:rsidR="00525604" w:rsidRPr="00A34388" w:rsidRDefault="00525604" w:rsidP="00525604">
      <w:pPr>
        <w:jc w:val="both"/>
        <w:rPr>
          <w:rFonts w:cs="Arial"/>
          <w:b/>
          <w:sz w:val="22"/>
          <w:szCs w:val="22"/>
          <w:lang w:val="es-ES_tradnl"/>
        </w:rPr>
      </w:pPr>
      <w:r w:rsidRPr="00A34388">
        <w:rPr>
          <w:b/>
          <w:sz w:val="22"/>
          <w:lang w:val="es-ES_tradnl"/>
        </w:rPr>
        <w:lastRenderedPageBreak/>
        <w:t>Anexo</w:t>
      </w:r>
      <w:proofErr w:type="gramStart"/>
      <w:r w:rsidRPr="00A34388">
        <w:rPr>
          <w:b/>
          <w:sz w:val="22"/>
          <w:lang w:val="es-ES_tradnl"/>
        </w:rPr>
        <w:t xml:space="preserve">: </w:t>
      </w:r>
      <w:r w:rsidR="007E4D96" w:rsidRPr="00A34388">
        <w:rPr>
          <w:b/>
          <w:sz w:val="22"/>
          <w:lang w:val="es-ES_tradnl"/>
        </w:rPr>
        <w:t xml:space="preserve"> </w:t>
      </w:r>
      <w:r w:rsidRPr="00A34388">
        <w:rPr>
          <w:b/>
          <w:sz w:val="22"/>
          <w:lang w:val="es-ES_tradnl"/>
        </w:rPr>
        <w:t>Indicadores</w:t>
      </w:r>
      <w:proofErr w:type="gramEnd"/>
      <w:r w:rsidRPr="00A34388">
        <w:rPr>
          <w:b/>
          <w:sz w:val="22"/>
          <w:lang w:val="es-ES_tradnl"/>
        </w:rPr>
        <w:t xml:space="preserve"> del funcionamiento del PCT</w:t>
      </w:r>
    </w:p>
    <w:p w:rsidR="00525604" w:rsidRPr="00FF125D" w:rsidRDefault="00525604" w:rsidP="00525604">
      <w:pPr>
        <w:jc w:val="both"/>
        <w:rPr>
          <w:rFonts w:cs="Arial"/>
          <w:szCs w:val="20"/>
          <w:lang w:val="es-ES_tradnl"/>
        </w:rPr>
      </w:pPr>
    </w:p>
    <w:p w:rsidR="00525604" w:rsidRPr="00FF125D" w:rsidRDefault="00525604" w:rsidP="00525604">
      <w:pPr>
        <w:rPr>
          <w:rFonts w:cs="Arial"/>
          <w:szCs w:val="20"/>
          <w:lang w:val="es-ES_tradnl"/>
        </w:rPr>
      </w:pPr>
    </w:p>
    <w:p w:rsidR="00525604" w:rsidRPr="00A34388" w:rsidRDefault="00525604" w:rsidP="00525604">
      <w:pPr>
        <w:jc w:val="center"/>
        <w:rPr>
          <w:rFonts w:cs="Arial"/>
          <w:b/>
          <w:sz w:val="22"/>
          <w:szCs w:val="22"/>
          <w:lang w:val="es-ES_tradnl"/>
        </w:rPr>
      </w:pPr>
      <w:r w:rsidRPr="00332758">
        <w:rPr>
          <w:b/>
          <w:sz w:val="22"/>
          <w:lang w:val="es-ES_tradnl"/>
        </w:rPr>
        <w:t>Indicadores de rendimiento con respecto al resultado previsto</w:t>
      </w:r>
      <w:r w:rsidRPr="00A34388">
        <w:rPr>
          <w:b/>
          <w:sz w:val="22"/>
          <w:lang w:val="es-ES_tradnl"/>
        </w:rPr>
        <w:t xml:space="preserve"> </w:t>
      </w:r>
    </w:p>
    <w:p w:rsidR="00525604" w:rsidRPr="00A34388" w:rsidRDefault="00525604" w:rsidP="00525604">
      <w:pPr>
        <w:jc w:val="center"/>
        <w:rPr>
          <w:rFonts w:cs="Arial"/>
          <w:b/>
          <w:sz w:val="22"/>
          <w:szCs w:val="22"/>
          <w:lang w:val="es-ES_tradnl"/>
        </w:rPr>
      </w:pPr>
      <w:r w:rsidRPr="00332758">
        <w:rPr>
          <w:b/>
          <w:sz w:val="22"/>
          <w:lang w:val="es-ES_tradnl"/>
        </w:rPr>
        <w:t>Mejora del funcionamiento de la Oficina Internacional</w:t>
      </w:r>
    </w:p>
    <w:p w:rsidR="00525604" w:rsidRPr="00A34388" w:rsidRDefault="00525604" w:rsidP="00525604">
      <w:pPr>
        <w:jc w:val="center"/>
        <w:rPr>
          <w:rFonts w:cs="Arial"/>
          <w:b/>
          <w:sz w:val="22"/>
          <w:szCs w:val="22"/>
          <w:lang w:val="es-ES_tradnl"/>
        </w:rPr>
      </w:pPr>
    </w:p>
    <w:p w:rsidR="00525604" w:rsidRPr="00FF125D" w:rsidRDefault="00525604" w:rsidP="00525604">
      <w:pPr>
        <w:rPr>
          <w:rFonts w:cs="Arial"/>
          <w:szCs w:val="20"/>
          <w:lang w:val="es-ES_tradnl"/>
        </w:rPr>
      </w:pPr>
    </w:p>
    <w:p w:rsidR="00525604" w:rsidRPr="00332758" w:rsidRDefault="00525604" w:rsidP="00525604">
      <w:pPr>
        <w:rPr>
          <w:rFonts w:cs="Arial"/>
          <w:b/>
          <w:sz w:val="22"/>
          <w:szCs w:val="22"/>
          <w:lang w:val="es-ES_tradnl"/>
        </w:rPr>
      </w:pPr>
      <w:r w:rsidRPr="00332758">
        <w:rPr>
          <w:b/>
          <w:sz w:val="22"/>
          <w:lang w:val="es-ES_tradnl"/>
        </w:rPr>
        <w:t>Antecedentes</w:t>
      </w:r>
    </w:p>
    <w:p w:rsidR="00525604" w:rsidRPr="00FF125D" w:rsidRDefault="00525604" w:rsidP="00525604">
      <w:pPr>
        <w:rPr>
          <w:rFonts w:cs="Arial"/>
          <w:szCs w:val="20"/>
          <w:lang w:val="es-ES_tradnl"/>
        </w:rPr>
      </w:pPr>
    </w:p>
    <w:p w:rsidR="00525604" w:rsidRPr="00A34388" w:rsidRDefault="00525604" w:rsidP="00525604">
      <w:pPr>
        <w:rPr>
          <w:rFonts w:cs="Arial"/>
          <w:szCs w:val="20"/>
          <w:lang w:val="es-ES_tradnl"/>
        </w:rPr>
      </w:pPr>
      <w:r w:rsidRPr="00A34388">
        <w:rPr>
          <w:lang w:val="es-ES_tradnl"/>
        </w:rPr>
        <w:t>Como referencia de los indicadores de rendimiento en lo que respecta al resultado previsto “Mejora del funcionamiento de la Oficina Internacional”, puede ser útil considerar la evolución de los siguientes factores:</w:t>
      </w:r>
    </w:p>
    <w:p w:rsidR="00525604" w:rsidRPr="00A34388" w:rsidRDefault="00525604" w:rsidP="00525604">
      <w:pPr>
        <w:rPr>
          <w:rFonts w:cs="Arial"/>
          <w:szCs w:val="20"/>
          <w:lang w:val="es-ES_tradnl"/>
        </w:rPr>
      </w:pPr>
    </w:p>
    <w:p w:rsidR="00525604" w:rsidRPr="00A34388" w:rsidRDefault="00525604" w:rsidP="00525604">
      <w:pPr>
        <w:numPr>
          <w:ilvl w:val="0"/>
          <w:numId w:val="13"/>
        </w:numPr>
        <w:rPr>
          <w:rFonts w:cs="Arial"/>
          <w:szCs w:val="20"/>
          <w:lang w:val="es-ES_tradnl"/>
        </w:rPr>
      </w:pPr>
      <w:r w:rsidRPr="00332758">
        <w:rPr>
          <w:lang w:val="es-ES_tradnl"/>
        </w:rPr>
        <w:t>Volumen de trabajo del PCT;</w:t>
      </w:r>
    </w:p>
    <w:p w:rsidR="00525604" w:rsidRPr="00A34388" w:rsidRDefault="00525604" w:rsidP="00525604">
      <w:pPr>
        <w:numPr>
          <w:ilvl w:val="0"/>
          <w:numId w:val="13"/>
        </w:numPr>
        <w:rPr>
          <w:rFonts w:cs="Arial"/>
          <w:szCs w:val="20"/>
          <w:lang w:val="es-ES_tradnl"/>
        </w:rPr>
      </w:pPr>
      <w:r w:rsidRPr="00332758">
        <w:rPr>
          <w:lang w:val="es-ES_tradnl"/>
        </w:rPr>
        <w:t>Distribución de idiomas con respecto al volumen de trabajo;  y</w:t>
      </w:r>
    </w:p>
    <w:p w:rsidR="00525604" w:rsidRPr="00A34388" w:rsidRDefault="00525604" w:rsidP="00525604">
      <w:pPr>
        <w:numPr>
          <w:ilvl w:val="0"/>
          <w:numId w:val="13"/>
        </w:numPr>
        <w:rPr>
          <w:rFonts w:cs="Arial"/>
          <w:szCs w:val="20"/>
          <w:lang w:val="es-ES_tradnl"/>
        </w:rPr>
      </w:pPr>
      <w:r w:rsidRPr="00332758">
        <w:rPr>
          <w:lang w:val="es-ES_tradnl"/>
        </w:rPr>
        <w:t>Personal asignado para gestionar el volumen de trabajo.</w:t>
      </w:r>
    </w:p>
    <w:p w:rsidR="00525604" w:rsidRPr="00A34388" w:rsidRDefault="00525604" w:rsidP="00525604">
      <w:pPr>
        <w:rPr>
          <w:rFonts w:cs="Arial"/>
          <w:szCs w:val="20"/>
          <w:lang w:val="es-ES_tradnl"/>
        </w:rPr>
      </w:pPr>
    </w:p>
    <w:p w:rsidR="00525604" w:rsidRPr="00332758" w:rsidRDefault="00525604" w:rsidP="00525604">
      <w:pPr>
        <w:rPr>
          <w:rFonts w:cs="Arial"/>
          <w:i/>
          <w:szCs w:val="20"/>
          <w:lang w:val="es-ES_tradnl"/>
        </w:rPr>
      </w:pPr>
      <w:r w:rsidRPr="00332758">
        <w:rPr>
          <w:i/>
          <w:lang w:val="es-ES_tradnl"/>
        </w:rPr>
        <w:t>Volumen de trabajo</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r w:rsidRPr="00332758">
        <w:rPr>
          <w:lang w:val="es-ES_tradnl"/>
        </w:rPr>
        <w:t>La evolución del volumen de trabajo se analiza a partir del número de ejemplares que la Oficina Internacional recibe anualmente</w:t>
      </w:r>
      <w:r w:rsidRPr="00332758">
        <w:rPr>
          <w:rStyle w:val="FootnoteReference"/>
          <w:lang w:val="es-ES_tradnl"/>
        </w:rPr>
        <w:footnoteReference w:id="7"/>
      </w:r>
      <w:r w:rsidRPr="00332758">
        <w:rPr>
          <w:lang w:val="es-ES_tradnl"/>
        </w:rPr>
        <w:t>.</w:t>
      </w:r>
    </w:p>
    <w:p w:rsidR="00525604" w:rsidRPr="00A34388" w:rsidRDefault="00525604" w:rsidP="00525604">
      <w:pPr>
        <w:rPr>
          <w:rFonts w:cs="Arial"/>
          <w:szCs w:val="20"/>
          <w:lang w:val="es-ES_tradnl"/>
        </w:rPr>
      </w:pPr>
    </w:p>
    <w:p w:rsidR="00525604" w:rsidRPr="00A34388" w:rsidRDefault="00525604" w:rsidP="00525604">
      <w:pPr>
        <w:spacing w:after="120"/>
        <w:jc w:val="center"/>
        <w:rPr>
          <w:rFonts w:cs="Arial"/>
          <w:sz w:val="22"/>
          <w:szCs w:val="22"/>
          <w:lang w:val="es-ES_tradnl"/>
        </w:rPr>
      </w:pPr>
      <w:r w:rsidRPr="00A34388">
        <w:rPr>
          <w:rFonts w:cs="Arial"/>
          <w:noProof/>
          <w:sz w:val="22"/>
          <w:szCs w:val="22"/>
        </w:rPr>
        <w:drawing>
          <wp:inline distT="0" distB="0" distL="0" distR="0" wp14:anchorId="0B6D75D8" wp14:editId="014E8756">
            <wp:extent cx="5758815" cy="262318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815" cy="2623185"/>
                    </a:xfrm>
                    <a:prstGeom prst="rect">
                      <a:avLst/>
                    </a:prstGeom>
                    <a:noFill/>
                  </pic:spPr>
                </pic:pic>
              </a:graphicData>
            </a:graphic>
          </wp:inline>
        </w:drawing>
      </w:r>
    </w:p>
    <w:p w:rsidR="00525604" w:rsidRPr="00A34388" w:rsidRDefault="00525604" w:rsidP="00525604">
      <w:pPr>
        <w:spacing w:after="120"/>
        <w:jc w:val="center"/>
        <w:rPr>
          <w:rFonts w:cs="Arial"/>
          <w:b/>
          <w:color w:val="008080"/>
          <w:kern w:val="28"/>
          <w:szCs w:val="20"/>
          <w:lang w:val="es-ES_tradnl"/>
        </w:rPr>
      </w:pPr>
    </w:p>
    <w:p w:rsidR="00525604" w:rsidRPr="00A34388" w:rsidRDefault="00525604" w:rsidP="00525604">
      <w:pPr>
        <w:pStyle w:val="BodyText2"/>
        <w:numPr>
          <w:ilvl w:val="0"/>
          <w:numId w:val="11"/>
        </w:numPr>
        <w:spacing w:after="0" w:line="240" w:lineRule="auto"/>
        <w:jc w:val="both"/>
        <w:rPr>
          <w:rFonts w:cs="Arial"/>
          <w:szCs w:val="20"/>
          <w:lang w:val="es-ES_tradnl"/>
        </w:rPr>
      </w:pPr>
      <w:r w:rsidRPr="00332758">
        <w:rPr>
          <w:lang w:val="es-ES_tradnl"/>
        </w:rPr>
        <w:t>La Oficina Internacional recibió aproximadamente 202.700 ejemplares originales en 2013, lo que supone un incremento del 3% con respecto a 2012.</w:t>
      </w:r>
      <w:r w:rsidRPr="00A34388">
        <w:rPr>
          <w:lang w:val="es-ES_tradnl"/>
        </w:rPr>
        <w:t xml:space="preserve">  </w:t>
      </w:r>
    </w:p>
    <w:p w:rsidR="00525604" w:rsidRPr="00A34388" w:rsidRDefault="00525604" w:rsidP="00525604">
      <w:pPr>
        <w:pStyle w:val="BodyText2"/>
        <w:spacing w:after="0" w:line="240" w:lineRule="auto"/>
        <w:ind w:left="360"/>
        <w:jc w:val="both"/>
        <w:rPr>
          <w:rFonts w:cs="Arial"/>
          <w:szCs w:val="20"/>
          <w:lang w:val="es-ES_tradnl"/>
        </w:rPr>
      </w:pPr>
    </w:p>
    <w:p w:rsidR="00525604" w:rsidRPr="00A34388" w:rsidRDefault="00525604" w:rsidP="00525604">
      <w:pPr>
        <w:pStyle w:val="BodyText2"/>
        <w:numPr>
          <w:ilvl w:val="0"/>
          <w:numId w:val="11"/>
        </w:numPr>
        <w:spacing w:after="0" w:line="240" w:lineRule="auto"/>
        <w:jc w:val="both"/>
        <w:rPr>
          <w:rFonts w:cs="Arial"/>
          <w:szCs w:val="20"/>
          <w:lang w:val="es-ES_tradnl"/>
        </w:rPr>
      </w:pPr>
      <w:r w:rsidRPr="00332758">
        <w:rPr>
          <w:lang w:val="es-ES_tradnl"/>
        </w:rPr>
        <w:t>En 2013 siguió aumentando el porcentaje de solicitudes presentadas íntegramente por medios electrónicos, que actualmente constituye el 89% de todas las solicitudes presentadas.</w:t>
      </w:r>
    </w:p>
    <w:p w:rsidR="00525604" w:rsidRPr="00A34388" w:rsidRDefault="00525604" w:rsidP="00525604">
      <w:pPr>
        <w:pStyle w:val="BodyText2"/>
        <w:spacing w:after="0" w:line="240" w:lineRule="auto"/>
        <w:jc w:val="both"/>
        <w:rPr>
          <w:rFonts w:cs="Arial"/>
          <w:szCs w:val="20"/>
          <w:lang w:val="es-ES_tradnl"/>
        </w:rPr>
      </w:pPr>
    </w:p>
    <w:p w:rsidR="00525604" w:rsidRPr="00A34388" w:rsidRDefault="00525604" w:rsidP="00525604">
      <w:pPr>
        <w:pStyle w:val="BodyText2"/>
        <w:spacing w:after="0" w:line="240" w:lineRule="auto"/>
        <w:jc w:val="both"/>
        <w:rPr>
          <w:rFonts w:cs="Arial"/>
          <w:szCs w:val="20"/>
          <w:lang w:val="es-ES_tradnl"/>
        </w:rPr>
      </w:pPr>
    </w:p>
    <w:p w:rsidR="008372FC" w:rsidRPr="00332758" w:rsidRDefault="008372FC">
      <w:pPr>
        <w:rPr>
          <w:i/>
          <w:lang w:val="es-ES_tradnl"/>
        </w:rPr>
      </w:pPr>
      <w:r w:rsidRPr="00332758">
        <w:rPr>
          <w:i/>
          <w:lang w:val="es-ES_tradnl"/>
        </w:rPr>
        <w:br w:type="page"/>
      </w:r>
    </w:p>
    <w:p w:rsidR="00525604" w:rsidRPr="00332758" w:rsidRDefault="00525604" w:rsidP="00525604">
      <w:pPr>
        <w:pStyle w:val="BodyText2"/>
        <w:spacing w:after="0" w:line="240" w:lineRule="auto"/>
        <w:jc w:val="both"/>
        <w:rPr>
          <w:rFonts w:cs="Arial"/>
          <w:i/>
          <w:szCs w:val="20"/>
          <w:lang w:val="es-ES_tradnl"/>
        </w:rPr>
      </w:pPr>
      <w:r w:rsidRPr="00332758">
        <w:rPr>
          <w:i/>
          <w:lang w:val="es-ES_tradnl"/>
        </w:rPr>
        <w:lastRenderedPageBreak/>
        <w:t>Distribución de idiomas</w:t>
      </w:r>
    </w:p>
    <w:p w:rsidR="00525604" w:rsidRPr="00A34388" w:rsidRDefault="00525604" w:rsidP="00525604">
      <w:pPr>
        <w:pStyle w:val="BodyText2"/>
        <w:spacing w:after="0" w:line="240" w:lineRule="auto"/>
        <w:ind w:left="360"/>
        <w:jc w:val="both"/>
        <w:rPr>
          <w:rFonts w:cs="Arial"/>
          <w:szCs w:val="20"/>
          <w:lang w:val="es-ES_tradnl"/>
        </w:rPr>
      </w:pPr>
    </w:p>
    <w:p w:rsidR="00525604" w:rsidRPr="00A34388" w:rsidRDefault="00525604" w:rsidP="00525604">
      <w:pPr>
        <w:pStyle w:val="BodyText2"/>
        <w:spacing w:after="0" w:line="240" w:lineRule="auto"/>
        <w:jc w:val="both"/>
        <w:rPr>
          <w:rFonts w:cs="Arial"/>
          <w:szCs w:val="20"/>
          <w:lang w:val="es-ES_tradnl"/>
        </w:rPr>
      </w:pPr>
      <w:r w:rsidRPr="00332758">
        <w:rPr>
          <w:lang w:val="es-ES_tradnl"/>
        </w:rPr>
        <w:t>Uno de los factores fundamentales del cambio en el funcionamiento de la Oficina Internacional es la creciente diversidad lingüística de las solicitudes presentadas como consecuencia, principalmente, del uso cada vez mayor del sistema del PCT en los países del este asiático.</w:t>
      </w:r>
      <w:r w:rsidRPr="00A34388">
        <w:rPr>
          <w:lang w:val="es-ES_tradnl"/>
        </w:rPr>
        <w:t xml:space="preserve"> </w:t>
      </w:r>
    </w:p>
    <w:p w:rsidR="00525604" w:rsidRPr="00A34388" w:rsidRDefault="00525604" w:rsidP="00525604">
      <w:pPr>
        <w:jc w:val="both"/>
        <w:rPr>
          <w:rFonts w:cs="Arial"/>
          <w:sz w:val="22"/>
          <w:szCs w:val="22"/>
          <w:lang w:val="es-ES_tradnl"/>
        </w:rPr>
      </w:pPr>
      <w:r w:rsidRPr="00A34388">
        <w:rPr>
          <w:rFonts w:cs="Arial"/>
          <w:noProof/>
          <w:sz w:val="22"/>
          <w:szCs w:val="22"/>
        </w:rPr>
        <w:drawing>
          <wp:inline distT="0" distB="0" distL="0" distR="0" wp14:anchorId="3CAA93A2" wp14:editId="76EE79D4">
            <wp:extent cx="5775960" cy="2904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5960" cy="2904490"/>
                    </a:xfrm>
                    <a:prstGeom prst="rect">
                      <a:avLst/>
                    </a:prstGeom>
                    <a:noFill/>
                  </pic:spPr>
                </pic:pic>
              </a:graphicData>
            </a:graphic>
          </wp:inline>
        </w:drawing>
      </w:r>
    </w:p>
    <w:p w:rsidR="00525604" w:rsidRPr="00A34388" w:rsidRDefault="00525604" w:rsidP="00525604">
      <w:pPr>
        <w:spacing w:after="120"/>
        <w:rPr>
          <w:rFonts w:cs="Arial"/>
          <w:sz w:val="22"/>
          <w:szCs w:val="22"/>
          <w:lang w:val="es-ES_tradnl"/>
        </w:rPr>
      </w:pPr>
    </w:p>
    <w:p w:rsidR="00525604" w:rsidRPr="00A34388" w:rsidRDefault="00525604" w:rsidP="00525604">
      <w:pPr>
        <w:spacing w:after="120"/>
        <w:rPr>
          <w:rFonts w:cs="Arial"/>
          <w:szCs w:val="20"/>
          <w:lang w:val="es-ES_tradnl"/>
        </w:rPr>
      </w:pPr>
      <w:r w:rsidRPr="00332758">
        <w:rPr>
          <w:lang w:val="es-ES_tradnl"/>
        </w:rPr>
        <w:t>Como puede observarse en el gráfico, aunque el inglés sigue siendo con diferencia el idioma predominante en la presentación de solicitudes, su importancia ha disminuido con relación al japonés, al chino y al coreano.</w:t>
      </w:r>
      <w:r w:rsidRPr="00A34388">
        <w:rPr>
          <w:lang w:val="es-ES_tradnl"/>
        </w:rPr>
        <w:t xml:space="preserve"> </w:t>
      </w:r>
      <w:r w:rsidRPr="00332758">
        <w:rPr>
          <w:lang w:val="es-ES_tradnl"/>
        </w:rPr>
        <w:t>El porcentaje combinado de solicitudes PCT presentadas en japonés, chino y coreano ha crecido del 29% en 2010 al 35% en 2013.</w:t>
      </w:r>
      <w:r w:rsidRPr="00A34388">
        <w:rPr>
          <w:lang w:val="es-ES_tradnl"/>
        </w:rPr>
        <w:t xml:space="preserve"> </w:t>
      </w:r>
      <w:r w:rsidRPr="00332758">
        <w:rPr>
          <w:lang w:val="es-ES_tradnl"/>
        </w:rPr>
        <w:t>En el siguiente gráfico se presenta la evolución de otros idiomas distintos al inglés en la presentación de solicitudes:</w:t>
      </w:r>
    </w:p>
    <w:p w:rsidR="00525604" w:rsidRPr="00A34388" w:rsidRDefault="00525604" w:rsidP="00525604">
      <w:pPr>
        <w:spacing w:after="120"/>
        <w:rPr>
          <w:rFonts w:cs="Arial"/>
          <w:sz w:val="22"/>
          <w:szCs w:val="22"/>
          <w:lang w:val="es-ES_tradnl"/>
        </w:rPr>
      </w:pPr>
      <w:r w:rsidRPr="00A34388">
        <w:rPr>
          <w:rFonts w:cs="Arial"/>
          <w:noProof/>
          <w:sz w:val="22"/>
          <w:szCs w:val="22"/>
        </w:rPr>
        <w:drawing>
          <wp:inline distT="0" distB="0" distL="0" distR="0" wp14:anchorId="35C4A65D" wp14:editId="542F0A49">
            <wp:extent cx="5849620" cy="3284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9620" cy="3284855"/>
                    </a:xfrm>
                    <a:prstGeom prst="rect">
                      <a:avLst/>
                    </a:prstGeom>
                    <a:noFill/>
                  </pic:spPr>
                </pic:pic>
              </a:graphicData>
            </a:graphic>
          </wp:inline>
        </w:drawing>
      </w:r>
    </w:p>
    <w:p w:rsidR="00525604" w:rsidRPr="00A34388" w:rsidRDefault="00525604" w:rsidP="00525604">
      <w:pPr>
        <w:spacing w:after="120"/>
        <w:rPr>
          <w:rFonts w:cs="Arial"/>
          <w:szCs w:val="20"/>
          <w:lang w:val="es-ES_tradnl"/>
        </w:rPr>
      </w:pPr>
      <w:r w:rsidRPr="00332758">
        <w:rPr>
          <w:lang w:val="es-ES_tradnl"/>
        </w:rPr>
        <w:t>La evolución en el uso de los idiomas supone una carga de trabajo considerable para la Oficina Internacional, ya que lleva muchos años adaptar la composición lingüística del personal encargado del PCT.</w:t>
      </w:r>
    </w:p>
    <w:p w:rsidR="00525604" w:rsidRPr="00A34388" w:rsidRDefault="00525604" w:rsidP="00525604">
      <w:pPr>
        <w:spacing w:after="120"/>
        <w:rPr>
          <w:rFonts w:cs="Arial"/>
          <w:i/>
          <w:szCs w:val="20"/>
          <w:lang w:val="es-ES_tradnl"/>
        </w:rPr>
      </w:pPr>
    </w:p>
    <w:p w:rsidR="008372FC" w:rsidRPr="00332758" w:rsidRDefault="008372FC">
      <w:pPr>
        <w:rPr>
          <w:i/>
          <w:lang w:val="es-ES_tradnl"/>
        </w:rPr>
      </w:pPr>
      <w:r w:rsidRPr="00332758">
        <w:rPr>
          <w:i/>
          <w:lang w:val="es-ES_tradnl"/>
        </w:rPr>
        <w:br w:type="page"/>
      </w:r>
    </w:p>
    <w:p w:rsidR="00525604" w:rsidRPr="00332758" w:rsidRDefault="00525604" w:rsidP="00525604">
      <w:pPr>
        <w:spacing w:after="120"/>
        <w:rPr>
          <w:rFonts w:cs="Arial"/>
          <w:i/>
          <w:szCs w:val="20"/>
          <w:lang w:val="es-ES_tradnl"/>
        </w:rPr>
      </w:pPr>
      <w:r w:rsidRPr="00332758">
        <w:rPr>
          <w:i/>
          <w:lang w:val="es-ES_tradnl"/>
        </w:rPr>
        <w:lastRenderedPageBreak/>
        <w:t>Personal</w:t>
      </w:r>
    </w:p>
    <w:p w:rsidR="00525604" w:rsidRPr="00A34388" w:rsidRDefault="00525604" w:rsidP="00525604">
      <w:pPr>
        <w:pStyle w:val="BodyText2"/>
        <w:spacing w:after="0" w:line="240" w:lineRule="auto"/>
        <w:rPr>
          <w:rFonts w:cs="Arial"/>
          <w:szCs w:val="20"/>
          <w:lang w:val="es-ES_tradnl"/>
        </w:rPr>
      </w:pPr>
      <w:r w:rsidRPr="00332758">
        <w:rPr>
          <w:lang w:val="es-ES_tradnl"/>
        </w:rPr>
        <w:t>El siguiente gráfico muestra el número de miembros del personal encargados del funcionamiento del PCT desde 2001, expresado en equivalente de puestos a jornada completa (número de miembros del personal a jornada completa más el equivalente de puestos a jornada completa de miembros del personal a jornada parcial).</w:t>
      </w:r>
    </w:p>
    <w:p w:rsidR="00525604" w:rsidRPr="00A34388" w:rsidRDefault="00525604" w:rsidP="00525604">
      <w:pPr>
        <w:jc w:val="center"/>
        <w:rPr>
          <w:rFonts w:cs="Arial"/>
          <w:sz w:val="22"/>
          <w:szCs w:val="22"/>
          <w:lang w:val="es-ES_tradnl"/>
        </w:rPr>
      </w:pPr>
      <w:r w:rsidRPr="00A34388">
        <w:rPr>
          <w:rFonts w:cs="Arial"/>
          <w:noProof/>
          <w:sz w:val="22"/>
          <w:szCs w:val="22"/>
        </w:rPr>
        <w:drawing>
          <wp:inline distT="0" distB="0" distL="0" distR="0" wp14:anchorId="2BAA7DD2" wp14:editId="46A998F6">
            <wp:extent cx="6023610" cy="3286125"/>
            <wp:effectExtent l="0" t="0" r="0" b="952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3610" cy="3286125"/>
                    </a:xfrm>
                    <a:prstGeom prst="rect">
                      <a:avLst/>
                    </a:prstGeom>
                    <a:noFill/>
                  </pic:spPr>
                </pic:pic>
              </a:graphicData>
            </a:graphic>
          </wp:inline>
        </w:drawing>
      </w:r>
    </w:p>
    <w:p w:rsidR="00525604" w:rsidRPr="00A34388" w:rsidRDefault="00525604" w:rsidP="00525604">
      <w:pPr>
        <w:rPr>
          <w:rFonts w:cs="Arial"/>
          <w:szCs w:val="20"/>
          <w:lang w:val="es-ES_tradnl"/>
        </w:rPr>
      </w:pPr>
    </w:p>
    <w:p w:rsidR="00525604" w:rsidRPr="00A34388" w:rsidRDefault="004D0911" w:rsidP="000557C0">
      <w:pPr>
        <w:numPr>
          <w:ilvl w:val="0"/>
          <w:numId w:val="12"/>
        </w:numPr>
        <w:jc w:val="both"/>
        <w:rPr>
          <w:rFonts w:cs="Arial"/>
          <w:szCs w:val="20"/>
          <w:lang w:val="es-ES_tradnl"/>
        </w:rPr>
      </w:pPr>
      <w:r w:rsidRPr="00A34388">
        <w:rPr>
          <w:lang w:val="es-ES_tradnl"/>
        </w:rPr>
        <w:t>En 2013, e</w:t>
      </w:r>
      <w:r w:rsidR="00525604" w:rsidRPr="00A34388">
        <w:rPr>
          <w:lang w:val="es-ES_tradnl"/>
        </w:rPr>
        <w:t xml:space="preserve">l personal </w:t>
      </w:r>
      <w:r w:rsidRPr="00A34388">
        <w:rPr>
          <w:lang w:val="es-ES_tradnl"/>
        </w:rPr>
        <w:t xml:space="preserve">a cargo del funcionamiento del </w:t>
      </w:r>
      <w:r w:rsidR="00525604" w:rsidRPr="00A34388">
        <w:rPr>
          <w:lang w:val="es-ES_tradnl"/>
        </w:rPr>
        <w:t xml:space="preserve">PCT </w:t>
      </w:r>
      <w:r w:rsidRPr="00A34388">
        <w:rPr>
          <w:lang w:val="es-ES_tradnl"/>
        </w:rPr>
        <w:t xml:space="preserve">experimentó </w:t>
      </w:r>
      <w:r w:rsidR="00DF1B32" w:rsidRPr="00A34388">
        <w:rPr>
          <w:lang w:val="es-ES_tradnl"/>
        </w:rPr>
        <w:t xml:space="preserve">una reducción de casi </w:t>
      </w:r>
      <w:r w:rsidR="00774086">
        <w:rPr>
          <w:lang w:val="es-ES_tradnl"/>
        </w:rPr>
        <w:t>un </w:t>
      </w:r>
      <w:r w:rsidR="00525604" w:rsidRPr="00A34388">
        <w:rPr>
          <w:lang w:val="es-ES_tradnl"/>
        </w:rPr>
        <w:t>3% con respecto a 2012.</w:t>
      </w:r>
    </w:p>
    <w:p w:rsidR="00525604" w:rsidRPr="00A34388" w:rsidRDefault="00525604" w:rsidP="00525604">
      <w:pPr>
        <w:spacing w:after="120"/>
        <w:rPr>
          <w:rFonts w:cs="Arial"/>
          <w:szCs w:val="20"/>
          <w:u w:val="single"/>
          <w:lang w:val="es-ES_tradnl"/>
        </w:rPr>
      </w:pPr>
    </w:p>
    <w:p w:rsidR="00525604" w:rsidRPr="00A34388" w:rsidRDefault="00525604" w:rsidP="00525604">
      <w:pPr>
        <w:rPr>
          <w:rFonts w:cs="Arial"/>
          <w:b/>
          <w:szCs w:val="20"/>
          <w:lang w:val="es-ES_tradnl"/>
        </w:rPr>
      </w:pPr>
      <w:r w:rsidRPr="00A34388">
        <w:rPr>
          <w:b/>
          <w:color w:val="000000"/>
          <w:lang w:val="es-ES_tradnl"/>
        </w:rPr>
        <w:t>Costo unitario de tramitación de las solicitudes</w:t>
      </w:r>
    </w:p>
    <w:p w:rsidR="00525604" w:rsidRPr="00A34388" w:rsidRDefault="00525604" w:rsidP="00525604">
      <w:pPr>
        <w:rPr>
          <w:rFonts w:cs="Arial"/>
          <w:szCs w:val="20"/>
          <w:lang w:val="es-ES_tradnl"/>
        </w:rPr>
      </w:pPr>
    </w:p>
    <w:p w:rsidR="00525604" w:rsidRPr="00A34388" w:rsidRDefault="00525604" w:rsidP="00525604">
      <w:pPr>
        <w:jc w:val="both"/>
        <w:rPr>
          <w:rFonts w:cs="Arial"/>
          <w:szCs w:val="20"/>
          <w:lang w:val="es-ES_tradnl"/>
        </w:rPr>
      </w:pPr>
      <w:r w:rsidRPr="00332758">
        <w:rPr>
          <w:lang w:val="es-ES_tradnl"/>
        </w:rPr>
        <w:t>La productividad de la Oficina Internacional en cuanto a la tramitación de las solicitudes PCT puede medirse por el costo unitario de tramitación, definido como el costo medio total de la publicación de una solicitud PCT.</w:t>
      </w:r>
      <w:r w:rsidRPr="00A34388">
        <w:rPr>
          <w:lang w:val="es-ES_tradnl"/>
        </w:rPr>
        <w:t xml:space="preserve">  </w:t>
      </w:r>
      <w:r w:rsidRPr="00332758">
        <w:rPr>
          <w:lang w:val="es-ES_tradnl"/>
        </w:rPr>
        <w:t>El costo medio total se determina sumando el gasto total del Sistema del PCT a una parte de los gastos en concepto de actividades de apoyo y gestión. Por lo tanto, el costo unitario abarca el costo de todas las actividades del PCT, incluidas la traducción, la comunicación, la gestión, etcétera.</w:t>
      </w:r>
    </w:p>
    <w:p w:rsidR="00525604" w:rsidRPr="00A34388" w:rsidRDefault="00525604" w:rsidP="00525604">
      <w:pPr>
        <w:jc w:val="both"/>
        <w:rPr>
          <w:rFonts w:cs="Arial"/>
          <w:szCs w:val="20"/>
          <w:lang w:val="es-ES_tradnl"/>
        </w:rPr>
      </w:pPr>
    </w:p>
    <w:p w:rsidR="00525604" w:rsidRPr="00A34388" w:rsidRDefault="00525604" w:rsidP="00525604">
      <w:pPr>
        <w:jc w:val="both"/>
        <w:rPr>
          <w:rFonts w:cs="Arial"/>
          <w:szCs w:val="20"/>
          <w:lang w:val="es-ES_tradnl"/>
        </w:rPr>
      </w:pPr>
      <w:r w:rsidRPr="00A34388">
        <w:rPr>
          <w:lang w:val="es-ES_tradnl"/>
        </w:rPr>
        <w:t>El costo se compone de dos partes</w:t>
      </w:r>
      <w:proofErr w:type="gramStart"/>
      <w:r w:rsidRPr="00A34388">
        <w:rPr>
          <w:lang w:val="es-ES_tradnl"/>
        </w:rPr>
        <w:t>:</w:t>
      </w:r>
      <w:r w:rsidR="007E4D96" w:rsidRPr="00A34388">
        <w:rPr>
          <w:lang w:val="es-ES_tradnl"/>
        </w:rPr>
        <w:t xml:space="preserve"> </w:t>
      </w:r>
      <w:r w:rsidRPr="00A34388">
        <w:rPr>
          <w:lang w:val="es-ES_tradnl"/>
        </w:rPr>
        <w:t xml:space="preserve"> los</w:t>
      </w:r>
      <w:proofErr w:type="gramEnd"/>
      <w:r w:rsidRPr="00A34388">
        <w:rPr>
          <w:lang w:val="es-ES_tradnl"/>
        </w:rPr>
        <w:t xml:space="preserve"> costos directos y los indirectos. </w:t>
      </w:r>
      <w:r w:rsidR="00537926" w:rsidRPr="00A34388">
        <w:rPr>
          <w:lang w:val="es-ES_tradnl"/>
        </w:rPr>
        <w:t xml:space="preserve"> </w:t>
      </w:r>
      <w:r w:rsidRPr="00A34388">
        <w:rPr>
          <w:lang w:val="es-ES_tradnl"/>
        </w:rPr>
        <w:t xml:space="preserve">Los costos directos se corresponden con el gasto en que ha incurrido la IB por la administración del sistema PCT y programas conexos.  </w:t>
      </w:r>
      <w:r w:rsidRPr="00332758">
        <w:rPr>
          <w:lang w:val="es-ES_tradnl"/>
        </w:rPr>
        <w:t>En los costos indirectos se incluyen los gastos de las unidades de apoyo (por ejemplo, edificios, tecnología de información, etcétera.). Estos últimos se ponderan para tener en cuenta únicamente la proporción imputable al sistema del PCT.</w:t>
      </w:r>
      <w:r w:rsidRPr="00A34388">
        <w:rPr>
          <w:lang w:val="es-ES_tradnl"/>
        </w:rPr>
        <w:t xml:space="preserve"> </w:t>
      </w:r>
    </w:p>
    <w:p w:rsidR="00525604" w:rsidRPr="00A34388" w:rsidRDefault="00525604" w:rsidP="00525604">
      <w:pPr>
        <w:jc w:val="both"/>
        <w:rPr>
          <w:rFonts w:cs="Arial"/>
          <w:szCs w:val="20"/>
          <w:lang w:val="es-ES_tradnl"/>
        </w:rPr>
      </w:pPr>
    </w:p>
    <w:p w:rsidR="00525604" w:rsidRPr="00A34388" w:rsidRDefault="00525604" w:rsidP="00525604">
      <w:pPr>
        <w:jc w:val="both"/>
        <w:rPr>
          <w:rFonts w:cs="Arial"/>
          <w:szCs w:val="20"/>
          <w:lang w:val="es-ES_tradnl"/>
        </w:rPr>
      </w:pPr>
      <w:r w:rsidRPr="00A34388">
        <w:rPr>
          <w:lang w:val="es-ES_tradnl"/>
        </w:rPr>
        <w:t xml:space="preserve">El método para calcular el costo unitario fue revisado en 2013 para ponerlo en sintonía con los cálculos de costos relativos a otras unidades/uniones de la OMPI y para tener mejor en cuenta un entorno en rápida evolución. </w:t>
      </w:r>
      <w:r w:rsidR="00537926" w:rsidRPr="00A34388">
        <w:rPr>
          <w:lang w:val="es-ES_tradnl"/>
        </w:rPr>
        <w:t xml:space="preserve"> </w:t>
      </w:r>
      <w:r w:rsidRPr="00A34388">
        <w:rPr>
          <w:lang w:val="es-ES_tradnl"/>
        </w:rPr>
        <w:t xml:space="preserve">Por ejemplo, conforme al método antiguo, concebido en 2007, se tenía en cuenta un costo de almacenamiento (correspondiente a más de 30 años) en almacén; </w:t>
      </w:r>
      <w:r w:rsidR="00267DA6" w:rsidRPr="00A34388">
        <w:rPr>
          <w:lang w:val="es-ES_tradnl"/>
        </w:rPr>
        <w:t xml:space="preserve"> </w:t>
      </w:r>
      <w:r w:rsidRPr="00A34388">
        <w:rPr>
          <w:lang w:val="es-ES_tradnl"/>
        </w:rPr>
        <w:t xml:space="preserve">sin embargo, la presentación en papel (incluidas las presentaciones de solicitudes mediante el sistema PCT EASY) representaron menos del 10% de las solicitudes presentadas en 2013.  El costo unitario de 2012 fue calculado con arreglo a ambos métodos y ascendía a 680 </w:t>
      </w:r>
      <w:r w:rsidR="004B0FC4">
        <w:rPr>
          <w:lang w:val="es-ES_tradnl"/>
        </w:rPr>
        <w:t>francos suizos</w:t>
      </w:r>
      <w:r w:rsidRPr="00A34388">
        <w:rPr>
          <w:lang w:val="es-ES_tradnl"/>
        </w:rPr>
        <w:t xml:space="preserve"> conforme al método antiguo y 712 </w:t>
      </w:r>
      <w:r w:rsidR="004B0FC4">
        <w:rPr>
          <w:lang w:val="es-ES_tradnl"/>
        </w:rPr>
        <w:t>francos suizos</w:t>
      </w:r>
      <w:r w:rsidRPr="00A34388">
        <w:rPr>
          <w:lang w:val="es-ES_tradnl"/>
        </w:rPr>
        <w:t xml:space="preserve"> conforme al nuevo método. </w:t>
      </w:r>
      <w:r w:rsidR="00537926" w:rsidRPr="00A34388">
        <w:rPr>
          <w:lang w:val="es-ES_tradnl"/>
        </w:rPr>
        <w:t xml:space="preserve"> </w:t>
      </w:r>
      <w:r w:rsidRPr="00A34388">
        <w:rPr>
          <w:lang w:val="es-ES_tradnl"/>
        </w:rPr>
        <w:t xml:space="preserve">La diferencia de 32 </w:t>
      </w:r>
      <w:r w:rsidR="004B0FC4">
        <w:rPr>
          <w:lang w:val="es-ES_tradnl"/>
        </w:rPr>
        <w:t xml:space="preserve">francos suizos </w:t>
      </w:r>
      <w:r w:rsidRPr="00A34388">
        <w:rPr>
          <w:lang w:val="es-ES_tradnl"/>
        </w:rPr>
        <w:t>se debe al nuevo método de atribución de costos indirectos.</w:t>
      </w:r>
    </w:p>
    <w:p w:rsidR="00525604" w:rsidRPr="00A34388" w:rsidRDefault="00525604" w:rsidP="00525604">
      <w:pPr>
        <w:jc w:val="both"/>
        <w:rPr>
          <w:rFonts w:cs="Arial"/>
          <w:szCs w:val="20"/>
          <w:lang w:val="es-ES_tradnl"/>
        </w:rPr>
      </w:pPr>
    </w:p>
    <w:p w:rsidR="00525604" w:rsidRPr="00A34388" w:rsidRDefault="00525604" w:rsidP="00525604">
      <w:pPr>
        <w:jc w:val="both"/>
        <w:rPr>
          <w:rFonts w:cs="Arial"/>
          <w:szCs w:val="20"/>
          <w:lang w:val="es-ES_tradnl"/>
        </w:rPr>
      </w:pPr>
      <w:r w:rsidRPr="00332758">
        <w:rPr>
          <w:lang w:val="es-ES_tradnl"/>
        </w:rPr>
        <w:t>Oficialmente, el costo unitario se define de la siguiente manera:</w:t>
      </w:r>
    </w:p>
    <w:p w:rsidR="00525604" w:rsidRPr="00A34388" w:rsidRDefault="00525604" w:rsidP="00525604">
      <w:pPr>
        <w:rPr>
          <w:rFonts w:cs="Arial"/>
          <w:szCs w:val="20"/>
          <w:lang w:val="es-ES_tradnl"/>
        </w:rPr>
      </w:pPr>
    </w:p>
    <w:p w:rsidR="00525604" w:rsidRPr="00A34388" w:rsidRDefault="00525604" w:rsidP="00525604">
      <w:pPr>
        <w:jc w:val="center"/>
        <w:rPr>
          <w:rFonts w:cs="Arial"/>
          <w:snapToGrid w:val="0"/>
          <w:szCs w:val="20"/>
          <w:lang w:val="es-ES_tradnl"/>
        </w:rPr>
      </w:pPr>
      <w:r w:rsidRPr="00A34388">
        <w:rPr>
          <w:rFonts w:cs="Arial"/>
          <w:position w:val="-28"/>
          <w:szCs w:val="20"/>
          <w:lang w:val="es-ES_tradnl"/>
        </w:rPr>
        <w:object w:dxaOrig="3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pt;height:34.65pt" o:ole="" fillcolor="window">
            <v:imagedata r:id="rId44" o:title=""/>
          </v:shape>
          <o:OLEObject Type="Embed" ProgID="Equation.3" ShapeID="_x0000_i1025" DrawAspect="Content" ObjectID="_1473597625" r:id="rId45"/>
        </w:object>
      </w:r>
    </w:p>
    <w:p w:rsidR="00525604" w:rsidRPr="00A34388" w:rsidRDefault="00525604" w:rsidP="00525604">
      <w:pPr>
        <w:rPr>
          <w:rFonts w:cs="Arial"/>
          <w:szCs w:val="20"/>
          <w:lang w:val="es-ES_tradnl"/>
        </w:rPr>
      </w:pPr>
    </w:p>
    <w:p w:rsidR="00FF125D" w:rsidRDefault="00FF125D" w:rsidP="000557C0">
      <w:pPr>
        <w:jc w:val="both"/>
        <w:rPr>
          <w:lang w:val="es-ES_tradnl"/>
        </w:rPr>
      </w:pPr>
    </w:p>
    <w:p w:rsidR="00525604" w:rsidRPr="00A34388" w:rsidRDefault="00525604" w:rsidP="000557C0">
      <w:pPr>
        <w:jc w:val="both"/>
        <w:rPr>
          <w:rFonts w:cs="Arial"/>
          <w:szCs w:val="20"/>
          <w:lang w:val="es-ES_tradnl"/>
        </w:rPr>
      </w:pPr>
      <w:r w:rsidRPr="00A34388">
        <w:rPr>
          <w:lang w:val="es-ES_tradnl"/>
        </w:rPr>
        <w:t xml:space="preserve">En </w:t>
      </w:r>
      <w:r w:rsidR="004B0FC4">
        <w:rPr>
          <w:lang w:val="es-ES_tradnl"/>
        </w:rPr>
        <w:t>la Figura</w:t>
      </w:r>
      <w:r w:rsidR="004B0FC4" w:rsidRPr="00A34388">
        <w:rPr>
          <w:lang w:val="es-ES_tradnl"/>
        </w:rPr>
        <w:t xml:space="preserve"> </w:t>
      </w:r>
      <w:r w:rsidRPr="00A34388">
        <w:rPr>
          <w:lang w:val="es-ES_tradnl"/>
        </w:rPr>
        <w:t xml:space="preserve">B.1.9 se ilustra la evolución del costo unitario de tramitación desde 2004 hasta 2012 por el método antiguo y desde 2012 hasta 2013 por el método nuevo, </w:t>
      </w:r>
      <w:r w:rsidR="004D0911" w:rsidRPr="00A34388">
        <w:rPr>
          <w:lang w:val="es-ES_tradnl"/>
        </w:rPr>
        <w:t xml:space="preserve">presentándose desglosada la contribución de </w:t>
      </w:r>
      <w:r w:rsidRPr="00A34388">
        <w:rPr>
          <w:lang w:val="es-ES_tradnl"/>
        </w:rPr>
        <w:t>los costos directos e indirectos.</w:t>
      </w:r>
    </w:p>
    <w:p w:rsidR="00525604" w:rsidRPr="00FF125D" w:rsidRDefault="00525604" w:rsidP="00525604">
      <w:pPr>
        <w:rPr>
          <w:lang w:val="es-ES_tradnl"/>
        </w:rPr>
      </w:pPr>
    </w:p>
    <w:p w:rsidR="00525604" w:rsidRPr="00332758" w:rsidRDefault="00525604" w:rsidP="00FF125D">
      <w:pPr>
        <w:rPr>
          <w:b/>
          <w:lang w:val="es-ES_tradnl"/>
        </w:rPr>
      </w:pPr>
      <w:r w:rsidRPr="00332758">
        <w:rPr>
          <w:b/>
          <w:lang w:val="es-ES_tradnl"/>
        </w:rPr>
        <w:t>Figura B.1.9.:  Costo unitario de tramitación de una solicitud PCT publicada</w:t>
      </w:r>
    </w:p>
    <w:p w:rsidR="00525604" w:rsidRPr="00FF125D" w:rsidRDefault="00525604" w:rsidP="00FF125D">
      <w:pPr>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541"/>
      </w:tblGrid>
      <w:tr w:rsidR="00525604" w:rsidRPr="00A34388" w:rsidTr="00853209">
        <w:tc>
          <w:tcPr>
            <w:tcW w:w="4644" w:type="dxa"/>
            <w:shd w:val="clear" w:color="auto" w:fill="auto"/>
          </w:tcPr>
          <w:p w:rsidR="00525604" w:rsidRPr="00A34388" w:rsidRDefault="00525604" w:rsidP="00853209">
            <w:pPr>
              <w:keepNext/>
              <w:keepLines/>
              <w:jc w:val="center"/>
              <w:rPr>
                <w:lang w:val="es-ES_tradnl"/>
              </w:rPr>
            </w:pPr>
            <w:r w:rsidRPr="00A34388">
              <w:rPr>
                <w:lang w:val="es-ES_tradnl"/>
              </w:rPr>
              <w:t>Método antiguo</w:t>
            </w:r>
          </w:p>
        </w:tc>
        <w:tc>
          <w:tcPr>
            <w:tcW w:w="4645" w:type="dxa"/>
            <w:shd w:val="clear" w:color="auto" w:fill="auto"/>
          </w:tcPr>
          <w:p w:rsidR="00525604" w:rsidRPr="00A34388" w:rsidRDefault="00525604" w:rsidP="00853209">
            <w:pPr>
              <w:keepNext/>
              <w:keepLines/>
              <w:jc w:val="center"/>
              <w:rPr>
                <w:lang w:val="es-ES_tradnl"/>
              </w:rPr>
            </w:pPr>
            <w:r w:rsidRPr="00A34388">
              <w:rPr>
                <w:lang w:val="es-ES_tradnl"/>
              </w:rPr>
              <w:t>Método nuevo</w:t>
            </w:r>
          </w:p>
        </w:tc>
      </w:tr>
      <w:tr w:rsidR="00525604" w:rsidRPr="00A34388" w:rsidTr="00853209">
        <w:tc>
          <w:tcPr>
            <w:tcW w:w="4644" w:type="dxa"/>
            <w:shd w:val="clear" w:color="auto" w:fill="auto"/>
          </w:tcPr>
          <w:p w:rsidR="00525604" w:rsidRPr="00A34388" w:rsidRDefault="00525604" w:rsidP="00853209">
            <w:pPr>
              <w:rPr>
                <w:lang w:val="es-ES_tradnl"/>
              </w:rPr>
            </w:pPr>
            <w:r w:rsidRPr="00A34388">
              <w:rPr>
                <w:noProof/>
              </w:rPr>
              <w:drawing>
                <wp:inline distT="0" distB="0" distL="0" distR="0" wp14:anchorId="735DEDA1" wp14:editId="757238A3">
                  <wp:extent cx="3056890" cy="2040255"/>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6890" cy="2040255"/>
                          </a:xfrm>
                          <a:prstGeom prst="rect">
                            <a:avLst/>
                          </a:prstGeom>
                          <a:noFill/>
                          <a:ln>
                            <a:noFill/>
                          </a:ln>
                        </pic:spPr>
                      </pic:pic>
                    </a:graphicData>
                  </a:graphic>
                </wp:inline>
              </w:drawing>
            </w:r>
          </w:p>
        </w:tc>
        <w:tc>
          <w:tcPr>
            <w:tcW w:w="4645" w:type="dxa"/>
            <w:shd w:val="clear" w:color="auto" w:fill="auto"/>
          </w:tcPr>
          <w:p w:rsidR="00525604" w:rsidRPr="00A34388" w:rsidRDefault="00525604" w:rsidP="00853209">
            <w:pPr>
              <w:rPr>
                <w:lang w:val="es-ES_tradnl"/>
              </w:rPr>
            </w:pPr>
            <w:r w:rsidRPr="00A34388">
              <w:rPr>
                <w:noProof/>
              </w:rPr>
              <w:drawing>
                <wp:inline distT="0" distB="0" distL="0" distR="0" wp14:anchorId="39F3CEDC" wp14:editId="59539B52">
                  <wp:extent cx="2654300" cy="204724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4300" cy="2047240"/>
                          </a:xfrm>
                          <a:prstGeom prst="rect">
                            <a:avLst/>
                          </a:prstGeom>
                          <a:noFill/>
                          <a:ln>
                            <a:noFill/>
                          </a:ln>
                        </pic:spPr>
                      </pic:pic>
                    </a:graphicData>
                  </a:graphic>
                </wp:inline>
              </w:drawing>
            </w:r>
          </w:p>
        </w:tc>
      </w:tr>
    </w:tbl>
    <w:p w:rsidR="00525604" w:rsidRPr="00A34388" w:rsidRDefault="00525604" w:rsidP="00525604">
      <w:pPr>
        <w:rPr>
          <w:vanish/>
          <w:lang w:val="es-ES_tradnl"/>
        </w:rPr>
      </w:pPr>
    </w:p>
    <w:tbl>
      <w:tblPr>
        <w:tblW w:w="9360" w:type="dxa"/>
        <w:tblInd w:w="108" w:type="dxa"/>
        <w:tblLook w:val="04A0" w:firstRow="1" w:lastRow="0" w:firstColumn="1" w:lastColumn="0" w:noHBand="0" w:noVBand="1"/>
      </w:tblPr>
      <w:tblGrid>
        <w:gridCol w:w="9360"/>
      </w:tblGrid>
      <w:tr w:rsidR="00525604" w:rsidRPr="00E94BEA" w:rsidTr="00853209">
        <w:trPr>
          <w:trHeight w:val="255"/>
        </w:trPr>
        <w:tc>
          <w:tcPr>
            <w:tcW w:w="9360" w:type="dxa"/>
            <w:tcBorders>
              <w:top w:val="nil"/>
              <w:left w:val="nil"/>
              <w:bottom w:val="nil"/>
              <w:right w:val="nil"/>
            </w:tcBorders>
            <w:shd w:val="clear" w:color="auto" w:fill="auto"/>
            <w:noWrap/>
            <w:vAlign w:val="center"/>
            <w:hideMark/>
          </w:tcPr>
          <w:p w:rsidR="00525604" w:rsidRPr="00A34388" w:rsidRDefault="00525604" w:rsidP="00853209">
            <w:pPr>
              <w:rPr>
                <w:color w:val="000000"/>
                <w:sz w:val="15"/>
                <w:szCs w:val="15"/>
                <w:lang w:val="es-ES_tradnl"/>
              </w:rPr>
            </w:pPr>
            <w:r w:rsidRPr="00A34388">
              <w:rPr>
                <w:color w:val="000000"/>
                <w:sz w:val="15"/>
                <w:lang w:val="es-ES_tradnl"/>
              </w:rPr>
              <w:t>Fuente:</w:t>
            </w:r>
            <w:r w:rsidR="007E4D96" w:rsidRPr="00A34388">
              <w:rPr>
                <w:color w:val="000000"/>
                <w:sz w:val="15"/>
                <w:lang w:val="es-ES_tradnl"/>
              </w:rPr>
              <w:t xml:space="preserve"> </w:t>
            </w:r>
            <w:r w:rsidRPr="00A34388">
              <w:rPr>
                <w:color w:val="000000"/>
                <w:sz w:val="15"/>
                <w:lang w:val="es-ES_tradnl"/>
              </w:rPr>
              <w:t xml:space="preserve"> Base de Estadísticas de la OMPI, marzo de 2014</w:t>
            </w:r>
          </w:p>
        </w:tc>
      </w:tr>
      <w:tr w:rsidR="00525604" w:rsidRPr="00E94BEA" w:rsidTr="00853209">
        <w:trPr>
          <w:trHeight w:val="255"/>
        </w:trPr>
        <w:tc>
          <w:tcPr>
            <w:tcW w:w="9360" w:type="dxa"/>
            <w:tcBorders>
              <w:top w:val="nil"/>
              <w:left w:val="nil"/>
              <w:bottom w:val="nil"/>
              <w:right w:val="nil"/>
            </w:tcBorders>
            <w:shd w:val="clear" w:color="auto" w:fill="auto"/>
            <w:noWrap/>
            <w:vAlign w:val="center"/>
            <w:hideMark/>
          </w:tcPr>
          <w:p w:rsidR="00525604" w:rsidRPr="00A34388" w:rsidRDefault="00525604" w:rsidP="00853209">
            <w:pPr>
              <w:rPr>
                <w:color w:val="000000"/>
                <w:sz w:val="15"/>
                <w:szCs w:val="15"/>
                <w:lang w:val="es-ES_tradnl"/>
              </w:rPr>
            </w:pPr>
            <w:r w:rsidRPr="00A34388">
              <w:rPr>
                <w:color w:val="000000"/>
                <w:sz w:val="15"/>
                <w:lang w:val="es-ES_tradnl"/>
              </w:rPr>
              <w:t xml:space="preserve">Nota: </w:t>
            </w:r>
            <w:r w:rsidR="007E4D96" w:rsidRPr="00A34388">
              <w:rPr>
                <w:color w:val="000000"/>
                <w:sz w:val="15"/>
                <w:lang w:val="es-ES_tradnl"/>
              </w:rPr>
              <w:t xml:space="preserve"> </w:t>
            </w:r>
            <w:r w:rsidRPr="00A34388">
              <w:rPr>
                <w:color w:val="000000"/>
                <w:sz w:val="15"/>
                <w:lang w:val="es-ES_tradnl"/>
              </w:rPr>
              <w:t xml:space="preserve">El costo medio de tramitación de una solicitud PCT publicada es una estimación que se obtiene dividiendo el costo total de tramitación entre el número de solicitudes PCT publicadas. </w:t>
            </w:r>
            <w:r w:rsidR="00537926" w:rsidRPr="00A34388">
              <w:rPr>
                <w:color w:val="000000"/>
                <w:sz w:val="15"/>
                <w:lang w:val="es-ES_tradnl"/>
              </w:rPr>
              <w:t xml:space="preserve"> </w:t>
            </w:r>
            <w:r w:rsidRPr="00A34388">
              <w:rPr>
                <w:color w:val="000000"/>
                <w:sz w:val="15"/>
                <w:lang w:val="es-ES_tradnl"/>
              </w:rPr>
              <w:t>Los datos retrospectivos han sido objeto de revisión, por lo que pueden ser distintos de los ofrecidos hasta ahora.</w:t>
            </w:r>
          </w:p>
        </w:tc>
      </w:tr>
    </w:tbl>
    <w:p w:rsidR="00525604" w:rsidRPr="00A34388" w:rsidRDefault="00525604" w:rsidP="00525604">
      <w:pPr>
        <w:ind w:left="720"/>
        <w:rPr>
          <w:lang w:val="es-ES_tradnl"/>
        </w:rPr>
      </w:pPr>
    </w:p>
    <w:p w:rsidR="00525604" w:rsidRPr="00A34388" w:rsidRDefault="00525604" w:rsidP="000557C0">
      <w:pPr>
        <w:pStyle w:val="ListParagraph"/>
        <w:numPr>
          <w:ilvl w:val="0"/>
          <w:numId w:val="15"/>
        </w:numPr>
        <w:spacing w:after="200" w:line="276" w:lineRule="auto"/>
        <w:contextualSpacing/>
        <w:jc w:val="both"/>
        <w:rPr>
          <w:lang w:val="es-ES_tradnl"/>
        </w:rPr>
      </w:pPr>
      <w:r w:rsidRPr="00A34388">
        <w:rPr>
          <w:lang w:val="es-ES_tradnl"/>
        </w:rPr>
        <w:t xml:space="preserve">El costo medio de tramitación de una solicitud PCT publicada calculado por el método antiguo ha experimentado una reducción media del 5% anual, </w:t>
      </w:r>
      <w:r w:rsidR="004D0911" w:rsidRPr="00A34388">
        <w:rPr>
          <w:lang w:val="es-ES_tradnl"/>
        </w:rPr>
        <w:t xml:space="preserve">pasando </w:t>
      </w:r>
      <w:r w:rsidRPr="00A34388">
        <w:rPr>
          <w:lang w:val="es-ES_tradnl"/>
        </w:rPr>
        <w:t xml:space="preserve">de 1.042 </w:t>
      </w:r>
      <w:r w:rsidR="004B0FC4">
        <w:rPr>
          <w:lang w:val="es-ES_tradnl"/>
        </w:rPr>
        <w:t>francos suizos</w:t>
      </w:r>
      <w:r w:rsidRPr="00A34388">
        <w:rPr>
          <w:lang w:val="es-ES_tradnl"/>
        </w:rPr>
        <w:t xml:space="preserve"> </w:t>
      </w:r>
      <w:r w:rsidR="004D0911" w:rsidRPr="00A34388">
        <w:rPr>
          <w:lang w:val="es-ES_tradnl"/>
        </w:rPr>
        <w:t xml:space="preserve">en </w:t>
      </w:r>
      <w:r w:rsidRPr="00A34388">
        <w:rPr>
          <w:lang w:val="es-ES_tradnl"/>
        </w:rPr>
        <w:t xml:space="preserve">2004 a 680 </w:t>
      </w:r>
      <w:r w:rsidR="004B0FC4">
        <w:rPr>
          <w:lang w:val="es-ES_tradnl"/>
        </w:rPr>
        <w:t>francos suizos</w:t>
      </w:r>
      <w:r w:rsidRPr="00A34388">
        <w:rPr>
          <w:lang w:val="es-ES_tradnl"/>
        </w:rPr>
        <w:t xml:space="preserve"> en 2012. </w:t>
      </w:r>
    </w:p>
    <w:p w:rsidR="00525604" w:rsidRPr="00A34388" w:rsidRDefault="00525604" w:rsidP="000557C0">
      <w:pPr>
        <w:numPr>
          <w:ilvl w:val="0"/>
          <w:numId w:val="15"/>
        </w:numPr>
        <w:jc w:val="both"/>
        <w:rPr>
          <w:rFonts w:cs="Arial"/>
          <w:szCs w:val="20"/>
          <w:lang w:val="es-ES_tradnl"/>
        </w:rPr>
      </w:pPr>
      <w:r w:rsidRPr="00332758">
        <w:rPr>
          <w:lang w:val="es-ES_tradnl"/>
        </w:rPr>
        <w:t xml:space="preserve">El costo medio de tramitación de una solicitud PCT publicada se redujo en un 1.4% en 2013 en relación con 2012, con una cifra de 722 francos suizos. </w:t>
      </w:r>
      <w:r w:rsidR="00537926" w:rsidRPr="00332758">
        <w:rPr>
          <w:lang w:val="es-ES_tradnl"/>
        </w:rPr>
        <w:t xml:space="preserve"> </w:t>
      </w:r>
      <w:r w:rsidRPr="00A34388">
        <w:rPr>
          <w:lang w:val="es-ES_tradnl"/>
        </w:rPr>
        <w:t>Este ligero incremento de debió a un aumento de los costos tanto directos como indirectos en 2013, el segundo año del bienio.</w:t>
      </w:r>
    </w:p>
    <w:p w:rsidR="00525604" w:rsidRPr="00A34388" w:rsidRDefault="00525604" w:rsidP="00525604">
      <w:pPr>
        <w:jc w:val="center"/>
        <w:rPr>
          <w:rFonts w:cs="Arial"/>
          <w:szCs w:val="20"/>
          <w:lang w:val="es-ES_tradnl"/>
        </w:rPr>
      </w:pPr>
    </w:p>
    <w:p w:rsidR="00525604" w:rsidRPr="00332758" w:rsidRDefault="00525604" w:rsidP="00525604">
      <w:pPr>
        <w:rPr>
          <w:rFonts w:cs="Arial"/>
          <w:szCs w:val="20"/>
          <w:lang w:val="es-ES_tradnl"/>
        </w:rPr>
      </w:pPr>
      <w:r w:rsidRPr="00332758">
        <w:rPr>
          <w:b/>
          <w:lang w:val="es-ES_tradnl"/>
        </w:rPr>
        <w:t>Productividad en el examen de forma</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r w:rsidRPr="00332758">
        <w:rPr>
          <w:lang w:val="es-ES_tradnl"/>
        </w:rPr>
        <w:t>La definición de productividad del personal consiste en el valor de la producción (esto es, el número de publicaciones del PCT) dividido entre el número de miembros del personal encargados del examen de forma.</w:t>
      </w:r>
    </w:p>
    <w:p w:rsidR="00525604" w:rsidRPr="00A34388" w:rsidRDefault="00525604" w:rsidP="00525604">
      <w:pPr>
        <w:rPr>
          <w:rFonts w:cs="Arial"/>
          <w:szCs w:val="20"/>
          <w:lang w:val="es-ES_tradnl"/>
        </w:rPr>
      </w:pPr>
    </w:p>
    <w:p w:rsidR="00525604" w:rsidRPr="00A34388" w:rsidRDefault="00525604" w:rsidP="00525604">
      <w:pPr>
        <w:jc w:val="center"/>
        <w:rPr>
          <w:rFonts w:cs="Arial"/>
          <w:sz w:val="22"/>
          <w:szCs w:val="22"/>
          <w:lang w:val="es-ES_tradnl"/>
        </w:rPr>
      </w:pPr>
      <w:r w:rsidRPr="00A34388">
        <w:rPr>
          <w:rFonts w:cs="Arial"/>
          <w:noProof/>
          <w:sz w:val="22"/>
          <w:szCs w:val="22"/>
        </w:rPr>
        <w:drawing>
          <wp:inline distT="0" distB="0" distL="0" distR="0" wp14:anchorId="777A8AFA" wp14:editId="33329221">
            <wp:extent cx="5969203" cy="2604211"/>
            <wp:effectExtent l="0" t="0" r="0" b="571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9635" cy="2604399"/>
                    </a:xfrm>
                    <a:prstGeom prst="rect">
                      <a:avLst/>
                    </a:prstGeom>
                    <a:noFill/>
                  </pic:spPr>
                </pic:pic>
              </a:graphicData>
            </a:graphic>
          </wp:inline>
        </w:drawing>
      </w:r>
    </w:p>
    <w:p w:rsidR="00525604" w:rsidRPr="00A34388" w:rsidRDefault="00525604" w:rsidP="00525604">
      <w:pPr>
        <w:rPr>
          <w:rFonts w:cs="Arial"/>
          <w:szCs w:val="20"/>
          <w:lang w:val="es-ES_tradnl"/>
        </w:rPr>
      </w:pPr>
    </w:p>
    <w:p w:rsidR="00525604" w:rsidRPr="00A34388" w:rsidRDefault="00525604" w:rsidP="00525604">
      <w:pPr>
        <w:numPr>
          <w:ilvl w:val="0"/>
          <w:numId w:val="12"/>
        </w:numPr>
        <w:rPr>
          <w:rFonts w:cs="Arial"/>
          <w:szCs w:val="20"/>
          <w:lang w:val="es-ES_tradnl"/>
        </w:rPr>
      </w:pPr>
      <w:r w:rsidRPr="00332758">
        <w:rPr>
          <w:lang w:val="es-ES_tradnl"/>
        </w:rPr>
        <w:t>La productividad del examen de forma ha ido aumentado a lo largo del tiempo, principalmente debido a la automatización del procedimiento, que ha permitido que un menor número de miembros del personal pueda tramitar un volumen de trabajo mucho mayor.</w:t>
      </w:r>
    </w:p>
    <w:p w:rsidR="00525604" w:rsidRPr="00A34388" w:rsidRDefault="00525604" w:rsidP="00525604">
      <w:pPr>
        <w:rPr>
          <w:rFonts w:cs="Arial"/>
          <w:szCs w:val="20"/>
          <w:lang w:val="es-ES_tradnl"/>
        </w:rPr>
      </w:pPr>
    </w:p>
    <w:p w:rsidR="00525604" w:rsidRPr="00017255" w:rsidRDefault="00525604" w:rsidP="00525604">
      <w:pPr>
        <w:keepNext/>
        <w:keepLines/>
        <w:rPr>
          <w:rFonts w:cs="Arial"/>
          <w:b/>
          <w:szCs w:val="20"/>
          <w:lang w:val="es-ES_tradnl"/>
        </w:rPr>
      </w:pPr>
      <w:r w:rsidRPr="00017255">
        <w:rPr>
          <w:b/>
          <w:lang w:val="es-ES_tradnl"/>
        </w:rPr>
        <w:t>Calidad global del examen de forma</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r w:rsidRPr="00332758">
        <w:rPr>
          <w:lang w:val="es-ES_tradnl"/>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 acuse de recibo de la solicitud en el marco del PCT, publicación y nueva publicación.  El cuarto indicador da cuenta de los errores cometidos en el curso de la tramitación de solicitudes PCT.</w:t>
      </w:r>
    </w:p>
    <w:p w:rsidR="00525604" w:rsidRPr="00A34388" w:rsidRDefault="00525604" w:rsidP="00525604">
      <w:pPr>
        <w:rPr>
          <w:rFonts w:cs="Arial"/>
          <w:sz w:val="22"/>
          <w:szCs w:val="22"/>
          <w:lang w:val="es-ES_tradnl"/>
        </w:rPr>
      </w:pPr>
      <w:r w:rsidRPr="00A34388">
        <w:rPr>
          <w:rFonts w:cs="Arial"/>
          <w:noProof/>
          <w:sz w:val="22"/>
          <w:szCs w:val="22"/>
        </w:rPr>
        <w:drawing>
          <wp:inline distT="0" distB="0" distL="0" distR="0" wp14:anchorId="361CD8D3" wp14:editId="0BB6F285">
            <wp:extent cx="5797550" cy="2626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7550" cy="2626360"/>
                    </a:xfrm>
                    <a:prstGeom prst="rect">
                      <a:avLst/>
                    </a:prstGeom>
                    <a:noFill/>
                  </pic:spPr>
                </pic:pic>
              </a:graphicData>
            </a:graphic>
          </wp:inline>
        </w:drawing>
      </w:r>
    </w:p>
    <w:p w:rsidR="00525604" w:rsidRPr="00A34388" w:rsidRDefault="00525604" w:rsidP="00525604">
      <w:pPr>
        <w:rPr>
          <w:rFonts w:cs="Arial"/>
          <w:szCs w:val="20"/>
          <w:lang w:val="es-ES_tradnl"/>
        </w:rPr>
      </w:pPr>
    </w:p>
    <w:p w:rsidR="00525604" w:rsidRPr="00A34388" w:rsidRDefault="00525604" w:rsidP="00525604">
      <w:pPr>
        <w:numPr>
          <w:ilvl w:val="0"/>
          <w:numId w:val="14"/>
        </w:numPr>
        <w:rPr>
          <w:rFonts w:cs="Arial"/>
          <w:szCs w:val="20"/>
          <w:lang w:val="es-ES_tradnl"/>
        </w:rPr>
      </w:pPr>
      <w:r w:rsidRPr="00332758">
        <w:rPr>
          <w:lang w:val="es-ES_tradnl"/>
        </w:rPr>
        <w:t>La calidad, de acuerdo con el índice global, ha mejorado notablemente desde 2007 y hasta el segundo trimestre de 2011.</w:t>
      </w:r>
      <w:r w:rsidRPr="00A34388">
        <w:rPr>
          <w:lang w:val="es-ES_tradnl"/>
        </w:rPr>
        <w:t xml:space="preserve"> </w:t>
      </w:r>
      <w:r w:rsidRPr="00332758">
        <w:rPr>
          <w:lang w:val="es-ES_tradnl"/>
        </w:rPr>
        <w:t>A partir de la segunda mitad de 2011 se observa un deterioro en la calidad, que se explica por los retrasos cada vez mayores en la nueva publicación de las solicitudes PCT, junto con los informes de búsqueda internacional.</w:t>
      </w:r>
      <w:r w:rsidRPr="00A34388">
        <w:rPr>
          <w:lang w:val="es-ES_tradnl"/>
        </w:rPr>
        <w:t xml:space="preserve"> </w:t>
      </w:r>
    </w:p>
    <w:p w:rsidR="00525604" w:rsidRPr="00A34388" w:rsidRDefault="00525604" w:rsidP="00525604">
      <w:pPr>
        <w:ind w:left="720"/>
        <w:rPr>
          <w:rFonts w:cs="Arial"/>
          <w:szCs w:val="20"/>
          <w:lang w:val="es-ES_tradnl"/>
        </w:rPr>
      </w:pPr>
    </w:p>
    <w:p w:rsidR="00525604" w:rsidRPr="00A34388" w:rsidRDefault="00525604" w:rsidP="00525604">
      <w:pPr>
        <w:numPr>
          <w:ilvl w:val="0"/>
          <w:numId w:val="14"/>
        </w:numPr>
        <w:rPr>
          <w:rFonts w:cs="Arial"/>
          <w:szCs w:val="20"/>
          <w:lang w:val="es-ES_tradnl"/>
        </w:rPr>
      </w:pPr>
      <w:r w:rsidRPr="00332758">
        <w:rPr>
          <w:lang w:val="es-ES_tradnl"/>
        </w:rPr>
        <w:t>La calidad mejoró notablemente durante el primer trimestre de 2012 pero volvió a deteriorarse en el curso de los dos siguientes trimestres.</w:t>
      </w:r>
      <w:r w:rsidRPr="00A34388">
        <w:rPr>
          <w:lang w:val="es-ES_tradnl"/>
        </w:rPr>
        <w:t xml:space="preserve"> </w:t>
      </w:r>
      <w:r w:rsidRPr="00332758">
        <w:rPr>
          <w:lang w:val="es-ES_tradnl"/>
        </w:rPr>
        <w:t>Esto se explica principalmente por la disminución del número de notificaciones de recepción de las solicitudes PCT que se transmitieron a los solicitantes en un plazo de cinco semanas, que pasó de 90,8 % en el primer trimestre a 76,3% en el tercer trimestre</w:t>
      </w:r>
      <w:r w:rsidR="00197B61" w:rsidRPr="00332758">
        <w:rPr>
          <w:lang w:val="es-ES_tradnl"/>
        </w:rPr>
        <w:t xml:space="preserve"> de 2012</w:t>
      </w:r>
      <w:r w:rsidRPr="00332758">
        <w:rPr>
          <w:lang w:val="es-ES_tradnl"/>
        </w:rPr>
        <w:t>.</w:t>
      </w:r>
    </w:p>
    <w:p w:rsidR="00525604" w:rsidRPr="00A34388" w:rsidRDefault="00525604" w:rsidP="00525604">
      <w:pPr>
        <w:ind w:left="720"/>
        <w:rPr>
          <w:rFonts w:cs="Arial"/>
          <w:szCs w:val="20"/>
          <w:lang w:val="es-ES_tradnl"/>
        </w:rPr>
      </w:pPr>
    </w:p>
    <w:p w:rsidR="00525604" w:rsidRPr="00A34388" w:rsidRDefault="00525604" w:rsidP="000557C0">
      <w:pPr>
        <w:numPr>
          <w:ilvl w:val="0"/>
          <w:numId w:val="14"/>
        </w:numPr>
        <w:jc w:val="both"/>
        <w:rPr>
          <w:rFonts w:cs="Arial"/>
          <w:szCs w:val="20"/>
          <w:lang w:val="es-ES_tradnl"/>
        </w:rPr>
      </w:pPr>
      <w:r w:rsidRPr="00A34388">
        <w:rPr>
          <w:lang w:val="es-ES_tradnl"/>
        </w:rPr>
        <w:t xml:space="preserve">El índice </w:t>
      </w:r>
      <w:r w:rsidR="001A22E9" w:rsidRPr="00A34388">
        <w:rPr>
          <w:lang w:val="es-ES_tradnl"/>
        </w:rPr>
        <w:t xml:space="preserve">mejoró apreciablemente durante </w:t>
      </w:r>
      <w:r w:rsidRPr="00A34388">
        <w:rPr>
          <w:lang w:val="es-ES_tradnl"/>
        </w:rPr>
        <w:t xml:space="preserve">el segundo semestre de 2013, </w:t>
      </w:r>
      <w:r w:rsidR="001A22E9" w:rsidRPr="00A34388">
        <w:rPr>
          <w:lang w:val="es-ES_tradnl"/>
        </w:rPr>
        <w:t xml:space="preserve">gracias </w:t>
      </w:r>
      <w:r w:rsidRPr="00A34388">
        <w:rPr>
          <w:lang w:val="es-ES_tradnl"/>
        </w:rPr>
        <w:t xml:space="preserve">a </w:t>
      </w:r>
      <w:r w:rsidR="001A22E9" w:rsidRPr="00A34388">
        <w:rPr>
          <w:lang w:val="es-ES_tradnl"/>
        </w:rPr>
        <w:t xml:space="preserve">una </w:t>
      </w:r>
      <w:r w:rsidRPr="00A34388">
        <w:rPr>
          <w:lang w:val="es-ES_tradnl"/>
        </w:rPr>
        <w:t xml:space="preserve">nueva publicación </w:t>
      </w:r>
      <w:r w:rsidR="001A22E9" w:rsidRPr="00A34388">
        <w:rPr>
          <w:lang w:val="es-ES_tradnl"/>
        </w:rPr>
        <w:t xml:space="preserve">más rápida </w:t>
      </w:r>
      <w:r w:rsidRPr="00A34388">
        <w:rPr>
          <w:lang w:val="es-ES_tradnl"/>
        </w:rPr>
        <w:t xml:space="preserve">de las solicitudes PCT junto con </w:t>
      </w:r>
      <w:r w:rsidR="001A22E9" w:rsidRPr="00A34388">
        <w:rPr>
          <w:lang w:val="es-ES_tradnl"/>
        </w:rPr>
        <w:t xml:space="preserve">sus </w:t>
      </w:r>
      <w:r w:rsidRPr="00A34388">
        <w:rPr>
          <w:lang w:val="es-ES_tradnl"/>
        </w:rPr>
        <w:t xml:space="preserve">respectivos informes de búsqueda internacional y a la automatización de parte del proceso de examen de las solicitudes recibidas en XML, lo que </w:t>
      </w:r>
      <w:r w:rsidR="001A22E9" w:rsidRPr="00A34388">
        <w:rPr>
          <w:lang w:val="es-ES_tradnl"/>
        </w:rPr>
        <w:t xml:space="preserve">permitió </w:t>
      </w:r>
      <w:r w:rsidRPr="00A34388">
        <w:rPr>
          <w:lang w:val="es-ES_tradnl"/>
        </w:rPr>
        <w:t xml:space="preserve">a la Oficina Internacional enviar </w:t>
      </w:r>
      <w:r w:rsidR="001A22E9" w:rsidRPr="00A34388">
        <w:rPr>
          <w:lang w:val="es-ES_tradnl"/>
        </w:rPr>
        <w:t xml:space="preserve">las </w:t>
      </w:r>
      <w:r w:rsidRPr="00A34388">
        <w:rPr>
          <w:lang w:val="es-ES_tradnl"/>
        </w:rPr>
        <w:t xml:space="preserve">notificaciones de </w:t>
      </w:r>
      <w:r w:rsidR="001A22E9" w:rsidRPr="00A34388">
        <w:rPr>
          <w:lang w:val="es-ES_tradnl"/>
        </w:rPr>
        <w:t xml:space="preserve">recepción </w:t>
      </w:r>
      <w:r w:rsidRPr="00A34388">
        <w:rPr>
          <w:lang w:val="es-ES_tradnl"/>
        </w:rPr>
        <w:t xml:space="preserve">de </w:t>
      </w:r>
      <w:r w:rsidR="001A22E9" w:rsidRPr="00A34388">
        <w:rPr>
          <w:lang w:val="es-ES_tradnl"/>
        </w:rPr>
        <w:t xml:space="preserve">las </w:t>
      </w:r>
      <w:r w:rsidRPr="00A34388">
        <w:rPr>
          <w:lang w:val="es-ES_tradnl"/>
        </w:rPr>
        <w:t>solicitud</w:t>
      </w:r>
      <w:r w:rsidR="001A22E9" w:rsidRPr="00A34388">
        <w:rPr>
          <w:lang w:val="es-ES_tradnl"/>
        </w:rPr>
        <w:t>es</w:t>
      </w:r>
      <w:r w:rsidRPr="00A34388">
        <w:rPr>
          <w:lang w:val="es-ES_tradnl"/>
        </w:rPr>
        <w:t xml:space="preserve"> </w:t>
      </w:r>
      <w:r w:rsidR="001A22E9" w:rsidRPr="00A34388">
        <w:rPr>
          <w:lang w:val="es-ES_tradnl"/>
        </w:rPr>
        <w:t xml:space="preserve">PCT en el plazo de unos </w:t>
      </w:r>
      <w:r w:rsidRPr="00A34388">
        <w:rPr>
          <w:lang w:val="es-ES_tradnl"/>
        </w:rPr>
        <w:t>pocos días.</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p>
    <w:p w:rsidR="00525604" w:rsidRPr="00332758" w:rsidRDefault="00525604" w:rsidP="00525604">
      <w:pPr>
        <w:rPr>
          <w:rFonts w:cs="Arial"/>
          <w:b/>
          <w:szCs w:val="20"/>
          <w:lang w:val="es-ES_tradnl"/>
        </w:rPr>
      </w:pPr>
      <w:r w:rsidRPr="00332758">
        <w:rPr>
          <w:i/>
          <w:lang w:val="es-ES_tradnl"/>
        </w:rPr>
        <w:t>Tiempo necesario para el examen de forma</w:t>
      </w:r>
    </w:p>
    <w:p w:rsidR="00525604" w:rsidRPr="00A34388" w:rsidRDefault="00525604" w:rsidP="00525604">
      <w:pPr>
        <w:rPr>
          <w:rFonts w:cs="Arial"/>
          <w:b/>
          <w:szCs w:val="20"/>
          <w:lang w:val="es-ES_tradnl"/>
        </w:rPr>
      </w:pPr>
    </w:p>
    <w:p w:rsidR="00525604" w:rsidRPr="00A34388" w:rsidRDefault="00525604" w:rsidP="00525604">
      <w:pPr>
        <w:rPr>
          <w:rFonts w:cs="Arial"/>
          <w:b/>
          <w:szCs w:val="20"/>
          <w:lang w:val="es-ES_tradnl"/>
        </w:rPr>
      </w:pPr>
      <w:r w:rsidRPr="00332758">
        <w:rPr>
          <w:lang w:val="es-ES_tradnl"/>
        </w:rPr>
        <w:t>Este indicador refleja más detalladamente uno de los componentes del indicador global de calidad, esto es el tiempo que tarda la Oficina Internacional en enviar el formulario 301.</w:t>
      </w:r>
      <w:r w:rsidRPr="00A34388">
        <w:rPr>
          <w:lang w:val="es-ES_tradnl"/>
        </w:rPr>
        <w:t xml:space="preserve"> </w:t>
      </w:r>
      <w:r w:rsidRPr="00332758">
        <w:rPr>
          <w:lang w:val="es-ES_tradnl"/>
        </w:rPr>
        <w:t xml:space="preserve"> Este formulario se envía una vez completado el examen de forma de la solicitud.  Los solicitantes agradecen que se les envíe lo antes posible, puesto que dicho formulario les permite saber si su solicitud presenta errores formales.</w:t>
      </w:r>
    </w:p>
    <w:p w:rsidR="00525604" w:rsidRPr="00A34388" w:rsidRDefault="00525604" w:rsidP="00525604">
      <w:pPr>
        <w:rPr>
          <w:rFonts w:cs="Arial"/>
          <w:b/>
          <w:szCs w:val="20"/>
          <w:lang w:val="es-ES_tradnl"/>
        </w:rPr>
      </w:pPr>
    </w:p>
    <w:p w:rsidR="00525604" w:rsidRPr="00A34388" w:rsidRDefault="00525604" w:rsidP="00525604">
      <w:pPr>
        <w:rPr>
          <w:rFonts w:cs="Arial"/>
          <w:sz w:val="22"/>
          <w:szCs w:val="22"/>
          <w:lang w:val="es-ES_tradnl"/>
        </w:rPr>
      </w:pPr>
      <w:r w:rsidRPr="00A34388">
        <w:rPr>
          <w:rFonts w:cs="Arial"/>
          <w:noProof/>
          <w:sz w:val="22"/>
          <w:szCs w:val="22"/>
        </w:rPr>
        <w:lastRenderedPageBreak/>
        <w:drawing>
          <wp:inline distT="0" distB="0" distL="0" distR="0" wp14:anchorId="04827FF5" wp14:editId="1D7390DB">
            <wp:extent cx="5854065" cy="253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4065" cy="2536825"/>
                    </a:xfrm>
                    <a:prstGeom prst="rect">
                      <a:avLst/>
                    </a:prstGeom>
                    <a:noFill/>
                  </pic:spPr>
                </pic:pic>
              </a:graphicData>
            </a:graphic>
          </wp:inline>
        </w:drawing>
      </w:r>
    </w:p>
    <w:p w:rsidR="00525604" w:rsidRPr="00A34388" w:rsidRDefault="00525604" w:rsidP="00525604">
      <w:pPr>
        <w:rPr>
          <w:rFonts w:cs="Arial"/>
          <w:sz w:val="22"/>
          <w:szCs w:val="22"/>
          <w:lang w:val="es-ES_tradnl"/>
        </w:rPr>
      </w:pPr>
    </w:p>
    <w:p w:rsidR="00525604" w:rsidRPr="00332758" w:rsidRDefault="00525604" w:rsidP="00525604">
      <w:pPr>
        <w:rPr>
          <w:b/>
          <w:lang w:val="es-ES_tradnl"/>
        </w:rPr>
      </w:pPr>
      <w:r w:rsidRPr="00332758">
        <w:rPr>
          <w:b/>
          <w:lang w:val="es-ES_tradnl"/>
        </w:rPr>
        <w:t>Tiempo necesario para la publicación</w:t>
      </w:r>
    </w:p>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r w:rsidRPr="00332758">
        <w:rPr>
          <w:lang w:val="es-ES_tradnl"/>
        </w:rPr>
        <w:t>Este indicador refleja más adecuadamente uno de los componentes del indicador global de calidad, esto es, el tiempo que tarda la Oficina Internacional en publicar la solicitud.  El artículo 21.2)a) del PCT establece que  “[…] la publicación internacional de la solicitud internacional se efectuará rápidamente tras el vencimiento de un plazo de 18 meses desde la fecha de prioridad de esa solicitud”.</w:t>
      </w:r>
    </w:p>
    <w:p w:rsidR="00525604" w:rsidRPr="00A34388" w:rsidRDefault="00525604" w:rsidP="00525604">
      <w:pPr>
        <w:rPr>
          <w:rFonts w:cs="Arial"/>
          <w:szCs w:val="20"/>
          <w:lang w:val="es-ES_tradnl"/>
        </w:rPr>
      </w:pPr>
    </w:p>
    <w:p w:rsidR="00525604" w:rsidRPr="00A34388" w:rsidRDefault="00525604" w:rsidP="00525604">
      <w:pPr>
        <w:rPr>
          <w:rFonts w:cs="Arial"/>
          <w:sz w:val="22"/>
          <w:szCs w:val="22"/>
          <w:lang w:val="es-ES_tradnl"/>
        </w:rPr>
      </w:pPr>
      <w:r w:rsidRPr="00A34388">
        <w:rPr>
          <w:rFonts w:cs="Arial"/>
          <w:noProof/>
          <w:sz w:val="22"/>
          <w:szCs w:val="22"/>
        </w:rPr>
        <w:drawing>
          <wp:inline distT="0" distB="0" distL="0" distR="0" wp14:anchorId="7588D388" wp14:editId="1D280E88">
            <wp:extent cx="5680075" cy="2607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0075" cy="2607310"/>
                    </a:xfrm>
                    <a:prstGeom prst="rect">
                      <a:avLst/>
                    </a:prstGeom>
                    <a:noFill/>
                  </pic:spPr>
                </pic:pic>
              </a:graphicData>
            </a:graphic>
          </wp:inline>
        </w:drawing>
      </w:r>
    </w:p>
    <w:p w:rsidR="00525604" w:rsidRPr="00A34388" w:rsidRDefault="00525604" w:rsidP="00525604">
      <w:pPr>
        <w:rPr>
          <w:rFonts w:cs="Arial"/>
          <w:b/>
          <w:sz w:val="22"/>
          <w:szCs w:val="22"/>
          <w:lang w:val="es-ES_tradnl"/>
        </w:rPr>
      </w:pPr>
    </w:p>
    <w:p w:rsidR="00525604" w:rsidRPr="00332758" w:rsidRDefault="00525604" w:rsidP="00525604">
      <w:pPr>
        <w:rPr>
          <w:rFonts w:cs="Arial"/>
          <w:b/>
          <w:szCs w:val="20"/>
          <w:lang w:val="es-ES_tradnl"/>
        </w:rPr>
      </w:pPr>
      <w:r w:rsidRPr="00332758">
        <w:rPr>
          <w:b/>
          <w:lang w:val="es-ES_tradnl"/>
        </w:rPr>
        <w:t>Tiempo necesario para una nueva publicación</w:t>
      </w:r>
    </w:p>
    <w:p w:rsidR="00525604" w:rsidRPr="00A34388" w:rsidRDefault="00525604" w:rsidP="00525604">
      <w:pPr>
        <w:rPr>
          <w:rFonts w:cs="Arial"/>
          <w:szCs w:val="20"/>
          <w:lang w:val="es-ES_tradnl"/>
        </w:rPr>
      </w:pPr>
    </w:p>
    <w:p w:rsidR="00525604" w:rsidRPr="00A34388" w:rsidRDefault="00525604" w:rsidP="000557C0">
      <w:pPr>
        <w:jc w:val="both"/>
        <w:rPr>
          <w:rFonts w:cs="Arial"/>
          <w:szCs w:val="20"/>
          <w:lang w:val="es-ES_tradnl"/>
        </w:rPr>
      </w:pPr>
      <w:r w:rsidRPr="00A34388">
        <w:rPr>
          <w:lang w:val="es-ES_tradnl"/>
        </w:rPr>
        <w:t xml:space="preserve">Este indicador refleja más detalladamente uno de los componentes del indicador global de calidad, esto es, el tiempo que tarda la Oficina Internacional en llevar a cabo la nueva publicación de la solicitud, junto con el informe de búsqueda internacional. </w:t>
      </w:r>
      <w:r w:rsidR="00537926" w:rsidRPr="00A34388">
        <w:rPr>
          <w:lang w:val="es-ES_tradnl"/>
        </w:rPr>
        <w:t xml:space="preserve"> </w:t>
      </w:r>
      <w:r w:rsidRPr="00A34388">
        <w:rPr>
          <w:lang w:val="es-ES_tradnl"/>
        </w:rPr>
        <w:t xml:space="preserve">Algunas solicitudes internacionales se publican sin su informe de búsqueda internacional, ya que las Administraciones encargadas de la búsqueda internacional los comunican con retraso. </w:t>
      </w:r>
      <w:r w:rsidR="001A22E9" w:rsidRPr="00A34388">
        <w:rPr>
          <w:lang w:val="es-ES_tradnl"/>
        </w:rPr>
        <w:t xml:space="preserve"> </w:t>
      </w:r>
      <w:r w:rsidR="00B31735" w:rsidRPr="00A34388">
        <w:rPr>
          <w:lang w:val="es-ES_tradnl"/>
        </w:rPr>
        <w:t xml:space="preserve">Cuando </w:t>
      </w:r>
      <w:r w:rsidRPr="00A34388">
        <w:rPr>
          <w:lang w:val="es-ES_tradnl"/>
        </w:rPr>
        <w:t>el informe de búsqueda internacional está disponible, es necesario proceder cuanto antes a la nueva publicación de la solicitud internacional con su informe de búsqueda internacional para dar por concluida la publicación internacional.</w:t>
      </w:r>
    </w:p>
    <w:p w:rsidR="00525604" w:rsidRPr="00A34388" w:rsidRDefault="00525604" w:rsidP="00525604">
      <w:pPr>
        <w:rPr>
          <w:rFonts w:cs="Arial"/>
          <w:szCs w:val="20"/>
          <w:lang w:val="es-ES_tradnl"/>
        </w:rPr>
      </w:pPr>
    </w:p>
    <w:p w:rsidR="00525604" w:rsidRPr="00A34388" w:rsidRDefault="00525604" w:rsidP="00525604">
      <w:pPr>
        <w:rPr>
          <w:rFonts w:cs="Arial"/>
          <w:sz w:val="22"/>
          <w:szCs w:val="22"/>
          <w:lang w:val="es-ES_tradnl"/>
        </w:rPr>
      </w:pPr>
      <w:r w:rsidRPr="00A34388">
        <w:rPr>
          <w:rFonts w:cs="Arial"/>
          <w:noProof/>
          <w:sz w:val="22"/>
          <w:szCs w:val="22"/>
        </w:rPr>
        <w:lastRenderedPageBreak/>
        <w:drawing>
          <wp:inline distT="0" distB="0" distL="0" distR="0" wp14:anchorId="24C23021" wp14:editId="48BD28B8">
            <wp:extent cx="5778500" cy="2652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8500" cy="2652395"/>
                    </a:xfrm>
                    <a:prstGeom prst="rect">
                      <a:avLst/>
                    </a:prstGeom>
                    <a:noFill/>
                  </pic:spPr>
                </pic:pic>
              </a:graphicData>
            </a:graphic>
          </wp:inline>
        </w:drawing>
      </w:r>
    </w:p>
    <w:p w:rsidR="00525604" w:rsidRPr="00A34388" w:rsidRDefault="00525604" w:rsidP="00525604">
      <w:pPr>
        <w:rPr>
          <w:rFonts w:cs="Arial"/>
          <w:b/>
          <w:sz w:val="22"/>
          <w:szCs w:val="22"/>
          <w:lang w:val="es-ES_tradnl"/>
        </w:rPr>
      </w:pPr>
    </w:p>
    <w:p w:rsidR="00525604" w:rsidRPr="00332758" w:rsidRDefault="00525604" w:rsidP="00525604">
      <w:pPr>
        <w:rPr>
          <w:rFonts w:cs="Arial"/>
          <w:b/>
          <w:szCs w:val="20"/>
          <w:lang w:val="es-ES_tradnl"/>
        </w:rPr>
      </w:pPr>
      <w:r w:rsidRPr="00332758">
        <w:rPr>
          <w:b/>
          <w:lang w:val="es-ES_tradnl"/>
        </w:rPr>
        <w:t>Calidad de la traducción</w:t>
      </w:r>
    </w:p>
    <w:p w:rsidR="00525604" w:rsidRPr="00A34388" w:rsidRDefault="00525604" w:rsidP="00525604">
      <w:pPr>
        <w:rPr>
          <w:rFonts w:cs="Arial"/>
          <w:b/>
          <w:szCs w:val="20"/>
          <w:lang w:val="es-ES_tradnl"/>
        </w:rPr>
      </w:pPr>
    </w:p>
    <w:p w:rsidR="00525604" w:rsidRPr="00A34388" w:rsidRDefault="00525604" w:rsidP="00525604">
      <w:pPr>
        <w:rPr>
          <w:rFonts w:cs="Arial"/>
          <w:szCs w:val="20"/>
          <w:lang w:val="es-ES_tradnl"/>
        </w:rPr>
      </w:pPr>
      <w:r w:rsidRPr="00332758">
        <w:rPr>
          <w:lang w:val="es-ES_tradnl"/>
        </w:rPr>
        <w:t>Las traducciones de los resúmenes e informes realizadas bajo la responsabilidad de la Oficina Internacional son sometidas a un proceso de control de calidad basado en muestras.</w:t>
      </w:r>
      <w:r w:rsidRPr="00A34388">
        <w:rPr>
          <w:lang w:val="es-ES_tradnl"/>
        </w:rPr>
        <w:t xml:space="preserve"> </w:t>
      </w:r>
      <w:r w:rsidRPr="00332758">
        <w:rPr>
          <w:lang w:val="es-ES_tradnl"/>
        </w:rPr>
        <w:t>Los resultados se clasifican en dos categorías: traducciones que se consideran “aceptables” y traducciones “no aceptables”.</w:t>
      </w:r>
      <w:r w:rsidRPr="00A34388">
        <w:rPr>
          <w:lang w:val="es-ES_tradnl"/>
        </w:rPr>
        <w:t xml:space="preserve">  </w:t>
      </w:r>
      <w:r w:rsidRPr="00332758">
        <w:rPr>
          <w:lang w:val="es-ES_tradnl"/>
        </w:rPr>
        <w:t>Este indicador de rendimiento permite evaluar la calidad de las traducciones a partir de las muestras.</w:t>
      </w:r>
    </w:p>
    <w:p w:rsidR="00525604" w:rsidRPr="00A34388" w:rsidRDefault="00525604" w:rsidP="00525604">
      <w:pPr>
        <w:rPr>
          <w:rFonts w:cs="Arial"/>
          <w:szCs w:val="20"/>
          <w:lang w:val="es-ES_tradnl"/>
        </w:rPr>
      </w:pPr>
    </w:p>
    <w:p w:rsidR="00525604" w:rsidRPr="00A34388" w:rsidRDefault="00525604" w:rsidP="00525604">
      <w:pPr>
        <w:widowControl w:val="0"/>
        <w:autoSpaceDE w:val="0"/>
        <w:autoSpaceDN w:val="0"/>
        <w:adjustRightInd w:val="0"/>
        <w:rPr>
          <w:rFonts w:cs="Arial"/>
          <w:sz w:val="22"/>
          <w:szCs w:val="22"/>
          <w:lang w:val="es-ES_tradnl"/>
        </w:rPr>
      </w:pPr>
      <w:r w:rsidRPr="00A34388">
        <w:rPr>
          <w:rFonts w:cs="Arial"/>
          <w:noProof/>
          <w:sz w:val="22"/>
          <w:szCs w:val="22"/>
        </w:rPr>
        <w:drawing>
          <wp:inline distT="0" distB="0" distL="0" distR="0" wp14:anchorId="1BD006AB" wp14:editId="169C9036">
            <wp:extent cx="5895340" cy="3133725"/>
            <wp:effectExtent l="0" t="0" r="0"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5340" cy="3133725"/>
                    </a:xfrm>
                    <a:prstGeom prst="rect">
                      <a:avLst/>
                    </a:prstGeom>
                    <a:noFill/>
                  </pic:spPr>
                </pic:pic>
              </a:graphicData>
            </a:graphic>
          </wp:inline>
        </w:drawing>
      </w:r>
    </w:p>
    <w:p w:rsidR="00525604" w:rsidRPr="00A34388" w:rsidRDefault="00525604" w:rsidP="00525604">
      <w:pPr>
        <w:rPr>
          <w:rFonts w:cs="Arial"/>
          <w:b/>
          <w:szCs w:val="20"/>
          <w:lang w:val="es-ES_tradnl"/>
        </w:rPr>
      </w:pPr>
    </w:p>
    <w:p w:rsidR="008372FC" w:rsidRPr="00332758" w:rsidRDefault="008372FC">
      <w:pPr>
        <w:rPr>
          <w:b/>
          <w:lang w:val="es-ES_tradnl"/>
        </w:rPr>
      </w:pPr>
      <w:r w:rsidRPr="00332758">
        <w:rPr>
          <w:b/>
          <w:lang w:val="es-ES_tradnl"/>
        </w:rPr>
        <w:br w:type="page"/>
      </w:r>
    </w:p>
    <w:p w:rsidR="008372FC" w:rsidRPr="00332758" w:rsidRDefault="00525604" w:rsidP="00525604">
      <w:pPr>
        <w:rPr>
          <w:b/>
          <w:lang w:val="es-ES_tradnl"/>
        </w:rPr>
      </w:pPr>
      <w:r w:rsidRPr="00332758">
        <w:rPr>
          <w:b/>
          <w:lang w:val="es-ES_tradnl"/>
        </w:rPr>
        <w:lastRenderedPageBreak/>
        <w:t>Presentación de solicitudes ante la Oficina Internacional en calidad de Oficina receptora</w:t>
      </w:r>
    </w:p>
    <w:p w:rsidR="00525604" w:rsidRPr="00A34388" w:rsidRDefault="00525604" w:rsidP="00525604">
      <w:pPr>
        <w:rPr>
          <w:rFonts w:cs="Arial"/>
          <w:b/>
          <w:szCs w:val="20"/>
          <w:lang w:val="es-ES_tradnl"/>
        </w:rPr>
      </w:pPr>
    </w:p>
    <w:p w:rsidR="00525604" w:rsidRPr="00A34388" w:rsidRDefault="00525604" w:rsidP="00525604">
      <w:pPr>
        <w:jc w:val="both"/>
        <w:rPr>
          <w:rFonts w:cs="Arial"/>
          <w:szCs w:val="20"/>
          <w:lang w:val="es-ES_tradnl"/>
        </w:rPr>
      </w:pPr>
      <w:r w:rsidRPr="00332758">
        <w:rPr>
          <w:lang w:val="es-ES_tradnl"/>
        </w:rPr>
        <w:t>En este cuadro se muestra la actividad de presentación de solicitudes PCT con respecto a las diez principales oficinas receptoras desde los últimos cinco años hasta 2013.   En principio, las solicitudes PCT se presentan en la oficina de patentes del país de residencia del solicitante o en una oficina de patentes regional con las competencias jurisdiccionales correspondientes al lugar de residencia del solicitante.   La Oficina Internacional tiene competencia para cumplir la función de Oficina receptora de los solicitantes de todos los Estados Contratantes del PCT.  En el cuadro se muestra también la evolución en la presentación de solicitudes en la Oficina receptora/Oficina Internacional, el cómputo de su actividad en comparación con otras oficinas receptoras, así como su cuota de mercado.</w:t>
      </w:r>
    </w:p>
    <w:p w:rsidR="00525604" w:rsidRPr="00A34388" w:rsidRDefault="00525604" w:rsidP="00525604">
      <w:pPr>
        <w:jc w:val="both"/>
        <w:rPr>
          <w:rFonts w:cs="Arial"/>
          <w:sz w:val="22"/>
          <w:szCs w:val="22"/>
          <w:lang w:val="es-ES_tradnl"/>
        </w:rPr>
      </w:pPr>
    </w:p>
    <w:p w:rsidR="00525604" w:rsidRPr="00A34388" w:rsidRDefault="00525604" w:rsidP="00525604">
      <w:pPr>
        <w:jc w:val="center"/>
        <w:rPr>
          <w:rFonts w:cs="Arial"/>
          <w:sz w:val="22"/>
          <w:szCs w:val="22"/>
          <w:lang w:val="es-ES_tradnl"/>
        </w:rPr>
      </w:pPr>
      <w:r w:rsidRPr="00A34388">
        <w:rPr>
          <w:rFonts w:cs="Arial"/>
          <w:noProof/>
          <w:sz w:val="22"/>
          <w:szCs w:val="22"/>
        </w:rPr>
        <w:drawing>
          <wp:inline distT="0" distB="0" distL="0" distR="0" wp14:anchorId="0F55230A" wp14:editId="502DEBAE">
            <wp:extent cx="5622925" cy="2907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2925" cy="2907030"/>
                    </a:xfrm>
                    <a:prstGeom prst="rect">
                      <a:avLst/>
                    </a:prstGeom>
                    <a:noFill/>
                    <a:ln>
                      <a:noFill/>
                    </a:ln>
                  </pic:spPr>
                </pic:pic>
              </a:graphicData>
            </a:graphic>
          </wp:inline>
        </w:drawing>
      </w:r>
    </w:p>
    <w:p w:rsidR="00525604" w:rsidRPr="00A34388" w:rsidRDefault="00525604" w:rsidP="00525604">
      <w:pPr>
        <w:rPr>
          <w:rFonts w:cs="Arial"/>
          <w:sz w:val="22"/>
          <w:szCs w:val="22"/>
          <w:lang w:val="es-ES_tradnl"/>
        </w:rPr>
      </w:pPr>
    </w:p>
    <w:p w:rsidR="00525604" w:rsidRPr="00A34388" w:rsidRDefault="00525604" w:rsidP="00525604">
      <w:pPr>
        <w:rPr>
          <w:rFonts w:cs="Arial"/>
          <w:sz w:val="22"/>
          <w:szCs w:val="22"/>
          <w:lang w:val="es-ES_tradnl"/>
        </w:rPr>
      </w:pPr>
    </w:p>
    <w:p w:rsidR="00525604" w:rsidRPr="00A34388" w:rsidRDefault="00525604" w:rsidP="00525604">
      <w:pPr>
        <w:jc w:val="right"/>
        <w:rPr>
          <w:rFonts w:cs="Arial"/>
          <w:sz w:val="22"/>
          <w:szCs w:val="22"/>
          <w:lang w:val="es-ES_tradnl"/>
        </w:rPr>
      </w:pPr>
      <w:r w:rsidRPr="00332758">
        <w:rPr>
          <w:sz w:val="22"/>
          <w:lang w:val="es-ES_tradnl"/>
        </w:rPr>
        <w:t>[Fin del Anexo]</w:t>
      </w:r>
    </w:p>
    <w:p w:rsidR="00525604" w:rsidRPr="00A34388" w:rsidRDefault="00525604" w:rsidP="00525604">
      <w:pPr>
        <w:rPr>
          <w:rFonts w:cs="Arial"/>
          <w:sz w:val="22"/>
          <w:szCs w:val="22"/>
          <w:lang w:val="es-ES_tradnl"/>
        </w:rPr>
      </w:pPr>
    </w:p>
    <w:p w:rsidR="00525604" w:rsidRPr="00A34388" w:rsidRDefault="00525604" w:rsidP="00525604">
      <w:pPr>
        <w:rPr>
          <w:szCs w:val="20"/>
          <w:lang w:val="es-ES_tradnl"/>
        </w:rPr>
      </w:pPr>
      <w:r w:rsidRPr="00A34388">
        <w:rPr>
          <w:lang w:val="es-ES_tradnl"/>
        </w:rPr>
        <w:br w:type="page"/>
      </w:r>
    </w:p>
    <w:p w:rsidR="00391D6B" w:rsidRPr="003934C8" w:rsidRDefault="00391D6B" w:rsidP="00391D6B">
      <w:pPr>
        <w:pStyle w:val="Heading3"/>
        <w:rPr>
          <w:rFonts w:hint="eastAsia"/>
          <w:lang w:val="es-ES"/>
        </w:rPr>
      </w:pPr>
      <w:bookmarkStart w:id="32" w:name="_Toc395279658"/>
      <w:r w:rsidRPr="003934C8">
        <w:rPr>
          <w:lang w:val="es-ES"/>
        </w:rPr>
        <w:lastRenderedPageBreak/>
        <w:t>Programa 6</w:t>
      </w:r>
      <w:r w:rsidRPr="003934C8">
        <w:rPr>
          <w:lang w:val="es-ES"/>
        </w:rPr>
        <w:tab/>
        <w:t>Sistemas de Madrid y de Lisboa</w:t>
      </w:r>
      <w:bookmarkEnd w:id="32"/>
    </w:p>
    <w:p w:rsidR="00525604" w:rsidRPr="00391D6B" w:rsidRDefault="00525604" w:rsidP="00525604">
      <w:pPr>
        <w:ind w:left="2268" w:hanging="2268"/>
        <w:rPr>
          <w:rFonts w:cs="Arial"/>
          <w:sz w:val="22"/>
          <w:szCs w:val="22"/>
          <w:lang w:val="es-ES"/>
        </w:rPr>
      </w:pPr>
    </w:p>
    <w:p w:rsidR="00525604" w:rsidRPr="00332758" w:rsidRDefault="00525604" w:rsidP="00525604">
      <w:pPr>
        <w:ind w:left="2694" w:hanging="2694"/>
        <w:rPr>
          <w:rFonts w:cs="Arial"/>
          <w:b/>
          <w:sz w:val="22"/>
          <w:szCs w:val="22"/>
          <w:lang w:val="es-ES_tradnl"/>
        </w:rPr>
      </w:pPr>
      <w:r w:rsidRPr="00332758">
        <w:rPr>
          <w:b/>
          <w:sz w:val="22"/>
          <w:lang w:val="es-ES_tradnl"/>
        </w:rPr>
        <w:t>Directora del Programa</w:t>
      </w:r>
      <w:r w:rsidRPr="00A34388">
        <w:rPr>
          <w:lang w:val="es-ES_tradnl"/>
        </w:rPr>
        <w:tab/>
      </w:r>
      <w:r w:rsidRPr="00332758">
        <w:rPr>
          <w:b/>
          <w:sz w:val="22"/>
          <w:lang w:val="es-ES_tradnl"/>
        </w:rPr>
        <w:t>Sra. Binying Wang</w:t>
      </w:r>
    </w:p>
    <w:p w:rsidR="00525604" w:rsidRPr="00A34388" w:rsidRDefault="00525604" w:rsidP="00525604">
      <w:pPr>
        <w:rPr>
          <w:szCs w:val="20"/>
          <w:lang w:val="es-ES_tradnl"/>
        </w:rPr>
      </w:pPr>
    </w:p>
    <w:p w:rsidR="00525604" w:rsidRPr="00A34388" w:rsidRDefault="00525604" w:rsidP="00525604">
      <w:pPr>
        <w:rPr>
          <w:bCs/>
          <w:szCs w:val="20"/>
          <w:lang w:val="es-ES_tradnl"/>
        </w:rPr>
      </w:pPr>
    </w:p>
    <w:p w:rsidR="00525604" w:rsidRPr="00A34388" w:rsidRDefault="003E3F45" w:rsidP="00525604">
      <w:pPr>
        <w:rPr>
          <w:rFonts w:cs="Arial"/>
          <w:sz w:val="22"/>
          <w:szCs w:val="22"/>
          <w:lang w:val="es-ES_tradnl"/>
        </w:rPr>
      </w:pPr>
      <w:r>
        <w:rPr>
          <w:sz w:val="22"/>
          <w:lang w:val="es-ES_tradnl"/>
        </w:rPr>
        <w:t>AVANCES LOGRADOS EN EL BIENIO 2012/13</w:t>
      </w:r>
    </w:p>
    <w:p w:rsidR="00525604" w:rsidRPr="00A34388" w:rsidRDefault="00525604" w:rsidP="00525604">
      <w:pPr>
        <w:rPr>
          <w:rFonts w:cs="Arial"/>
          <w:sz w:val="22"/>
          <w:szCs w:val="22"/>
          <w:lang w:val="es-ES_tradnl"/>
        </w:rPr>
      </w:pPr>
    </w:p>
    <w:p w:rsidR="00525604" w:rsidRPr="00332758" w:rsidRDefault="00525604" w:rsidP="00525604">
      <w:pPr>
        <w:rPr>
          <w:rFonts w:cs="Arial"/>
          <w:bCs/>
          <w:szCs w:val="20"/>
          <w:lang w:val="es-ES_tradnl"/>
        </w:rPr>
      </w:pPr>
      <w:r w:rsidRPr="00332758">
        <w:rPr>
          <w:lang w:val="es-ES_tradnl"/>
        </w:rPr>
        <w:t>SISTEMA DE MADRID</w:t>
      </w:r>
    </w:p>
    <w:p w:rsidR="00525604" w:rsidRPr="00A34388" w:rsidRDefault="00525604" w:rsidP="00525604">
      <w:pPr>
        <w:rPr>
          <w:rFonts w:cs="Arial"/>
          <w:bCs/>
          <w:color w:val="000000"/>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rFonts w:cs="Arial"/>
          <w:bCs/>
          <w:color w:val="000000"/>
          <w:lang w:val="es-ES_tradnl"/>
        </w:rPr>
      </w:pPr>
      <w:r w:rsidRPr="00A34388">
        <w:rPr>
          <w:lang w:val="es-ES_tradnl"/>
        </w:rPr>
        <w:t xml:space="preserve">El Sistema de Madrid experimentó un crecimiento significativo, tanto por lo que respecta a las partes </w:t>
      </w:r>
      <w:r w:rsidR="00B31735" w:rsidRPr="00A34388">
        <w:rPr>
          <w:lang w:val="es-ES_tradnl"/>
        </w:rPr>
        <w:t xml:space="preserve">en el </w:t>
      </w:r>
      <w:r w:rsidRPr="00A34388">
        <w:rPr>
          <w:lang w:val="es-ES_tradnl"/>
        </w:rPr>
        <w:t>Protocolo de Madrid como al uso del Sistema.</w:t>
      </w:r>
    </w:p>
    <w:p w:rsidR="00525604" w:rsidRPr="00A34388" w:rsidRDefault="00525604" w:rsidP="00525604">
      <w:pPr>
        <w:pStyle w:val="ListParagraph"/>
        <w:tabs>
          <w:tab w:val="left" w:pos="709"/>
        </w:tabs>
        <w:ind w:left="0"/>
        <w:rPr>
          <w:rFonts w:cs="Arial"/>
          <w:bCs/>
          <w:color w:val="000000"/>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lang w:val="es-ES_tradnl"/>
        </w:rPr>
      </w:pPr>
      <w:r w:rsidRPr="00A34388">
        <w:rPr>
          <w:lang w:val="es-ES_tradnl"/>
        </w:rPr>
        <w:t>En 20</w:t>
      </w:r>
      <w:r w:rsidR="00640EF0" w:rsidRPr="00A34388">
        <w:rPr>
          <w:lang w:val="es-ES_tradnl"/>
        </w:rPr>
        <w:t>12, las adhesiones de Colombia,</w:t>
      </w:r>
      <w:r w:rsidR="00286B53" w:rsidRPr="00A34388">
        <w:rPr>
          <w:lang w:val="es-ES_tradnl"/>
        </w:rPr>
        <w:t xml:space="preserve"> </w:t>
      </w:r>
      <w:r w:rsidRPr="00A34388">
        <w:rPr>
          <w:lang w:val="es-ES_tradnl"/>
        </w:rPr>
        <w:t xml:space="preserve">Filipinas, México y Nueva Zelandia representaron un hito importante para la expansión geográfica del Sistema de Madrid, en particular debido a la entrada de dos países de América Latina.  La cobertura geográfica del Sistema de Madrid continuó aumentando en 2013, con las adhesiones de la India, Rwanda y Túnez.  A finales de 2013, el Sistema de Madrid contaba con 92 miembros, </w:t>
      </w:r>
      <w:r w:rsidR="00B31735" w:rsidRPr="00A34388">
        <w:rPr>
          <w:lang w:val="es-ES_tradnl"/>
        </w:rPr>
        <w:t xml:space="preserve">dando </w:t>
      </w:r>
      <w:r w:rsidRPr="00A34388">
        <w:rPr>
          <w:lang w:val="es-ES_tradnl"/>
        </w:rPr>
        <w:t xml:space="preserve">a los titulares de marcas la posibilidad de obtener la protección de sus marcas de productos y de servicio en los territorios </w:t>
      </w:r>
      <w:r w:rsidR="00B31735" w:rsidRPr="00A34388">
        <w:rPr>
          <w:lang w:val="es-ES_tradnl"/>
        </w:rPr>
        <w:t xml:space="preserve">abarcados por </w:t>
      </w:r>
      <w:r w:rsidRPr="00A34388">
        <w:rPr>
          <w:lang w:val="es-ES_tradnl"/>
        </w:rPr>
        <w:t xml:space="preserve">sus 91 países miembros y una organización </w:t>
      </w:r>
      <w:r w:rsidR="00D026D3" w:rsidRPr="00A34388">
        <w:rPr>
          <w:lang w:val="es-ES_tradnl"/>
        </w:rPr>
        <w:t xml:space="preserve">internacional </w:t>
      </w:r>
      <w:r w:rsidRPr="00A34388">
        <w:rPr>
          <w:lang w:val="es-ES_tradnl"/>
        </w:rPr>
        <w:t xml:space="preserve">miembro (la UE).  De esos 92 miembros, 91 son partes </w:t>
      </w:r>
      <w:r w:rsidR="00B31735" w:rsidRPr="00A34388">
        <w:rPr>
          <w:lang w:val="es-ES_tradnl"/>
        </w:rPr>
        <w:t xml:space="preserve">en el </w:t>
      </w:r>
      <w:r w:rsidRPr="00A34388">
        <w:rPr>
          <w:lang w:val="es-ES_tradnl"/>
        </w:rPr>
        <w:t xml:space="preserve">Protocolo de Madrid y un país solamente es parte en el Arreglo.  </w:t>
      </w:r>
    </w:p>
    <w:p w:rsidR="00525604" w:rsidRPr="00A34388" w:rsidRDefault="00525604" w:rsidP="00525604">
      <w:pPr>
        <w:pStyle w:val="ListParagraph"/>
        <w:tabs>
          <w:tab w:val="left" w:pos="709"/>
        </w:tabs>
        <w:ind w:left="0"/>
        <w:rPr>
          <w:rFonts w:cs="Arial"/>
          <w:bCs/>
          <w:color w:val="000000"/>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lang w:val="es-ES_tradnl"/>
        </w:rPr>
      </w:pPr>
      <w:r w:rsidRPr="00A34388">
        <w:rPr>
          <w:lang w:val="es-ES_tradnl"/>
        </w:rPr>
        <w:t xml:space="preserve">La promoción del Sistema de Madrid se ha intensificado entre los miembros </w:t>
      </w:r>
      <w:r w:rsidR="00B31735" w:rsidRPr="00A34388">
        <w:rPr>
          <w:lang w:val="es-ES_tradnl"/>
        </w:rPr>
        <w:t xml:space="preserve">actuales </w:t>
      </w:r>
      <w:r w:rsidRPr="00A34388">
        <w:rPr>
          <w:lang w:val="es-ES_tradnl"/>
        </w:rPr>
        <w:t xml:space="preserve">y potenciales, prestando una atención creciente a aquellos países en los que se considera que el Sistema de Madrid no se utiliza lo suficiente.  Los esfuerzos por fomentar un mejor uso del Sistema por parte de usuarios </w:t>
      </w:r>
      <w:r w:rsidR="00B31735" w:rsidRPr="00A34388">
        <w:rPr>
          <w:lang w:val="es-ES_tradnl"/>
        </w:rPr>
        <w:t xml:space="preserve">actuales </w:t>
      </w:r>
      <w:r w:rsidRPr="00A34388">
        <w:rPr>
          <w:lang w:val="es-ES_tradnl"/>
        </w:rPr>
        <w:t xml:space="preserve">o potenciales se concentraron particularmente en China, los Estados Unidos de América, la Federación de Rusia, el Japón, así como las regiones de </w:t>
      </w:r>
      <w:r w:rsidR="00956D28">
        <w:rPr>
          <w:lang w:val="es-ES_tradnl"/>
        </w:rPr>
        <w:t xml:space="preserve">la </w:t>
      </w:r>
      <w:r w:rsidRPr="00A34388">
        <w:rPr>
          <w:lang w:val="es-ES_tradnl"/>
        </w:rPr>
        <w:t xml:space="preserve">ASEAN y Europa.   Asimismo, con el fin de brindar a los sectores interesados las más recientes informaciones y acontecimientos acerca del Sistema de Madrid, en 2012 se publicó un boletín de noticias trimestral titulado “Madrid – Novedades” y desde 2013 está disponible en los seis idiomas oficiales de las NN.UU. </w:t>
      </w:r>
    </w:p>
    <w:p w:rsidR="00525604" w:rsidRPr="00A34388" w:rsidRDefault="00525604" w:rsidP="00525604">
      <w:pPr>
        <w:tabs>
          <w:tab w:val="left" w:pos="709"/>
        </w:tabs>
        <w:jc w:val="both"/>
        <w:rPr>
          <w:rFonts w:cs="Arial"/>
          <w:bCs/>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A34388">
        <w:rPr>
          <w:lang w:val="es-ES_tradnl"/>
        </w:rPr>
        <w:t xml:space="preserve">La Oficina Internacional prestó asistencia a varios Estados y organizaciones intergubernamentales en su labor preparatoria de cara a su futura adhesión al Protocolo de Madrid, en particular, a Argelia, Barbados, Brunei Darussalam, Camboya, Colombia, Costa Rica, </w:t>
      </w:r>
      <w:r w:rsidR="00640EF0" w:rsidRPr="00A34388">
        <w:rPr>
          <w:lang w:val="es-ES_tradnl"/>
        </w:rPr>
        <w:t>Filipinas</w:t>
      </w:r>
      <w:r w:rsidRPr="00A34388">
        <w:rPr>
          <w:lang w:val="es-ES_tradnl"/>
        </w:rPr>
        <w:t xml:space="preserve">, Gambia, la India, Indonesia, Jamaica, Malasia, México, Nigeria, Nueva Zelandia, </w:t>
      </w:r>
      <w:r w:rsidR="00380F05" w:rsidRPr="00A34388">
        <w:rPr>
          <w:lang w:val="es-ES_tradnl"/>
        </w:rPr>
        <w:t xml:space="preserve">el </w:t>
      </w:r>
      <w:r w:rsidRPr="00A34388">
        <w:rPr>
          <w:lang w:val="es-ES_tradnl"/>
        </w:rPr>
        <w:t xml:space="preserve">Pakistán, Sri Lanka, Sudáfrica, Tailandia, </w:t>
      </w:r>
      <w:r w:rsidR="0065614B" w:rsidRPr="00A34388">
        <w:rPr>
          <w:lang w:val="es-ES_tradnl"/>
        </w:rPr>
        <w:t xml:space="preserve">la </w:t>
      </w:r>
      <w:r w:rsidRPr="00A34388">
        <w:rPr>
          <w:lang w:val="es-ES_tradnl"/>
        </w:rPr>
        <w:t xml:space="preserve">República Dominicana, Trinidad y Tabago, Túnez, Zimbabwe, así como a dos organizaciones intergubernamentales: </w:t>
      </w:r>
      <w:r w:rsidR="007E4D96" w:rsidRPr="00A34388">
        <w:rPr>
          <w:lang w:val="es-ES_tradnl"/>
        </w:rPr>
        <w:t xml:space="preserve"> </w:t>
      </w:r>
      <w:r w:rsidRPr="00A34388">
        <w:rPr>
          <w:lang w:val="es-ES_tradnl"/>
        </w:rPr>
        <w:t xml:space="preserve">la Organización Regional Africana de la Propiedad Intelectual (ARIPO) y la </w:t>
      </w:r>
      <w:r w:rsidR="00956D28" w:rsidRPr="00956D28">
        <w:rPr>
          <w:lang w:val="es-ES_tradnl"/>
        </w:rPr>
        <w:t>Organización</w:t>
      </w:r>
      <w:r w:rsidRPr="00956D28">
        <w:rPr>
          <w:lang w:val="es-ES_tradnl"/>
        </w:rPr>
        <w:t xml:space="preserve"> African</w:t>
      </w:r>
      <w:r w:rsidR="00956D28" w:rsidRPr="00956D28">
        <w:rPr>
          <w:lang w:val="es-ES_tradnl"/>
        </w:rPr>
        <w:t>a</w:t>
      </w:r>
      <w:r w:rsidRPr="00956D28">
        <w:rPr>
          <w:lang w:val="es-ES_tradnl"/>
        </w:rPr>
        <w:t xml:space="preserve"> de la Propie</w:t>
      </w:r>
      <w:r w:rsidR="00956D28" w:rsidRPr="00956D28">
        <w:rPr>
          <w:lang w:val="es-ES_tradnl"/>
        </w:rPr>
        <w:t>dad</w:t>
      </w:r>
      <w:r w:rsidRPr="00956D28">
        <w:rPr>
          <w:lang w:val="es-ES_tradnl"/>
        </w:rPr>
        <w:t xml:space="preserve"> Inte</w:t>
      </w:r>
      <w:r w:rsidR="00956D28" w:rsidRPr="00956D28">
        <w:rPr>
          <w:lang w:val="es-ES_tradnl"/>
        </w:rPr>
        <w:t>lectual</w:t>
      </w:r>
      <w:r w:rsidRPr="00A34388">
        <w:rPr>
          <w:lang w:val="es-ES_tradnl"/>
        </w:rPr>
        <w:t xml:space="preserve"> (OAPI).  </w:t>
      </w:r>
      <w:r w:rsidRPr="00332758">
        <w:rPr>
          <w:lang w:val="es-ES_tradnl"/>
        </w:rPr>
        <w:t>La posible adhesión futura de estos Estados mejorará sobremanera el alcance geográfico del Sistema de Madrid y hará que éste sea más atractivo para los usuarios, proporcionando una opción sencilla, eficiente y eficaz en función de los costos para que los titulares de marcas puedan obtener y conservar la protección de sus marcas en un ámbito geográfico ampliado.</w:t>
      </w:r>
    </w:p>
    <w:p w:rsidR="00525604" w:rsidRPr="00A34388" w:rsidRDefault="00525604" w:rsidP="00525604">
      <w:pPr>
        <w:jc w:val="both"/>
        <w:rPr>
          <w:rFonts w:cs="Arial"/>
          <w:bCs/>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A34388">
        <w:rPr>
          <w:lang w:val="es-ES_tradnl"/>
        </w:rPr>
        <w:t>Además, la Oficina Internacional organizó cuatro talleres para las oficinas de P.I., centrándose principalmente en los países en desarrollo y PMA, para impartir formación relativa a los procedimientos operativos del Sistema de Madrid.</w:t>
      </w:r>
    </w:p>
    <w:p w:rsidR="00525604" w:rsidRPr="00A34388" w:rsidRDefault="00525604" w:rsidP="00525604">
      <w:pPr>
        <w:tabs>
          <w:tab w:val="left" w:pos="709"/>
        </w:tabs>
        <w:jc w:val="both"/>
        <w:rPr>
          <w:rFonts w:cs="Arial"/>
          <w:bCs/>
          <w:sz w:val="16"/>
          <w:szCs w:val="16"/>
          <w:lang w:val="es-ES_tradnl"/>
        </w:rPr>
      </w:pPr>
    </w:p>
    <w:p w:rsidR="00525604" w:rsidRPr="00A34388" w:rsidRDefault="00956D28" w:rsidP="00525604">
      <w:pPr>
        <w:pStyle w:val="ListParagraph"/>
        <w:numPr>
          <w:ilvl w:val="0"/>
          <w:numId w:val="17"/>
        </w:numPr>
        <w:tabs>
          <w:tab w:val="left" w:pos="709"/>
        </w:tabs>
        <w:ind w:left="0" w:firstLine="0"/>
        <w:jc w:val="both"/>
        <w:rPr>
          <w:rFonts w:cs="Arial"/>
          <w:bCs/>
          <w:lang w:val="es-ES_tradnl"/>
        </w:rPr>
      </w:pPr>
      <w:r>
        <w:rPr>
          <w:lang w:val="es-ES_tradnl"/>
        </w:rPr>
        <w:t>El año 201</w:t>
      </w:r>
      <w:r w:rsidR="00525604" w:rsidRPr="00A34388">
        <w:rPr>
          <w:lang w:val="es-ES_tradnl"/>
        </w:rPr>
        <w:t>3 fue el tercer año consecutivo de crecimiento continuo del Sistema de Madrid, en lo que atañe a presentación de solicitudes internacionales, designaciones posteriores y renovaciones.  En 2013, la Oficina Internacional recibió 46.829 solicitudes internacionales, lo que representa un incremento del 6,4% con respecto a la cifra de 2012.  La Oficina Internacional recibió 44.414 solicitudes, lo que representa un incremento del 5,9% con respecto a la cifra de 2012.  El aumento del uso del Sistema también se puso de relieve por el número de decisiones de las oficinas de las Partes Contratantes, que se incrementó en un 4,5% en 2013 (456.877) con respecto a la cifra de 2012 (437.082).  Además, las renovaciones de registros internacionales se incrementaron en un 5,3%</w:t>
      </w:r>
      <w:r w:rsidR="00017255">
        <w:rPr>
          <w:lang w:val="es-ES_tradnl"/>
        </w:rPr>
        <w:t xml:space="preserve"> en comparación con la cifra de </w:t>
      </w:r>
      <w:r w:rsidR="00525604" w:rsidRPr="00A34388">
        <w:rPr>
          <w:lang w:val="es-ES_tradnl"/>
        </w:rPr>
        <w:t>2012.</w:t>
      </w:r>
    </w:p>
    <w:p w:rsidR="00525604" w:rsidRPr="00A34388" w:rsidRDefault="00525604" w:rsidP="00525604">
      <w:pPr>
        <w:tabs>
          <w:tab w:val="left" w:pos="709"/>
        </w:tabs>
        <w:jc w:val="both"/>
        <w:rPr>
          <w:rFonts w:cs="Arial"/>
          <w:b/>
          <w:bCs/>
          <w:sz w:val="16"/>
          <w:szCs w:val="16"/>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A34388">
        <w:rPr>
          <w:lang w:val="es-ES_tradnl"/>
        </w:rPr>
        <w:t>De</w:t>
      </w:r>
      <w:r w:rsidR="00942D5F">
        <w:rPr>
          <w:lang w:val="es-ES_tradnl"/>
        </w:rPr>
        <w:t>l total de</w:t>
      </w:r>
      <w:r w:rsidRPr="00A34388">
        <w:rPr>
          <w:lang w:val="es-ES_tradnl"/>
        </w:rPr>
        <w:t xml:space="preserve"> solicitudes recibidas en 2012 y 2013, un 7% y 6,8%, respectivamente, procedían de países en desarrollo y PMA.  </w:t>
      </w:r>
    </w:p>
    <w:p w:rsidR="00525604" w:rsidRPr="00A34388" w:rsidRDefault="00525604" w:rsidP="00525604">
      <w:pPr>
        <w:pStyle w:val="ListParagraph"/>
        <w:tabs>
          <w:tab w:val="left" w:pos="709"/>
        </w:tabs>
        <w:ind w:left="0"/>
        <w:jc w:val="both"/>
        <w:rPr>
          <w:rFonts w:cs="Arial"/>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332758">
        <w:rPr>
          <w:lang w:val="es-ES_tradnl"/>
        </w:rPr>
        <w:t>El tiempo medio de tramitación de nuevas solicitudes fue de 24 días naturales en 2013</w:t>
      </w:r>
      <w:r w:rsidR="00537926" w:rsidRPr="00332758">
        <w:rPr>
          <w:lang w:val="es-ES_tradnl"/>
        </w:rPr>
        <w:t xml:space="preserve">. </w:t>
      </w:r>
      <w:r w:rsidRPr="00332758">
        <w:rPr>
          <w:lang w:val="es-ES_tradnl"/>
        </w:rPr>
        <w:t xml:space="preserve"> </w:t>
      </w:r>
      <w:r w:rsidRPr="00A34388">
        <w:rPr>
          <w:lang w:val="es-ES_tradnl"/>
        </w:rPr>
        <w:t>Las irregularidades ascendieron a un 32,4% del número total de solicitudes, de las cuales un 25,9% se debieron a problemas de clasificación.</w:t>
      </w:r>
      <w:r w:rsidR="00D026D3" w:rsidRPr="00A34388">
        <w:rPr>
          <w:lang w:val="es-ES_tradnl"/>
        </w:rPr>
        <w:t xml:space="preserve"> </w:t>
      </w:r>
      <w:r w:rsidRPr="00A34388">
        <w:rPr>
          <w:lang w:val="es-ES_tradnl"/>
        </w:rPr>
        <w:t xml:space="preserve"> La extensión de las solicitudes, y en particular las listas de bienes y servicios, continuó aumentando durante el bienio</w:t>
      </w:r>
      <w:r w:rsidR="00537926" w:rsidRPr="00A34388">
        <w:rPr>
          <w:lang w:val="es-ES_tradnl"/>
        </w:rPr>
        <w:t xml:space="preserve">. </w:t>
      </w:r>
      <w:r w:rsidRPr="00A34388">
        <w:rPr>
          <w:lang w:val="es-ES_tradnl"/>
        </w:rPr>
        <w:t xml:space="preserve"> </w:t>
      </w:r>
      <w:r w:rsidRPr="00332758">
        <w:rPr>
          <w:lang w:val="es-ES_tradnl"/>
        </w:rPr>
        <w:t xml:space="preserve">El número de palabras clasificadas y traducidas  </w:t>
      </w:r>
      <w:r w:rsidRPr="00332758">
        <w:rPr>
          <w:lang w:val="es-ES_tradnl"/>
        </w:rPr>
        <w:lastRenderedPageBreak/>
        <w:t xml:space="preserve">pasaron de 5,5 millones en 2010, a 9,4 millones en 2013.  </w:t>
      </w:r>
      <w:r w:rsidRPr="00A34388">
        <w:rPr>
          <w:lang w:val="es-ES_tradnl"/>
        </w:rPr>
        <w:t>El número medio de palabras de las listas de bienes y servicios pasó de 70 en 1999 a 170 en 2011, y a más de 202 en 2013.</w:t>
      </w:r>
    </w:p>
    <w:p w:rsidR="00525604" w:rsidRPr="00A34388" w:rsidRDefault="00525604" w:rsidP="00525604">
      <w:pPr>
        <w:tabs>
          <w:tab w:val="left" w:pos="567"/>
        </w:tabs>
        <w:jc w:val="both"/>
        <w:rPr>
          <w:rFonts w:cs="Arial"/>
          <w:szCs w:val="20"/>
          <w:lang w:val="es-ES_tradnl"/>
        </w:rPr>
      </w:pPr>
    </w:p>
    <w:p w:rsidR="00525604" w:rsidRPr="00A34388" w:rsidRDefault="00525604" w:rsidP="00525604">
      <w:pPr>
        <w:pStyle w:val="ListParagraph"/>
        <w:numPr>
          <w:ilvl w:val="0"/>
          <w:numId w:val="17"/>
        </w:numPr>
        <w:tabs>
          <w:tab w:val="left" w:pos="709"/>
        </w:tabs>
        <w:ind w:left="0" w:firstLine="0"/>
        <w:jc w:val="both"/>
        <w:rPr>
          <w:rFonts w:eastAsia="MS Mincho"/>
          <w:lang w:val="es-ES_tradnl"/>
        </w:rPr>
      </w:pPr>
      <w:r w:rsidRPr="00332758">
        <w:rPr>
          <w:lang w:val="es-ES_tradnl"/>
        </w:rPr>
        <w:t>La Fase II del programa de modernización de las tecnologías de la información incluye la migración de todas las funciones institucionales del Sistema de Madrid y del Sistema de La Haya desde su tecnología tradicional a una arquitectura técnica apta para Internet y habilitada para las transacciones electrónicas.</w:t>
      </w:r>
      <w:r w:rsidRPr="00A34388">
        <w:rPr>
          <w:lang w:val="es-ES_tradnl"/>
        </w:rPr>
        <w:t xml:space="preserve">  La ejecución de la Fase II progresó hasta una fase avanzada durante el bienio.  </w:t>
      </w:r>
      <w:r w:rsidRPr="00332758">
        <w:rPr>
          <w:lang w:val="es-ES_tradnl"/>
        </w:rPr>
        <w:t>Una posterior Fase III del Programa de modernización de las T.I. se encargará de mejorar la interfaz del usuario final, de optimizar los flujos de trabajo y rendimientos pertinentes y de incorporar los procedimientos internos.</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A34388">
        <w:rPr>
          <w:lang w:val="es-ES_tradnl"/>
        </w:rPr>
        <w:t xml:space="preserve">El conjunto de herramientas de T.I. basadas en Internet, </w:t>
      </w:r>
      <w:r w:rsidRPr="00A34388">
        <w:rPr>
          <w:i/>
          <w:lang w:val="es-ES_tradnl"/>
        </w:rPr>
        <w:t>Madrid Electronic Alert</w:t>
      </w:r>
      <w:r w:rsidRPr="00A34388">
        <w:rPr>
          <w:lang w:val="es-ES_tradnl"/>
        </w:rPr>
        <w:t xml:space="preserve"> (MEA),</w:t>
      </w:r>
      <w:r w:rsidRPr="00A34388">
        <w:rPr>
          <w:i/>
          <w:lang w:val="es-ES_tradnl"/>
        </w:rPr>
        <w:t xml:space="preserve"> Madrid Real-time Status</w:t>
      </w:r>
      <w:r w:rsidRPr="00A34388">
        <w:rPr>
          <w:lang w:val="es-ES_tradnl"/>
        </w:rPr>
        <w:t xml:space="preserve"> (MRS) y</w:t>
      </w:r>
      <w:r w:rsidRPr="00A34388">
        <w:rPr>
          <w:i/>
          <w:lang w:val="es-ES_tradnl"/>
        </w:rPr>
        <w:t xml:space="preserve"> Madrid Portfolio Manager</w:t>
      </w:r>
      <w:r w:rsidRPr="00A34388">
        <w:rPr>
          <w:lang w:val="es-ES_tradnl"/>
        </w:rPr>
        <w:t xml:space="preserve"> (MPM) registraron un </w:t>
      </w:r>
      <w:r w:rsidR="00284400" w:rsidRPr="00A34388">
        <w:rPr>
          <w:lang w:val="es-ES_tradnl"/>
        </w:rPr>
        <w:t>mayor</w:t>
      </w:r>
      <w:r w:rsidRPr="00A34388">
        <w:rPr>
          <w:lang w:val="es-ES_tradnl"/>
        </w:rPr>
        <w:t xml:space="preserve"> uso y una funcionalidad mejorada.  El Gestor de Productos y Servicios de Madrid (MGS) se continuó perfeccionando en función de los requisitos operativos, incluyendo la plena conformidad con la Clasificación de Niza.</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A34388">
        <w:rPr>
          <w:lang w:val="es-ES_tradnl"/>
        </w:rPr>
        <w:t xml:space="preserve">Por lo que respecta a la evolución jurídica del Sistema de Madrid, los debates del Grupo de Trabajo continuaron durante la totalidad del bienio, explorando las posibilidades de dotar al Sistema de una mayor eficiencia, flexibilidad y facilidad de uso. </w:t>
      </w:r>
    </w:p>
    <w:p w:rsidR="00525604" w:rsidRPr="00A34388" w:rsidRDefault="00525604" w:rsidP="00525604">
      <w:pPr>
        <w:jc w:val="both"/>
        <w:rPr>
          <w:rFonts w:cs="Arial"/>
          <w:bCs/>
          <w:szCs w:val="20"/>
          <w:lang w:val="es-ES_tradnl"/>
        </w:rPr>
      </w:pPr>
    </w:p>
    <w:p w:rsidR="00525604" w:rsidRPr="00332758" w:rsidRDefault="00525604" w:rsidP="00525604">
      <w:pPr>
        <w:jc w:val="both"/>
        <w:rPr>
          <w:rFonts w:cs="Arial"/>
          <w:bCs/>
          <w:szCs w:val="22"/>
          <w:lang w:val="es-ES_tradnl"/>
        </w:rPr>
      </w:pPr>
      <w:r w:rsidRPr="00332758">
        <w:rPr>
          <w:lang w:val="es-ES_tradnl"/>
        </w:rPr>
        <w:t>SISTEMA DE LISBOA</w:t>
      </w:r>
    </w:p>
    <w:p w:rsidR="00525604" w:rsidRPr="00A34388" w:rsidRDefault="00525604" w:rsidP="00525604">
      <w:pPr>
        <w:jc w:val="both"/>
        <w:rPr>
          <w:rFonts w:cs="Arial"/>
          <w:bCs/>
          <w:szCs w:val="20"/>
          <w:lang w:val="es-ES_tradnl"/>
        </w:rPr>
      </w:pPr>
    </w:p>
    <w:p w:rsidR="00525604" w:rsidRPr="00A34388" w:rsidRDefault="00525604" w:rsidP="00525604">
      <w:pPr>
        <w:pStyle w:val="ListParagraph"/>
        <w:numPr>
          <w:ilvl w:val="0"/>
          <w:numId w:val="17"/>
        </w:numPr>
        <w:tabs>
          <w:tab w:val="left" w:pos="709"/>
        </w:tabs>
        <w:ind w:left="0" w:firstLine="0"/>
        <w:rPr>
          <w:lang w:val="es-ES_tradnl"/>
        </w:rPr>
      </w:pPr>
      <w:r w:rsidRPr="00A34388">
        <w:rPr>
          <w:lang w:val="es-ES_tradnl"/>
        </w:rPr>
        <w:t xml:space="preserve">El número de miembros del Arreglo de Lisboa aumentó hasta 28, después de la adhesión de Bosnia y Herzegovina en abril de 2013.  </w:t>
      </w:r>
    </w:p>
    <w:p w:rsidR="00525604" w:rsidRPr="00A34388" w:rsidRDefault="00525604" w:rsidP="00525604">
      <w:pPr>
        <w:tabs>
          <w:tab w:val="left" w:pos="709"/>
        </w:tabs>
        <w:jc w:val="both"/>
        <w:rPr>
          <w:rFonts w:cs="Arial"/>
          <w:bCs/>
          <w:szCs w:val="20"/>
          <w:lang w:val="es-ES_tradnl"/>
        </w:rPr>
      </w:pPr>
    </w:p>
    <w:p w:rsidR="00710724" w:rsidRPr="00A34388" w:rsidRDefault="00525604" w:rsidP="00525604">
      <w:pPr>
        <w:pStyle w:val="ListParagraph"/>
        <w:numPr>
          <w:ilvl w:val="0"/>
          <w:numId w:val="17"/>
        </w:numPr>
        <w:tabs>
          <w:tab w:val="left" w:pos="709"/>
        </w:tabs>
        <w:ind w:left="0" w:firstLine="0"/>
        <w:jc w:val="both"/>
        <w:rPr>
          <w:rFonts w:cs="Arial"/>
          <w:bCs/>
          <w:lang w:val="es-ES_tradnl"/>
        </w:rPr>
      </w:pPr>
      <w:r w:rsidRPr="00332758">
        <w:rPr>
          <w:lang w:val="es-ES_tradnl"/>
        </w:rPr>
        <w:t>La 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w:t>
      </w:r>
      <w:r w:rsidRPr="00A34388">
        <w:rPr>
          <w:lang w:val="es-ES_tradnl"/>
        </w:rPr>
        <w:t xml:space="preserve">  </w:t>
      </w:r>
      <w:r w:rsidRPr="00332758">
        <w:rPr>
          <w:lang w:val="es-ES_tradnl"/>
        </w:rPr>
        <w:t>En virtud de este mandato, el Grupo de Trabajo, que está abierto a todos los miembros y observadores de la OMPI, debía explorar los cambios que habría que hacer en el Sistema de Lisboa para que sea posible aumentar las adhesiones.</w:t>
      </w:r>
      <w:r w:rsidRPr="00A34388">
        <w:rPr>
          <w:lang w:val="es-ES_tradnl"/>
        </w:rPr>
        <w:t xml:space="preserve">  </w:t>
      </w:r>
      <w:r w:rsidR="00710724" w:rsidRPr="00A34388">
        <w:rPr>
          <w:lang w:val="es-ES_tradnl"/>
        </w:rPr>
        <w:t xml:space="preserve">En vista de los considerables avances logrados en las reuniones del Grupo de Trabajo en diciembre de 2012 y abril/mayo de 2013 sobre un proyecto de Arreglo de Lisboa </w:t>
      </w:r>
      <w:r w:rsidR="00956D28" w:rsidRPr="00A34388">
        <w:rPr>
          <w:lang w:val="es-ES_tradnl"/>
        </w:rPr>
        <w:t xml:space="preserve">revisado </w:t>
      </w:r>
      <w:r w:rsidR="00710724" w:rsidRPr="00A34388">
        <w:rPr>
          <w:lang w:val="es-ES_tradnl"/>
        </w:rPr>
        <w:t xml:space="preserve">y el correspondiente proyecto de reglamento de dicho Arreglo de Lisboa revisado, la Asamblea aprobó la convocación de una conferencia diplomática para la adopción en 2015 de un proyecto de Arreglo de Lisboa revisado sobre las Denominaciones de Origen y las Indicaciones Geográficas.  De acuerdo con la hoja de ruta acordada por la Asamblea, en diciembre de 2013 se celebró una nueva reunión del Grupo de Trabajo, estando </w:t>
      </w:r>
      <w:r w:rsidR="003F5E06" w:rsidRPr="00A34388">
        <w:rPr>
          <w:lang w:val="es-ES_tradnl"/>
        </w:rPr>
        <w:t xml:space="preserve">programadas </w:t>
      </w:r>
      <w:r w:rsidR="00710724" w:rsidRPr="00A34388">
        <w:rPr>
          <w:lang w:val="es-ES_tradnl"/>
        </w:rPr>
        <w:t>otras dos reuniones para junio y octubre de 2014, respectivamente.  Esta última se combinará con la reunión del Comité Preparatorio de la conferencia diplomática.  En paralelo a la reunión del Grupo de Trabajo de diciembre de 2014, se celebró una conferencia de medio día de duración sobre la solución de controversias en el marco del Sistema de Lisboa, con el fin de indagar las situaciones en que sería apropiada la solución de controversias y de qué manera.</w:t>
      </w:r>
    </w:p>
    <w:p w:rsidR="00710724" w:rsidRPr="00A34388" w:rsidRDefault="00710724" w:rsidP="00710724">
      <w:pPr>
        <w:pStyle w:val="ListParagraph"/>
        <w:tabs>
          <w:tab w:val="left" w:pos="709"/>
        </w:tabs>
        <w:ind w:left="0"/>
        <w:jc w:val="both"/>
        <w:rPr>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A34388">
        <w:rPr>
          <w:lang w:val="es-ES_tradnl"/>
        </w:rPr>
        <w:t xml:space="preserve">La Oficina Internacional actualizó regularmente en el sitio web de la OMPI las informaciones acerca del Sistema de Lisboa y de su revisión prevista.  Además, organizó y participó en </w:t>
      </w:r>
      <w:r w:rsidR="00956D28">
        <w:rPr>
          <w:lang w:val="es-ES_tradnl"/>
        </w:rPr>
        <w:t>reuniones</w:t>
      </w:r>
      <w:r w:rsidRPr="00A34388">
        <w:rPr>
          <w:lang w:val="es-ES_tradnl"/>
        </w:rPr>
        <w:t xml:space="preserve"> en las diversas regiones, con vistas a promover la revisión en curso del Sistema de Lisboa.  </w:t>
      </w:r>
    </w:p>
    <w:p w:rsidR="00525604" w:rsidRPr="00A34388" w:rsidRDefault="00525604" w:rsidP="00525604">
      <w:pPr>
        <w:rPr>
          <w:rFonts w:cs="Arial"/>
          <w:bCs/>
          <w:szCs w:val="20"/>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332758">
        <w:rPr>
          <w:lang w:val="es-ES_tradnl"/>
        </w:rPr>
        <w:t>Las modificaciones en el Reglamento del Arreglo de Lisboa que fueron adoptadas por la Asamblea de la Unión de Lisboa entraron en vigor el 1 de enero de 2012.</w:t>
      </w:r>
      <w:r w:rsidRPr="00A34388">
        <w:rPr>
          <w:lang w:val="es-ES_tradnl"/>
        </w:rPr>
        <w:t xml:space="preserve">  </w:t>
      </w:r>
      <w:r w:rsidRPr="00332758">
        <w:rPr>
          <w:lang w:val="es-ES_tradnl"/>
        </w:rPr>
        <w:t xml:space="preserve">Estas modificaciones tienen como objetivo mejorar la transparencia del contenido del Registro Internacional y por consiguiente la de la base de datos </w:t>
      </w:r>
      <w:r w:rsidRPr="00332758">
        <w:rPr>
          <w:i/>
          <w:lang w:val="es-ES_tradnl"/>
        </w:rPr>
        <w:t>Lisbon Express</w:t>
      </w:r>
      <w:r w:rsidRPr="00332758">
        <w:rPr>
          <w:lang w:val="es-ES_tradnl"/>
        </w:rPr>
        <w:t>, contenida en el sitio Web de la OMPI.</w:t>
      </w:r>
      <w:r w:rsidRPr="00A34388">
        <w:rPr>
          <w:lang w:val="es-ES_tradnl"/>
        </w:rPr>
        <w:t xml:space="preserve">  </w:t>
      </w:r>
      <w:r w:rsidRPr="00332758">
        <w:rPr>
          <w:lang w:val="es-ES_tradnl"/>
        </w:rPr>
        <w:t>La modificación de la Regla 5.3) del Reglamento ofrece al país de origen la opción de presentar información sobre los elementos que permitieron que se confiera protección a la denominación de origen en cuestión.</w:t>
      </w:r>
      <w:r w:rsidRPr="00A34388">
        <w:rPr>
          <w:lang w:val="es-ES_tradnl"/>
        </w:rPr>
        <w:t xml:space="preserve">  </w:t>
      </w:r>
      <w:r w:rsidRPr="00332758">
        <w:rPr>
          <w:lang w:val="es-ES_tradnl"/>
        </w:rPr>
        <w:t>La modificación de la Regla 16.1) dispone que la autoridad competente de un Estado parte en el Arreglo de Lisboa que emita una notificación de invalidación de los efectos del registro internacional en su territorio deberá indicar en la notificación los motivos en los que se fundamenta dicha decisión.</w:t>
      </w:r>
      <w:r w:rsidRPr="00A34388">
        <w:rPr>
          <w:lang w:val="es-ES_tradnl"/>
        </w:rPr>
        <w:t xml:space="preserve">  </w:t>
      </w:r>
      <w:r w:rsidRPr="00332758">
        <w:rPr>
          <w:lang w:val="es-ES_tradnl"/>
        </w:rPr>
        <w:t>Los datos proporcionados en virtud de estas nuevas disposiciones serán inscritos en el Registro Internacional en los tres idiomas de trabajo del Sistema de Lisboa.</w:t>
      </w:r>
      <w:r w:rsidRPr="00A34388">
        <w:rPr>
          <w:lang w:val="es-ES_tradnl"/>
        </w:rPr>
        <w:t xml:space="preserve">  </w:t>
      </w:r>
    </w:p>
    <w:p w:rsidR="00525604" w:rsidRPr="00A34388" w:rsidRDefault="00525604" w:rsidP="00525604">
      <w:pPr>
        <w:tabs>
          <w:tab w:val="left" w:pos="709"/>
        </w:tabs>
        <w:jc w:val="both"/>
        <w:rPr>
          <w:rFonts w:cs="Arial"/>
          <w:bCs/>
          <w:szCs w:val="20"/>
          <w:lang w:val="es-ES_tradnl"/>
        </w:rPr>
      </w:pPr>
    </w:p>
    <w:p w:rsidR="00525604" w:rsidRPr="00A34388" w:rsidRDefault="00525604" w:rsidP="00525604">
      <w:pPr>
        <w:pStyle w:val="ListParagraph"/>
        <w:numPr>
          <w:ilvl w:val="0"/>
          <w:numId w:val="17"/>
        </w:numPr>
        <w:tabs>
          <w:tab w:val="left" w:pos="709"/>
        </w:tabs>
        <w:ind w:left="0" w:firstLine="0"/>
        <w:jc w:val="both"/>
        <w:rPr>
          <w:rFonts w:cs="Arial"/>
          <w:bCs/>
          <w:lang w:val="es-ES_tradnl"/>
        </w:rPr>
      </w:pPr>
      <w:r w:rsidRPr="00332758">
        <w:rPr>
          <w:lang w:val="es-ES_tradnl"/>
        </w:rPr>
        <w:t>Desde enero de 2012, la publicación oficial del Sistema de Lisboa, el Boletín de la OMPI titulado “Las denominaciones de origen”, sólo está disponible en formato electrónico en el sitio web de la OMPI.</w:t>
      </w:r>
      <w:r w:rsidRPr="00A34388">
        <w:rPr>
          <w:lang w:val="es-ES_tradnl"/>
        </w:rPr>
        <w:t xml:space="preserve">  Para finales de 2012, el número de </w:t>
      </w:r>
      <w:r w:rsidR="00956D28">
        <w:rPr>
          <w:lang w:val="es-ES_tradnl"/>
        </w:rPr>
        <w:t>Administraciones</w:t>
      </w:r>
      <w:r w:rsidRPr="00A34388">
        <w:rPr>
          <w:lang w:val="es-ES_tradnl"/>
        </w:rPr>
        <w:t xml:space="preserve"> competentes que habían dado su aprobación al uso de medios electrónicos para las comunicaciones en virtud de los procedimientos del Sistema de Lisboa </w:t>
      </w:r>
      <w:r w:rsidRPr="00A34388">
        <w:rPr>
          <w:lang w:val="es-ES_tradnl"/>
        </w:rPr>
        <w:lastRenderedPageBreak/>
        <w:t xml:space="preserve">había aumentado a 23.  También se progresó de forma considerable en la creación de un Registro Internacional electrónico, con el desarrollo de un programa de T.I. al efecto.  Los contenidos en papel del Registro Internacional se pasaron a formato electrónico y se racionalizó el procedimiento para actualizar la base de datos </w:t>
      </w:r>
      <w:r w:rsidRPr="00956D28">
        <w:rPr>
          <w:i/>
          <w:lang w:val="es-ES_tradnl"/>
        </w:rPr>
        <w:t>Lisbon Express</w:t>
      </w:r>
      <w:r w:rsidRPr="00A34388">
        <w:rPr>
          <w:lang w:val="es-ES_tradnl"/>
        </w:rPr>
        <w:t xml:space="preserve"> del sitio web de la OMPI.  </w:t>
      </w:r>
      <w:r w:rsidRPr="00332758">
        <w:rPr>
          <w:lang w:val="es-ES_tradnl"/>
        </w:rPr>
        <w:t xml:space="preserve">Las páginas del sitio Web de la OMPI referidas al Sistema de Lisboa han sido adaptadas en 2012 y 2013 para mejorar aún más la facilidad de las consultas.  </w:t>
      </w:r>
    </w:p>
    <w:p w:rsidR="00525604" w:rsidRPr="00A34388" w:rsidRDefault="00525604" w:rsidP="00525604">
      <w:pPr>
        <w:pStyle w:val="ListParagraph"/>
        <w:ind w:left="0"/>
        <w:jc w:val="both"/>
        <w:rPr>
          <w:rFonts w:cs="Arial"/>
          <w:bCs/>
          <w:lang w:val="es-ES_tradnl"/>
        </w:rPr>
      </w:pPr>
    </w:p>
    <w:p w:rsidR="00525604" w:rsidRPr="00A34388" w:rsidRDefault="00525604" w:rsidP="00525604">
      <w:pPr>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rPr>
          <w:sz w:val="22"/>
          <w:szCs w:val="22"/>
          <w:lang w:val="es-ES_tradnl"/>
        </w:rPr>
      </w:pPr>
    </w:p>
    <w:p w:rsidR="00525604" w:rsidRPr="00A34388" w:rsidRDefault="00525604" w:rsidP="00525604">
      <w:pPr>
        <w:pStyle w:val="ListParagraph"/>
        <w:numPr>
          <w:ilvl w:val="0"/>
          <w:numId w:val="17"/>
        </w:numPr>
        <w:tabs>
          <w:tab w:val="left" w:pos="709"/>
        </w:tabs>
        <w:ind w:left="0" w:firstLine="0"/>
        <w:jc w:val="both"/>
        <w:rPr>
          <w:rFonts w:cs="Arial"/>
          <w:lang w:val="es-ES_tradnl"/>
        </w:rPr>
      </w:pPr>
      <w:r w:rsidRPr="00332758">
        <w:rPr>
          <w:lang w:val="es-ES_tradnl"/>
        </w:rPr>
        <w:t>El diseño, la planificación y la ejecución de las actividades del programa 6 se basaron y se guiaron por las recomendaciones pertinentes de la Agenda para el Desarrollo, en particular por las recomendaciones 1 y 6.  Además, la asistencia legislativa ofrecida a los Estados miembros estuvo orientada al desarrollo, fue ponderada y adaptada a las solicitudes específicas de cada Estado miembro, de conformidad con los principios de la Agenda para el Desarrollo (recomendación 13); y tuvo en cuenta las flexibilidades aplicables a los países según sus distintos niveles de desarrollo (recomendaciones 14 y 17).</w:t>
      </w:r>
      <w:r w:rsidRPr="00A34388">
        <w:rPr>
          <w:lang w:val="es-ES_tradnl"/>
        </w:rPr>
        <w:t xml:space="preserve">  Además, el desarrollo de la herramienta de Internet </w:t>
      </w:r>
      <w:r w:rsidRPr="00956D28">
        <w:rPr>
          <w:i/>
          <w:lang w:val="es-ES_tradnl"/>
        </w:rPr>
        <w:t>Madrid Office Portal</w:t>
      </w:r>
      <w:r w:rsidRPr="00A34388">
        <w:rPr>
          <w:lang w:val="es-ES_tradnl"/>
        </w:rPr>
        <w:t xml:space="preserve"> ofreció a todos los Estados miembros pleno acceso al registro electrónico de marcas internacionales en línea, utilizando una infraestructura de TIC mínima, en concreto una conexión a Internet y un navegador.  El </w:t>
      </w:r>
      <w:r w:rsidRPr="00956D28">
        <w:rPr>
          <w:i/>
          <w:lang w:val="es-ES_tradnl"/>
        </w:rPr>
        <w:t>Madrid Office Portal</w:t>
      </w:r>
      <w:r w:rsidRPr="00A34388">
        <w:rPr>
          <w:lang w:val="es-ES_tradnl"/>
        </w:rPr>
        <w:t xml:space="preserve"> también permitió a las oficinas cumplir sus obligaciones básicas como Oficinas de origen y Parte Contratante designada, mediante interacciones con el </w:t>
      </w:r>
      <w:r w:rsidR="00956D28" w:rsidRPr="00A34388">
        <w:rPr>
          <w:lang w:val="es-ES_tradnl"/>
        </w:rPr>
        <w:t xml:space="preserve">Registro Internacional </w:t>
      </w:r>
      <w:r w:rsidRPr="00A34388">
        <w:rPr>
          <w:lang w:val="es-ES_tradnl"/>
        </w:rPr>
        <w:t xml:space="preserve">en Internet. </w:t>
      </w:r>
    </w:p>
    <w:p w:rsidR="00525604" w:rsidRPr="00A34388" w:rsidRDefault="00525604" w:rsidP="00525604">
      <w:pPr>
        <w:rPr>
          <w:rFonts w:cs="Arial"/>
          <w:sz w:val="18"/>
          <w:szCs w:val="18"/>
          <w:lang w:val="es-ES_tradnl"/>
        </w:rPr>
      </w:pPr>
    </w:p>
    <w:p w:rsidR="00525604" w:rsidRPr="00A34388" w:rsidRDefault="00525604" w:rsidP="00525604">
      <w:pPr>
        <w:rPr>
          <w:rFonts w:cs="Arial"/>
          <w:sz w:val="18"/>
          <w:szCs w:val="18"/>
          <w:lang w:val="es-ES_tradnl"/>
        </w:rPr>
      </w:pPr>
    </w:p>
    <w:p w:rsidR="00525604" w:rsidRPr="00A34388" w:rsidRDefault="00525604" w:rsidP="00525604">
      <w:pPr>
        <w:rPr>
          <w:rFonts w:cs="Arial"/>
          <w:sz w:val="22"/>
          <w:szCs w:val="22"/>
          <w:lang w:val="es-ES_tradnl"/>
        </w:rPr>
      </w:pPr>
      <w:r w:rsidRPr="00332758">
        <w:rPr>
          <w:sz w:val="22"/>
          <w:lang w:val="es-ES_tradnl"/>
        </w:rPr>
        <w:t>DATOS SOBRE EL RENDIMIENTO</w:t>
      </w:r>
    </w:p>
    <w:p w:rsidR="00525604" w:rsidRPr="00A34388" w:rsidRDefault="00525604" w:rsidP="00525604">
      <w:pPr>
        <w:rPr>
          <w:sz w:val="18"/>
          <w:szCs w:val="18"/>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3"/>
        <w:gridCol w:w="1712"/>
        <w:gridCol w:w="1550"/>
        <w:gridCol w:w="3146"/>
        <w:gridCol w:w="148"/>
        <w:gridCol w:w="1128"/>
      </w:tblGrid>
      <w:tr w:rsidR="00525604" w:rsidRPr="00E94BEA" w:rsidTr="00853209">
        <w:trPr>
          <w:cantSplit/>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utilización de los sistemas de Madrid y de Lisboa por los países en desarrollo y los PMA, entre otros.</w:t>
            </w:r>
          </w:p>
        </w:tc>
      </w:tr>
      <w:tr w:rsidR="00525604" w:rsidRPr="00A34388" w:rsidTr="000557C0">
        <w:trPr>
          <w:cantSplit/>
        </w:trPr>
        <w:tc>
          <w:tcPr>
            <w:tcW w:w="89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1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28"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81"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gridSpan w:val="2"/>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nuevos registros (Sistema de Madrid).</w:t>
            </w:r>
          </w:p>
        </w:tc>
        <w:tc>
          <w:tcPr>
            <w:tcW w:w="915" w:type="pct"/>
            <w:shd w:val="clear" w:color="auto" w:fill="auto"/>
          </w:tcPr>
          <w:p w:rsidR="00525604" w:rsidRPr="00841841" w:rsidRDefault="00525604" w:rsidP="00853209">
            <w:pPr>
              <w:rPr>
                <w:rFonts w:cs="Arial"/>
                <w:i/>
                <w:color w:val="002060"/>
                <w:sz w:val="16"/>
                <w:szCs w:val="16"/>
                <w:lang w:val="es-ES_tradnl"/>
              </w:rPr>
            </w:pPr>
            <w:r w:rsidRPr="00841841">
              <w:rPr>
                <w:i/>
                <w:color w:val="002060"/>
                <w:sz w:val="16"/>
                <w:lang w:val="es-ES_tradnl"/>
              </w:rPr>
              <w:t>Referencia actualizada a fines de 2011:</w:t>
            </w:r>
          </w:p>
          <w:p w:rsidR="00525604" w:rsidRPr="00841841" w:rsidRDefault="00525604" w:rsidP="00853209">
            <w:pPr>
              <w:rPr>
                <w:rFonts w:cs="Arial"/>
                <w:color w:val="002060"/>
                <w:sz w:val="16"/>
                <w:szCs w:val="16"/>
                <w:lang w:val="es-ES_tradnl"/>
              </w:rPr>
            </w:pPr>
            <w:r w:rsidRPr="00841841">
              <w:rPr>
                <w:color w:val="002060"/>
                <w:sz w:val="16"/>
                <w:lang w:val="es-ES_tradnl"/>
              </w:rPr>
              <w:t>40</w:t>
            </w:r>
            <w:r w:rsidR="00D026D3" w:rsidRPr="00841841">
              <w:rPr>
                <w:color w:val="002060"/>
                <w:sz w:val="16"/>
                <w:lang w:val="es-ES_tradnl"/>
              </w:rPr>
              <w:t>.</w:t>
            </w:r>
            <w:r w:rsidRPr="00841841">
              <w:rPr>
                <w:color w:val="002060"/>
                <w:sz w:val="16"/>
                <w:lang w:val="es-ES_tradnl"/>
              </w:rPr>
              <w:t>711 (2011)</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p>
          <w:p w:rsidR="00525604" w:rsidRPr="00A34388" w:rsidRDefault="00525604" w:rsidP="00853209">
            <w:pPr>
              <w:rPr>
                <w:rFonts w:cs="Arial"/>
                <w:sz w:val="16"/>
                <w:szCs w:val="16"/>
                <w:lang w:val="es-ES_tradnl"/>
              </w:rPr>
            </w:pPr>
            <w:r w:rsidRPr="00A34388">
              <w:rPr>
                <w:sz w:val="16"/>
                <w:lang w:val="es-ES_tradnl"/>
              </w:rPr>
              <w:t>37.533 (2010);</w:t>
            </w:r>
            <w:r w:rsidRPr="00A34388">
              <w:rPr>
                <w:rFonts w:cs="Arial"/>
                <w:sz w:val="16"/>
                <w:szCs w:val="16"/>
                <w:lang w:val="es-ES_tradnl"/>
              </w:rPr>
              <w:br/>
            </w:r>
            <w:r w:rsidRPr="00A34388">
              <w:rPr>
                <w:sz w:val="16"/>
                <w:lang w:val="es-ES_tradnl"/>
              </w:rPr>
              <w:t>40.900 (2011)</w:t>
            </w:r>
          </w:p>
        </w:tc>
        <w:tc>
          <w:tcPr>
            <w:tcW w:w="82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42.100 (2012);</w:t>
            </w:r>
          </w:p>
          <w:p w:rsidR="00525604" w:rsidRPr="00A34388" w:rsidRDefault="00525604" w:rsidP="00853209">
            <w:pPr>
              <w:spacing w:after="120"/>
              <w:rPr>
                <w:rFonts w:cs="Arial"/>
                <w:i/>
                <w:sz w:val="16"/>
                <w:szCs w:val="16"/>
                <w:lang w:val="es-ES_tradnl"/>
              </w:rPr>
            </w:pPr>
            <w:r w:rsidRPr="00A34388">
              <w:rPr>
                <w:sz w:val="16"/>
                <w:lang w:val="es-ES_tradnl"/>
              </w:rPr>
              <w:t>43.500 (2013)</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41.954 (2012)</w:t>
            </w:r>
          </w:p>
          <w:p w:rsidR="00525604" w:rsidRPr="00A34388" w:rsidRDefault="00525604" w:rsidP="00853209">
            <w:pPr>
              <w:rPr>
                <w:rFonts w:cs="Arial"/>
                <w:color w:val="76923C" w:themeColor="accent3" w:themeShade="BF"/>
                <w:sz w:val="16"/>
                <w:szCs w:val="16"/>
                <w:lang w:val="es-ES_tradnl"/>
              </w:rPr>
            </w:pPr>
            <w:r w:rsidRPr="00A34388">
              <w:rPr>
                <w:sz w:val="16"/>
                <w:lang w:val="es-ES_tradnl"/>
              </w:rPr>
              <w:t>44.414 (2013)</w:t>
            </w:r>
          </w:p>
        </w:tc>
        <w:tc>
          <w:tcPr>
            <w:tcW w:w="682" w:type="pct"/>
            <w:gridSpan w:val="2"/>
            <w:shd w:val="clear" w:color="auto" w:fill="auto"/>
            <w:tcMar>
              <w:top w:w="110" w:type="dxa"/>
            </w:tcMar>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renovaciones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i/>
                <w:color w:val="002060"/>
                <w:sz w:val="16"/>
                <w:szCs w:val="16"/>
                <w:lang w:val="es-ES_tradnl"/>
              </w:rPr>
            </w:pPr>
            <w:r w:rsidRPr="00DB7E03">
              <w:rPr>
                <w:color w:val="002060"/>
                <w:sz w:val="16"/>
                <w:lang w:val="es-ES_tradnl"/>
              </w:rPr>
              <w:t>21</w:t>
            </w:r>
            <w:r w:rsidR="00D026D3" w:rsidRPr="00DB7E03">
              <w:rPr>
                <w:color w:val="002060"/>
                <w:sz w:val="16"/>
                <w:lang w:val="es-ES_tradnl"/>
              </w:rPr>
              <w:t>.</w:t>
            </w:r>
            <w:r w:rsidRPr="00DB7E03">
              <w:rPr>
                <w:color w:val="002060"/>
                <w:sz w:val="16"/>
                <w:lang w:val="es-ES_tradnl"/>
              </w:rPr>
              <w:t>754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p>
          <w:p w:rsidR="00525604" w:rsidRPr="00A34388" w:rsidRDefault="00525604" w:rsidP="00853209">
            <w:pPr>
              <w:rPr>
                <w:rFonts w:cs="Arial"/>
                <w:sz w:val="16"/>
                <w:szCs w:val="16"/>
                <w:lang w:val="es-ES_tradnl"/>
              </w:rPr>
            </w:pPr>
            <w:r w:rsidRPr="00A34388">
              <w:rPr>
                <w:sz w:val="16"/>
                <w:lang w:val="es-ES_tradnl"/>
              </w:rPr>
              <w:t>21.949 (2010);</w:t>
            </w:r>
            <w:r w:rsidRPr="00A34388">
              <w:rPr>
                <w:rFonts w:cs="Arial"/>
                <w:sz w:val="16"/>
                <w:szCs w:val="16"/>
                <w:lang w:val="es-ES_tradnl"/>
              </w:rPr>
              <w:br/>
            </w:r>
            <w:r w:rsidRPr="00A34388">
              <w:rPr>
                <w:sz w:val="16"/>
                <w:lang w:val="es-ES_tradnl"/>
              </w:rPr>
              <w:t>21.900 (2011)</w:t>
            </w:r>
          </w:p>
        </w:tc>
        <w:tc>
          <w:tcPr>
            <w:tcW w:w="82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21.300 (2012);</w:t>
            </w:r>
          </w:p>
          <w:p w:rsidR="00525604" w:rsidRPr="00A34388" w:rsidRDefault="00525604" w:rsidP="00853209">
            <w:pPr>
              <w:spacing w:after="120"/>
              <w:rPr>
                <w:rFonts w:cs="Arial"/>
                <w:i/>
                <w:sz w:val="16"/>
                <w:szCs w:val="16"/>
                <w:lang w:val="es-ES_tradnl"/>
              </w:rPr>
            </w:pPr>
            <w:r w:rsidRPr="00A34388">
              <w:rPr>
                <w:sz w:val="16"/>
                <w:lang w:val="es-ES_tradnl"/>
              </w:rPr>
              <w:t>22.000 (2013)</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21.859 (2012)</w:t>
            </w:r>
          </w:p>
          <w:p w:rsidR="00525604" w:rsidRPr="00A34388" w:rsidRDefault="00525604" w:rsidP="00853209">
            <w:pPr>
              <w:rPr>
                <w:rFonts w:cs="Arial"/>
                <w:sz w:val="16"/>
                <w:szCs w:val="16"/>
                <w:lang w:val="es-ES_tradnl"/>
              </w:rPr>
            </w:pPr>
            <w:r w:rsidRPr="00A34388">
              <w:rPr>
                <w:sz w:val="16"/>
                <w:lang w:val="es-ES_tradnl"/>
              </w:rPr>
              <w:t>23.014 (2013)</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notificaciones de irregularidad sobre el número total de solicitudes recibidas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i/>
                <w:color w:val="002060"/>
                <w:sz w:val="16"/>
                <w:szCs w:val="16"/>
                <w:lang w:val="es-ES_tradnl"/>
              </w:rPr>
            </w:pPr>
            <w:r w:rsidRPr="00DB7E03">
              <w:rPr>
                <w:color w:val="002060"/>
                <w:sz w:val="16"/>
                <w:lang w:val="es-ES_tradnl"/>
              </w:rPr>
              <w:t>23% (fin</w:t>
            </w:r>
            <w:r w:rsidR="00F14F99" w:rsidRPr="00DB7E03">
              <w:rPr>
                <w:color w:val="002060"/>
                <w:sz w:val="16"/>
                <w:lang w:val="es-ES_tradnl"/>
              </w:rPr>
              <w:t>es</w:t>
            </w:r>
            <w:r w:rsidRPr="00DB7E03">
              <w:rPr>
                <w:color w:val="002060"/>
                <w:sz w:val="16"/>
                <w:lang w:val="es-ES_tradnl"/>
              </w:rPr>
              <w:t xml:space="preserve"> de 2011)</w:t>
            </w:r>
            <w:r w:rsidRPr="00DB7E03">
              <w:rPr>
                <w:rStyle w:val="FootnoteReference"/>
                <w:color w:val="002060"/>
                <w:sz w:val="16"/>
                <w:lang w:val="es-ES_tradnl"/>
              </w:rPr>
              <w:footnoteReference w:id="8"/>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p>
          <w:p w:rsidR="00525604" w:rsidRPr="00A34388" w:rsidRDefault="00525604" w:rsidP="00853209">
            <w:pPr>
              <w:rPr>
                <w:rFonts w:cs="Arial"/>
                <w:sz w:val="16"/>
                <w:szCs w:val="16"/>
                <w:lang w:val="es-ES_tradnl"/>
              </w:rPr>
            </w:pPr>
            <w:r w:rsidRPr="00332758">
              <w:rPr>
                <w:sz w:val="16"/>
                <w:lang w:val="es-ES_tradnl"/>
              </w:rPr>
              <w:t>19,3% (fin</w:t>
            </w:r>
            <w:r w:rsidR="00F14F99" w:rsidRPr="00332758">
              <w:rPr>
                <w:sz w:val="16"/>
                <w:lang w:val="es-ES_tradnl"/>
              </w:rPr>
              <w:t>es</w:t>
            </w:r>
            <w:r w:rsidRPr="00332758">
              <w:rPr>
                <w:sz w:val="16"/>
                <w:lang w:val="es-ES_tradnl"/>
              </w:rPr>
              <w:t xml:space="preserve"> de 2010)</w:t>
            </w:r>
            <w:r w:rsidRPr="00332758">
              <w:rPr>
                <w:rStyle w:val="FootnoteReference"/>
                <w:sz w:val="16"/>
                <w:lang w:val="es-ES_tradnl"/>
              </w:rPr>
              <w:footnoteReference w:id="9"/>
            </w:r>
          </w:p>
        </w:tc>
        <w:tc>
          <w:tcPr>
            <w:tcW w:w="828" w:type="pct"/>
            <w:shd w:val="clear" w:color="auto" w:fill="auto"/>
            <w:tcMar>
              <w:top w:w="110" w:type="dxa"/>
            </w:tcMar>
          </w:tcPr>
          <w:p w:rsidR="00525604" w:rsidRPr="00A34388" w:rsidRDefault="00525604" w:rsidP="00853209">
            <w:pPr>
              <w:spacing w:after="120"/>
              <w:rPr>
                <w:rFonts w:cs="Arial"/>
                <w:b/>
                <w:sz w:val="16"/>
                <w:szCs w:val="16"/>
                <w:lang w:val="es-ES_tradnl"/>
              </w:rPr>
            </w:pPr>
            <w:r w:rsidRPr="00A34388">
              <w:rPr>
                <w:sz w:val="16"/>
                <w:lang w:val="es-ES_tradnl"/>
              </w:rPr>
              <w:t>15%</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2012: </w:t>
            </w:r>
            <w:r w:rsidR="00F14F99" w:rsidRPr="00A34388">
              <w:rPr>
                <w:sz w:val="16"/>
                <w:lang w:val="es-ES_tradnl"/>
              </w:rPr>
              <w:t xml:space="preserve"> </w:t>
            </w:r>
            <w:r w:rsidRPr="00A34388">
              <w:rPr>
                <w:sz w:val="16"/>
                <w:lang w:val="es-ES_tradnl"/>
              </w:rPr>
              <w:t xml:space="preserve">32,1%, de las cuales el 22,9% se debieron a problemas de clasificación. </w:t>
            </w:r>
          </w:p>
          <w:p w:rsidR="00525604" w:rsidRPr="00A34388" w:rsidRDefault="00525604" w:rsidP="00853209">
            <w:pPr>
              <w:rPr>
                <w:rFonts w:cs="Arial"/>
                <w:sz w:val="16"/>
                <w:szCs w:val="16"/>
                <w:lang w:val="es-ES_tradnl"/>
              </w:rPr>
            </w:pPr>
            <w:r w:rsidRPr="00A34388">
              <w:rPr>
                <w:sz w:val="16"/>
                <w:lang w:val="es-ES_tradnl"/>
              </w:rPr>
              <w:t xml:space="preserve">2013: </w:t>
            </w:r>
            <w:r w:rsidR="00F14F99" w:rsidRPr="00A34388">
              <w:rPr>
                <w:sz w:val="16"/>
                <w:lang w:val="es-ES_tradnl"/>
              </w:rPr>
              <w:t xml:space="preserve"> </w:t>
            </w:r>
            <w:r w:rsidRPr="00A34388">
              <w:rPr>
                <w:sz w:val="16"/>
                <w:lang w:val="es-ES_tradnl"/>
              </w:rPr>
              <w:t xml:space="preserve">32,4%, de las cuales el 25,9% se debieron a problemas de clasificación. </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lastRenderedPageBreak/>
              <w:t>Porcentaje de solicitudes internacionales de países en desarrollo y PMA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7,4%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p>
          <w:p w:rsidR="00525604" w:rsidRPr="00A34388" w:rsidRDefault="00525604" w:rsidP="00853209">
            <w:pPr>
              <w:rPr>
                <w:rFonts w:cs="Arial"/>
                <w:sz w:val="16"/>
                <w:szCs w:val="16"/>
                <w:lang w:val="es-ES_tradnl"/>
              </w:rPr>
            </w:pPr>
            <w:r w:rsidRPr="00332758">
              <w:rPr>
                <w:sz w:val="16"/>
                <w:lang w:val="es-ES_tradnl"/>
              </w:rPr>
              <w:t>7% de solicitudes internacionales.</w:t>
            </w:r>
          </w:p>
        </w:tc>
        <w:tc>
          <w:tcPr>
            <w:tcW w:w="82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Al menos 10% de</w:t>
            </w:r>
          </w:p>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solicitudes</w:t>
            </w:r>
          </w:p>
          <w:p w:rsidR="00525604" w:rsidRPr="00A34388" w:rsidRDefault="00525604" w:rsidP="00853209">
            <w:pPr>
              <w:spacing w:after="120"/>
              <w:rPr>
                <w:rFonts w:cs="Arial"/>
                <w:b/>
                <w:sz w:val="16"/>
                <w:szCs w:val="16"/>
                <w:lang w:val="es-ES_tradnl"/>
              </w:rPr>
            </w:pPr>
            <w:r w:rsidRPr="00332758">
              <w:rPr>
                <w:b/>
                <w:sz w:val="16"/>
                <w:lang w:val="es-ES_tradnl"/>
              </w:rPr>
              <w:t>internacionales</w:t>
            </w:r>
            <w:r w:rsidRPr="00A34388">
              <w:rPr>
                <w:b/>
                <w:sz w:val="16"/>
                <w:lang w:val="es-ES_tradnl"/>
              </w:rPr>
              <w:t xml:space="preserve"> </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7% (2012) </w:t>
            </w:r>
          </w:p>
          <w:p w:rsidR="00525604" w:rsidRPr="00A34388" w:rsidRDefault="00525604" w:rsidP="00853209">
            <w:pPr>
              <w:rPr>
                <w:rFonts w:cs="Arial"/>
                <w:sz w:val="16"/>
                <w:szCs w:val="16"/>
                <w:lang w:val="es-ES_tradnl"/>
              </w:rPr>
            </w:pPr>
            <w:r w:rsidRPr="00A34388">
              <w:rPr>
                <w:sz w:val="16"/>
                <w:lang w:val="es-ES_tradnl"/>
              </w:rPr>
              <w:t>6,8% (2013)</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Partes Contratantes del Protocolo de Madrid.</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85 partes contratantes en el Sistema de Madrid</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93</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92 </w:t>
            </w:r>
            <w:r w:rsidR="00956D28" w:rsidRPr="00A34388">
              <w:rPr>
                <w:sz w:val="16"/>
                <w:lang w:val="es-ES_tradnl"/>
              </w:rPr>
              <w:t xml:space="preserve">Partes Contratantes </w:t>
            </w:r>
            <w:r w:rsidRPr="00A34388">
              <w:rPr>
                <w:sz w:val="16"/>
                <w:lang w:val="es-ES_tradnl"/>
              </w:rPr>
              <w:t xml:space="preserve">en el Sistema de Madrid (7 partes contratantes adicionales:  Colombia, </w:t>
            </w:r>
            <w:r w:rsidR="00640EF0" w:rsidRPr="00A34388">
              <w:rPr>
                <w:sz w:val="16"/>
                <w:lang w:val="es-ES_tradnl"/>
              </w:rPr>
              <w:t>Filipinas</w:t>
            </w:r>
            <w:r w:rsidRPr="00A34388">
              <w:rPr>
                <w:sz w:val="16"/>
                <w:lang w:val="es-ES_tradnl"/>
              </w:rPr>
              <w:t>, México y Nueva Zelandia en 2012;  la India, Rwanda y Túnez en 2013).</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Partes Contratantes del Arreglo de Lisboa.</w:t>
            </w:r>
          </w:p>
          <w:p w:rsidR="00525604" w:rsidRPr="00A34388" w:rsidRDefault="00525604" w:rsidP="00853209">
            <w:pPr>
              <w:rPr>
                <w:rFonts w:cs="Arial"/>
                <w:sz w:val="16"/>
                <w:szCs w:val="16"/>
                <w:lang w:val="es-ES_tradnl"/>
              </w:rPr>
            </w:pP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27 (marzo de 2011).</w:t>
            </w:r>
          </w:p>
        </w:tc>
        <w:tc>
          <w:tcPr>
            <w:tcW w:w="828" w:type="pct"/>
            <w:shd w:val="clear" w:color="auto" w:fill="auto"/>
            <w:tcMar>
              <w:top w:w="110" w:type="dxa"/>
            </w:tcMar>
          </w:tcPr>
          <w:p w:rsidR="00525604" w:rsidRPr="00A34388" w:rsidRDefault="00525604" w:rsidP="00853209">
            <w:pPr>
              <w:rPr>
                <w:rFonts w:cs="Arial"/>
                <w:i/>
                <w:sz w:val="16"/>
                <w:szCs w:val="16"/>
                <w:lang w:val="es-ES_tradnl"/>
              </w:rPr>
            </w:pPr>
            <w:r w:rsidRPr="00A34388">
              <w:rPr>
                <w:sz w:val="16"/>
                <w:lang w:val="es-ES_tradnl"/>
              </w:rPr>
              <w:t>30</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28 </w:t>
            </w:r>
            <w:r w:rsidR="00956D28" w:rsidRPr="00A34388">
              <w:rPr>
                <w:sz w:val="16"/>
                <w:lang w:val="es-ES_tradnl"/>
              </w:rPr>
              <w:t xml:space="preserve">Partes Contratantes </w:t>
            </w:r>
            <w:r w:rsidRPr="00A34388">
              <w:rPr>
                <w:sz w:val="16"/>
                <w:lang w:val="es-ES_tradnl"/>
              </w:rPr>
              <w:t xml:space="preserve">(1 </w:t>
            </w:r>
            <w:r w:rsidR="00956D28" w:rsidRPr="00A34388">
              <w:rPr>
                <w:sz w:val="16"/>
                <w:lang w:val="es-ES_tradnl"/>
              </w:rPr>
              <w:t>Parte Contratante</w:t>
            </w:r>
            <w:r w:rsidRPr="00A34388">
              <w:rPr>
                <w:sz w:val="16"/>
                <w:lang w:val="es-ES_tradnl"/>
              </w:rPr>
              <w:t xml:space="preserve"> adicional: </w:t>
            </w:r>
            <w:r w:rsidR="007E4D96" w:rsidRPr="00A34388">
              <w:rPr>
                <w:sz w:val="16"/>
                <w:lang w:val="es-ES_tradnl"/>
              </w:rPr>
              <w:t xml:space="preserve"> </w:t>
            </w:r>
            <w:r w:rsidRPr="00A34388">
              <w:rPr>
                <w:sz w:val="16"/>
                <w:lang w:val="es-ES_tradnl"/>
              </w:rPr>
              <w:t>Bosnia y Herzegovina)</w:t>
            </w:r>
          </w:p>
        </w:tc>
        <w:tc>
          <w:tcPr>
            <w:tcW w:w="682" w:type="pct"/>
            <w:gridSpan w:val="2"/>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p>
        </w:tc>
      </w:tr>
      <w:tr w:rsidR="00525604" w:rsidRPr="00A34388" w:rsidTr="000557C0">
        <w:trPr>
          <w:cantSplit/>
        </w:trPr>
        <w:tc>
          <w:tcPr>
            <w:tcW w:w="89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Número de registros internacionales en vigor, correspondientes a países en desarrollo y PMA, en virtud del Sistema de Lisboa relativo a las denominaciones de origen.</w:t>
            </w:r>
          </w:p>
          <w:p w:rsidR="00525604" w:rsidRPr="00A34388" w:rsidRDefault="00525604" w:rsidP="00853209">
            <w:pPr>
              <w:rPr>
                <w:rFonts w:cs="Arial"/>
                <w:sz w:val="16"/>
                <w:szCs w:val="16"/>
                <w:lang w:val="es-ES_tradnl"/>
              </w:rPr>
            </w:pPr>
          </w:p>
        </w:tc>
        <w:tc>
          <w:tcPr>
            <w:tcW w:w="915" w:type="pct"/>
            <w:tcBorders>
              <w:bottom w:val="single" w:sz="4" w:space="0" w:color="auto"/>
            </w:tcBorders>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color w:val="002060"/>
                <w:sz w:val="16"/>
                <w:lang w:val="es-ES_tradnl"/>
              </w:rPr>
              <w:t xml:space="preserve">  75</w:t>
            </w:r>
          </w:p>
          <w:p w:rsidR="00525604" w:rsidRPr="00A34388" w:rsidRDefault="00525604" w:rsidP="00853209">
            <w:pPr>
              <w:rPr>
                <w:rFonts w:cs="Arial"/>
                <w:color w:val="002060"/>
                <w:sz w:val="16"/>
                <w:szCs w:val="16"/>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p>
          <w:p w:rsidR="00525604" w:rsidRPr="00A34388" w:rsidRDefault="00525604" w:rsidP="00853209">
            <w:pPr>
              <w:rPr>
                <w:rFonts w:cs="Arial"/>
                <w:sz w:val="16"/>
                <w:szCs w:val="16"/>
                <w:lang w:val="es-ES_tradnl"/>
              </w:rPr>
            </w:pPr>
            <w:r w:rsidRPr="00A34388">
              <w:rPr>
                <w:sz w:val="16"/>
                <w:lang w:val="es-ES_tradnl"/>
              </w:rPr>
              <w:t>58 (de 795)</w:t>
            </w:r>
          </w:p>
        </w:tc>
        <w:tc>
          <w:tcPr>
            <w:tcW w:w="828" w:type="pct"/>
            <w:tcBorders>
              <w:bottom w:val="single" w:sz="4" w:space="0" w:color="auto"/>
            </w:tcBorders>
            <w:shd w:val="clear" w:color="auto" w:fill="auto"/>
            <w:tcMar>
              <w:top w:w="110" w:type="dxa"/>
            </w:tcMar>
          </w:tcPr>
          <w:p w:rsidR="00525604" w:rsidRPr="00A34388" w:rsidRDefault="00525604" w:rsidP="00853209">
            <w:pPr>
              <w:spacing w:after="120"/>
              <w:rPr>
                <w:rFonts w:cs="Arial"/>
                <w:sz w:val="16"/>
                <w:szCs w:val="16"/>
                <w:lang w:val="es-ES_tradnl"/>
              </w:rPr>
            </w:pPr>
            <w:r w:rsidRPr="00A34388">
              <w:rPr>
                <w:sz w:val="16"/>
                <w:lang w:val="es-ES_tradnl"/>
              </w:rPr>
              <w:t>75</w:t>
            </w:r>
          </w:p>
        </w:tc>
        <w:tc>
          <w:tcPr>
            <w:tcW w:w="1681"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67 (de 816)</w:t>
            </w:r>
          </w:p>
        </w:tc>
        <w:tc>
          <w:tcPr>
            <w:tcW w:w="682" w:type="pct"/>
            <w:gridSpan w:val="2"/>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E94BEA" w:rsidTr="00853209">
        <w:trPr>
          <w:cantSplit/>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del funcionamiento de los sistemas de Madrid y de Lisboa.</w:t>
            </w:r>
          </w:p>
        </w:tc>
      </w:tr>
      <w:tr w:rsidR="00525604" w:rsidRPr="00A34388" w:rsidTr="000557C0">
        <w:trPr>
          <w:cantSplit/>
        </w:trPr>
        <w:tc>
          <w:tcPr>
            <w:tcW w:w="89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15"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28"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81"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gridSpan w:val="2"/>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0557C0">
        <w:trPr>
          <w:cantSplit/>
        </w:trPr>
        <w:tc>
          <w:tcPr>
            <w:tcW w:w="894" w:type="pct"/>
            <w:shd w:val="clear" w:color="auto" w:fill="FFFFFF"/>
          </w:tcPr>
          <w:p w:rsidR="00525604" w:rsidRPr="00A34388" w:rsidRDefault="00525604" w:rsidP="00853209">
            <w:pPr>
              <w:rPr>
                <w:rFonts w:cs="Arial"/>
                <w:sz w:val="16"/>
                <w:szCs w:val="16"/>
                <w:lang w:val="es-ES_tradnl"/>
              </w:rPr>
            </w:pPr>
            <w:r w:rsidRPr="00332758">
              <w:rPr>
                <w:sz w:val="16"/>
                <w:lang w:val="es-ES_tradnl"/>
              </w:rPr>
              <w:t>Media de tiempo de tramitación de nuevas solicitudes sin irregularidades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25 días (fines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r w:rsidRPr="00A34388">
              <w:rPr>
                <w:sz w:val="16"/>
                <w:lang w:val="es-ES_tradnl"/>
              </w:rPr>
              <w:t>:</w:t>
            </w:r>
          </w:p>
          <w:p w:rsidR="00525604" w:rsidRPr="00A34388" w:rsidRDefault="00525604" w:rsidP="00853209">
            <w:pPr>
              <w:rPr>
                <w:rFonts w:cs="Arial"/>
                <w:sz w:val="16"/>
                <w:szCs w:val="16"/>
                <w:lang w:val="es-ES_tradnl"/>
              </w:rPr>
            </w:pPr>
            <w:r w:rsidRPr="00332758">
              <w:rPr>
                <w:sz w:val="16"/>
                <w:lang w:val="es-ES_tradnl"/>
              </w:rPr>
              <w:t>24 días (fines de 2010).</w:t>
            </w:r>
          </w:p>
        </w:tc>
        <w:tc>
          <w:tcPr>
            <w:tcW w:w="828" w:type="pct"/>
            <w:shd w:val="clear" w:color="auto" w:fill="auto"/>
            <w:tcMar>
              <w:top w:w="110" w:type="dxa"/>
            </w:tcMar>
          </w:tcPr>
          <w:p w:rsidR="00525604" w:rsidRPr="00A34388" w:rsidRDefault="00525604" w:rsidP="00853209">
            <w:pPr>
              <w:spacing w:after="120"/>
              <w:rPr>
                <w:rFonts w:cs="Arial"/>
                <w:b/>
                <w:sz w:val="16"/>
                <w:szCs w:val="16"/>
                <w:lang w:val="es-ES_tradnl"/>
              </w:rPr>
            </w:pPr>
            <w:r w:rsidRPr="00A34388">
              <w:rPr>
                <w:sz w:val="16"/>
                <w:lang w:val="es-ES_tradnl"/>
              </w:rPr>
              <w:t>20 días</w:t>
            </w:r>
            <w:r w:rsidRPr="00A34388">
              <w:rPr>
                <w:b/>
                <w:sz w:val="16"/>
                <w:lang w:val="es-ES_tradnl"/>
              </w:rPr>
              <w:t xml:space="preserve"> </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34 días </w:t>
            </w:r>
            <w:r w:rsidR="00956D28">
              <w:rPr>
                <w:sz w:val="16"/>
                <w:lang w:val="es-ES_tradnl"/>
              </w:rPr>
              <w:t>laborables</w:t>
            </w:r>
            <w:r w:rsidRPr="00A34388">
              <w:rPr>
                <w:sz w:val="16"/>
                <w:lang w:val="es-ES_tradnl"/>
              </w:rPr>
              <w:t xml:space="preserve"> (2012)</w:t>
            </w:r>
          </w:p>
          <w:p w:rsidR="00525604" w:rsidRPr="00A34388" w:rsidRDefault="00525604" w:rsidP="00956D28">
            <w:pPr>
              <w:rPr>
                <w:rFonts w:cs="Arial"/>
                <w:sz w:val="16"/>
                <w:szCs w:val="16"/>
                <w:lang w:val="es-ES_tradnl"/>
              </w:rPr>
            </w:pPr>
            <w:r w:rsidRPr="00A34388">
              <w:rPr>
                <w:sz w:val="16"/>
                <w:lang w:val="es-ES_tradnl"/>
              </w:rPr>
              <w:t>24 días</w:t>
            </w:r>
            <w:r w:rsidR="00956D28">
              <w:rPr>
                <w:sz w:val="16"/>
                <w:lang w:val="es-ES_tradnl"/>
              </w:rPr>
              <w:t xml:space="preserve"> laborables</w:t>
            </w:r>
            <w:r w:rsidRPr="00A34388">
              <w:rPr>
                <w:sz w:val="16"/>
                <w:lang w:val="es-ES_tradnl"/>
              </w:rPr>
              <w:t xml:space="preserve"> (2013)</w:t>
            </w:r>
          </w:p>
        </w:tc>
        <w:tc>
          <w:tcPr>
            <w:tcW w:w="682" w:type="pct"/>
            <w:gridSpan w:val="2"/>
            <w:shd w:val="clear" w:color="auto" w:fill="auto"/>
            <w:tcMar>
              <w:top w:w="110" w:type="dxa"/>
            </w:tcMar>
          </w:tcPr>
          <w:p w:rsidR="00525604" w:rsidRPr="00A34388" w:rsidRDefault="00525604" w:rsidP="00853209">
            <w:pPr>
              <w:keepNext/>
              <w:keepLines/>
              <w:jc w:val="center"/>
              <w:rPr>
                <w:rFonts w:cs="Arial"/>
                <w:bCs/>
                <w:color w:val="E36C0A" w:themeColor="accent6" w:themeShade="BF"/>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 xml:space="preserve">logrado </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oficinas que envían solicitudes en formato XML y reciben designaciones en formato XML (Sistema de Madrid).</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Cinco oficinas.</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8 oficinas </w:t>
            </w:r>
          </w:p>
        </w:tc>
        <w:tc>
          <w:tcPr>
            <w:tcW w:w="1681" w:type="pct"/>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10 oficinas (2012)</w:t>
            </w:r>
          </w:p>
          <w:p w:rsidR="00525604" w:rsidRPr="00A34388" w:rsidRDefault="00525604" w:rsidP="00853209">
            <w:pPr>
              <w:rPr>
                <w:rFonts w:cs="Arial"/>
                <w:sz w:val="16"/>
                <w:szCs w:val="16"/>
                <w:lang w:val="es-ES_tradnl"/>
              </w:rPr>
            </w:pPr>
            <w:r w:rsidRPr="00332758">
              <w:rPr>
                <w:sz w:val="16"/>
                <w:lang w:val="es-ES_tradnl"/>
              </w:rPr>
              <w:t>16 oficinas (2013)</w:t>
            </w:r>
          </w:p>
        </w:tc>
        <w:tc>
          <w:tcPr>
            <w:tcW w:w="682" w:type="pct"/>
            <w:gridSpan w:val="2"/>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0557C0">
        <w:trPr>
          <w:cantSplit/>
        </w:trPr>
        <w:tc>
          <w:tcPr>
            <w:tcW w:w="894" w:type="pct"/>
            <w:shd w:val="clear" w:color="auto" w:fill="FFFFFF"/>
          </w:tcPr>
          <w:p w:rsidR="00525604" w:rsidRPr="00A34388" w:rsidRDefault="00525604" w:rsidP="00853209">
            <w:pPr>
              <w:rPr>
                <w:rFonts w:cs="Arial"/>
                <w:sz w:val="16"/>
                <w:szCs w:val="16"/>
                <w:lang w:val="es-ES_tradnl"/>
              </w:rPr>
            </w:pPr>
            <w:r w:rsidRPr="00332758">
              <w:rPr>
                <w:sz w:val="16"/>
                <w:lang w:val="es-ES_tradnl"/>
              </w:rPr>
              <w:t>Porcentaje de documentos recibidos en formato electrónico (Sistema de Madrid).</w:t>
            </w:r>
          </w:p>
        </w:tc>
        <w:tc>
          <w:tcPr>
            <w:tcW w:w="915" w:type="pct"/>
            <w:shd w:val="clear" w:color="auto" w:fill="auto"/>
          </w:tcPr>
          <w:p w:rsidR="00525604" w:rsidRPr="00A34388" w:rsidRDefault="00525604" w:rsidP="00853209">
            <w:pPr>
              <w:rPr>
                <w:rFonts w:cs="Arial"/>
                <w:sz w:val="16"/>
                <w:szCs w:val="16"/>
                <w:lang w:val="es-ES_tradnl"/>
              </w:rPr>
            </w:pPr>
            <w:r w:rsidRPr="00A34388">
              <w:rPr>
                <w:sz w:val="16"/>
                <w:lang w:val="es-ES_tradnl"/>
              </w:rPr>
              <w:t>46%</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60%</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65% (2012)</w:t>
            </w:r>
          </w:p>
          <w:p w:rsidR="00525604" w:rsidRPr="00A34388" w:rsidRDefault="00525604" w:rsidP="00853209">
            <w:pPr>
              <w:rPr>
                <w:rFonts w:cs="Arial"/>
                <w:sz w:val="16"/>
                <w:szCs w:val="16"/>
                <w:lang w:val="es-ES_tradnl"/>
              </w:rPr>
            </w:pPr>
            <w:r w:rsidRPr="00A34388">
              <w:rPr>
                <w:sz w:val="16"/>
                <w:lang w:val="es-ES_tradnl"/>
              </w:rPr>
              <w:t>67% (2013)</w:t>
            </w:r>
          </w:p>
        </w:tc>
        <w:tc>
          <w:tcPr>
            <w:tcW w:w="682" w:type="pct"/>
            <w:gridSpan w:val="2"/>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clientes que reciben notificaciones por correo-e (Sistema de Madrid).</w:t>
            </w:r>
          </w:p>
        </w:tc>
        <w:tc>
          <w:tcPr>
            <w:tcW w:w="915" w:type="pct"/>
            <w:shd w:val="clear" w:color="auto" w:fill="auto"/>
          </w:tcPr>
          <w:p w:rsidR="00525604" w:rsidRPr="00A34388" w:rsidRDefault="00525604" w:rsidP="00853209">
            <w:pPr>
              <w:rPr>
                <w:rFonts w:cs="Arial"/>
                <w:sz w:val="16"/>
                <w:szCs w:val="16"/>
                <w:lang w:val="es-ES_tradnl"/>
              </w:rPr>
            </w:pPr>
            <w:r w:rsidRPr="00A34388">
              <w:rPr>
                <w:sz w:val="16"/>
                <w:lang w:val="es-ES_tradnl"/>
              </w:rPr>
              <w:t>23.800</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26.000</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Número de marcas </w:t>
            </w:r>
            <w:r w:rsidR="00956D28">
              <w:rPr>
                <w:sz w:val="16"/>
                <w:lang w:val="es-ES_tradnl"/>
              </w:rPr>
              <w:t>respecto de las que se reciben</w:t>
            </w:r>
            <w:r w:rsidRPr="00A34388">
              <w:rPr>
                <w:sz w:val="16"/>
                <w:lang w:val="es-ES_tradnl"/>
              </w:rPr>
              <w:t xml:space="preserve"> notificaciones por correo electrónico: </w:t>
            </w:r>
          </w:p>
          <w:p w:rsidR="00525604" w:rsidRPr="00A34388" w:rsidRDefault="00525604" w:rsidP="00853209">
            <w:pPr>
              <w:rPr>
                <w:rFonts w:cs="Arial"/>
                <w:sz w:val="16"/>
                <w:szCs w:val="16"/>
                <w:lang w:val="es-ES_tradnl"/>
              </w:rPr>
            </w:pPr>
            <w:r w:rsidRPr="00A34388">
              <w:rPr>
                <w:sz w:val="16"/>
                <w:lang w:val="es-ES_tradnl"/>
              </w:rPr>
              <w:t xml:space="preserve">50.000 (2012); </w:t>
            </w:r>
          </w:p>
          <w:p w:rsidR="00525604" w:rsidRPr="00A34388" w:rsidRDefault="00525604" w:rsidP="00853209">
            <w:pPr>
              <w:rPr>
                <w:rFonts w:cs="Arial"/>
                <w:sz w:val="16"/>
                <w:szCs w:val="16"/>
                <w:lang w:val="es-ES_tradnl"/>
              </w:rPr>
            </w:pPr>
            <w:r w:rsidRPr="00A34388">
              <w:rPr>
                <w:sz w:val="16"/>
                <w:lang w:val="es-ES_tradnl"/>
              </w:rPr>
              <w:t>158.717 (2013)</w:t>
            </w:r>
          </w:p>
        </w:tc>
        <w:tc>
          <w:tcPr>
            <w:tcW w:w="682" w:type="pct"/>
            <w:gridSpan w:val="2"/>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 xml:space="preserve">Número de clientes que utilizan el </w:t>
            </w:r>
            <w:r w:rsidRPr="00332758">
              <w:rPr>
                <w:i/>
                <w:sz w:val="16"/>
                <w:lang w:val="es-ES_tradnl"/>
              </w:rPr>
              <w:t>Portfolio</w:t>
            </w:r>
            <w:r w:rsidRPr="00332758">
              <w:rPr>
                <w:sz w:val="16"/>
                <w:lang w:val="es-ES_tradnl"/>
              </w:rPr>
              <w:t xml:space="preserve"> </w:t>
            </w:r>
            <w:r w:rsidRPr="00332758">
              <w:rPr>
                <w:i/>
                <w:sz w:val="16"/>
                <w:lang w:val="es-ES_tradnl"/>
              </w:rPr>
              <w:t>Manager</w:t>
            </w:r>
            <w:r w:rsidRPr="00332758">
              <w:rPr>
                <w:sz w:val="16"/>
                <w:lang w:val="es-ES_tradnl"/>
              </w:rPr>
              <w:t xml:space="preserve"> (Sistema de Madrid).</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Ninguno.</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400</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400 (2012)</w:t>
            </w:r>
          </w:p>
          <w:p w:rsidR="00525604" w:rsidRPr="00A34388" w:rsidRDefault="00525604" w:rsidP="00853209">
            <w:pPr>
              <w:rPr>
                <w:rFonts w:cs="Arial"/>
                <w:sz w:val="16"/>
                <w:szCs w:val="16"/>
                <w:lang w:val="es-ES_tradnl"/>
              </w:rPr>
            </w:pPr>
            <w:r w:rsidRPr="00A34388">
              <w:rPr>
                <w:sz w:val="16"/>
                <w:lang w:val="es-ES_tradnl"/>
              </w:rPr>
              <w:t>714 (2013)</w:t>
            </w:r>
          </w:p>
        </w:tc>
        <w:tc>
          <w:tcPr>
            <w:tcW w:w="682" w:type="pct"/>
            <w:gridSpan w:val="2"/>
            <w:shd w:val="clear" w:color="auto" w:fill="auto"/>
            <w:tcMar>
              <w:top w:w="110" w:type="dxa"/>
            </w:tcMar>
            <w:vAlign w:val="center"/>
          </w:tcPr>
          <w:p w:rsidR="00525604" w:rsidRPr="00A34388" w:rsidRDefault="00525604"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lastRenderedPageBreak/>
              <w:t>Número de trámites totalmente automatizados (Sistema de Madrid).</w:t>
            </w:r>
            <w:r w:rsidRPr="00A34388">
              <w:rPr>
                <w:sz w:val="16"/>
                <w:lang w:val="es-ES_tradnl"/>
              </w:rPr>
              <w:t xml:space="preserve"> </w:t>
            </w:r>
          </w:p>
        </w:tc>
        <w:tc>
          <w:tcPr>
            <w:tcW w:w="915"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Decisiones de las oficinas: </w:t>
            </w:r>
            <w:r w:rsidR="007E4D96" w:rsidRPr="00A34388">
              <w:rPr>
                <w:color w:val="002060"/>
                <w:sz w:val="16"/>
                <w:lang w:val="es-ES_tradnl"/>
              </w:rPr>
              <w:t xml:space="preserve"> </w:t>
            </w:r>
            <w:r w:rsidRPr="00A34388">
              <w:rPr>
                <w:color w:val="002060"/>
                <w:sz w:val="16"/>
                <w:lang w:val="es-ES_tradnl"/>
              </w:rPr>
              <w:t>53% automatizadas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332758">
              <w:rPr>
                <w:sz w:val="16"/>
                <w:lang w:val="es-ES_tradnl"/>
              </w:rPr>
              <w:t>Denegaciones provisionales, renovaciones, traducción automática (decisión final, concesión de la protección).</w:t>
            </w:r>
          </w:p>
        </w:tc>
        <w:tc>
          <w:tcPr>
            <w:tcW w:w="828" w:type="pct"/>
            <w:shd w:val="clear" w:color="auto" w:fill="auto"/>
            <w:tcMar>
              <w:top w:w="110" w:type="dxa"/>
            </w:tcMar>
          </w:tcPr>
          <w:p w:rsidR="00525604" w:rsidRPr="00332758" w:rsidRDefault="00525604" w:rsidP="00853209">
            <w:pPr>
              <w:rPr>
                <w:rFonts w:cs="Arial"/>
                <w:sz w:val="16"/>
                <w:szCs w:val="16"/>
                <w:lang w:val="es-ES_tradnl"/>
              </w:rPr>
            </w:pPr>
            <w:r w:rsidRPr="00332758">
              <w:rPr>
                <w:sz w:val="16"/>
                <w:lang w:val="es-ES_tradnl"/>
              </w:rPr>
              <w:t>Denegaciones provisionales, renovaciones, traducción automática (decisión final, concesión de la protección), limitaciones, designaciones posteriores.</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Decisiones de las oficinas: </w:t>
            </w:r>
          </w:p>
          <w:p w:rsidR="00525604" w:rsidRPr="00A34388" w:rsidRDefault="00525604" w:rsidP="00853209">
            <w:pPr>
              <w:rPr>
                <w:rFonts w:cs="Arial"/>
                <w:sz w:val="16"/>
                <w:szCs w:val="16"/>
                <w:lang w:val="es-ES_tradnl"/>
              </w:rPr>
            </w:pPr>
            <w:r w:rsidRPr="00A34388">
              <w:rPr>
                <w:sz w:val="16"/>
                <w:lang w:val="es-ES_tradnl"/>
              </w:rPr>
              <w:t>2012:  55%</w:t>
            </w:r>
            <w:r w:rsidRPr="00A34388">
              <w:rPr>
                <w:rStyle w:val="FootnoteReference"/>
                <w:sz w:val="16"/>
                <w:lang w:val="es-ES_tradnl"/>
              </w:rPr>
              <w:footnoteReference w:id="10"/>
            </w:r>
            <w:r w:rsidRPr="00A34388">
              <w:rPr>
                <w:sz w:val="16"/>
                <w:lang w:val="es-ES_tradnl"/>
              </w:rPr>
              <w:t xml:space="preserve"> de transacciones tramitadas mediante procesos totalmente automatizados (2012); </w:t>
            </w:r>
          </w:p>
          <w:p w:rsidR="00525604" w:rsidRPr="00A34388" w:rsidRDefault="00525604" w:rsidP="00853209">
            <w:pPr>
              <w:rPr>
                <w:rFonts w:cs="Arial"/>
                <w:sz w:val="16"/>
                <w:szCs w:val="16"/>
                <w:lang w:val="es-ES_tradnl"/>
              </w:rPr>
            </w:pPr>
            <w:r w:rsidRPr="00A34388">
              <w:rPr>
                <w:sz w:val="16"/>
                <w:lang w:val="es-ES_tradnl"/>
              </w:rPr>
              <w:t xml:space="preserve">2013:  61% de transacciones tramitadas mediante procesos totalmente automatizados.  </w:t>
            </w:r>
          </w:p>
          <w:p w:rsidR="00525604" w:rsidRPr="00A34388" w:rsidRDefault="00525604" w:rsidP="00853209">
            <w:pPr>
              <w:rPr>
                <w:rFonts w:cs="Arial"/>
                <w:sz w:val="16"/>
                <w:szCs w:val="16"/>
                <w:lang w:val="es-ES_tradnl"/>
              </w:rPr>
            </w:pPr>
          </w:p>
          <w:p w:rsidR="00525604" w:rsidRPr="00A34388" w:rsidRDefault="00525604" w:rsidP="00F14F99">
            <w:pPr>
              <w:rPr>
                <w:rFonts w:cs="Arial"/>
                <w:sz w:val="16"/>
                <w:szCs w:val="16"/>
                <w:lang w:val="es-ES_tradnl"/>
              </w:rPr>
            </w:pPr>
            <w:r w:rsidRPr="00A34388">
              <w:rPr>
                <w:sz w:val="16"/>
                <w:lang w:val="es-ES_tradnl"/>
              </w:rPr>
              <w:t xml:space="preserve">Renovaciones:  54% de transacciones tramitadas mediante procesos totalmente automatizados (2012); </w:t>
            </w:r>
            <w:r w:rsidR="00267DA6" w:rsidRPr="00A34388">
              <w:rPr>
                <w:sz w:val="16"/>
                <w:lang w:val="es-ES_tradnl"/>
              </w:rPr>
              <w:t xml:space="preserve"> </w:t>
            </w:r>
            <w:r w:rsidRPr="00A34388">
              <w:rPr>
                <w:sz w:val="16"/>
                <w:lang w:val="es-ES_tradnl"/>
              </w:rPr>
              <w:t xml:space="preserve">59% de transacciones tramitadas mediante procesos </w:t>
            </w:r>
            <w:r w:rsidR="00F14F99" w:rsidRPr="00A34388">
              <w:rPr>
                <w:sz w:val="16"/>
                <w:lang w:val="es-ES_tradnl"/>
              </w:rPr>
              <w:t xml:space="preserve">totalmente </w:t>
            </w:r>
            <w:r w:rsidRPr="00A34388">
              <w:rPr>
                <w:sz w:val="16"/>
                <w:lang w:val="es-ES_tradnl"/>
              </w:rPr>
              <w:t>automatizados (2013).</w:t>
            </w:r>
          </w:p>
        </w:tc>
        <w:tc>
          <w:tcPr>
            <w:tcW w:w="682" w:type="pct"/>
            <w:gridSpan w:val="2"/>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shd w:val="clear" w:color="auto" w:fill="FFFFFF"/>
          </w:tcPr>
          <w:p w:rsidR="00525604" w:rsidRPr="00A34388" w:rsidRDefault="00525604" w:rsidP="00853209">
            <w:pPr>
              <w:keepNext/>
              <w:keepLines/>
              <w:rPr>
                <w:rFonts w:cs="Arial"/>
                <w:sz w:val="16"/>
                <w:szCs w:val="16"/>
                <w:lang w:val="es-ES_tradnl"/>
              </w:rPr>
            </w:pPr>
            <w:r w:rsidRPr="00332758">
              <w:rPr>
                <w:sz w:val="16"/>
                <w:lang w:val="es-ES_tradnl"/>
              </w:rPr>
              <w:t>Porcentaje de correcciones inscritas, en relación con el total de procedimientos inscritos (exceptuando las denegaciones y las decisiones finales) (Sistema de Madrid).</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4,7% (2011)</w:t>
            </w:r>
          </w:p>
          <w:p w:rsidR="00525604" w:rsidRPr="00A34388" w:rsidRDefault="00525604" w:rsidP="00853209">
            <w:pPr>
              <w:rPr>
                <w:rFonts w:cs="Arial"/>
                <w:i/>
                <w:color w:val="002060"/>
                <w:sz w:val="8"/>
                <w:szCs w:val="8"/>
                <w:lang w:val="es-ES_tradnl"/>
              </w:rPr>
            </w:pPr>
          </w:p>
          <w:p w:rsidR="00525604" w:rsidRPr="00A34388" w:rsidRDefault="00525604" w:rsidP="00853209">
            <w:pPr>
              <w:keepNext/>
              <w:keepLines/>
              <w:rPr>
                <w:rFonts w:cs="Arial"/>
                <w:sz w:val="16"/>
                <w:szCs w:val="16"/>
                <w:lang w:val="es-ES_tradnl"/>
              </w:rPr>
            </w:pPr>
            <w:r w:rsidRPr="00A34388">
              <w:rPr>
                <w:i/>
                <w:sz w:val="16"/>
                <w:lang w:val="es-ES_tradnl"/>
              </w:rPr>
              <w:t>Referencia original:</w:t>
            </w:r>
          </w:p>
          <w:p w:rsidR="00525604" w:rsidRPr="00A34388" w:rsidRDefault="00525604" w:rsidP="00853209">
            <w:pPr>
              <w:keepNext/>
              <w:keepLines/>
              <w:rPr>
                <w:rFonts w:cs="Arial"/>
                <w:sz w:val="16"/>
                <w:szCs w:val="16"/>
                <w:lang w:val="es-ES_tradnl"/>
              </w:rPr>
            </w:pPr>
            <w:r w:rsidRPr="00A34388">
              <w:rPr>
                <w:sz w:val="16"/>
                <w:lang w:val="es-ES_tradnl"/>
              </w:rPr>
              <w:t>5,30%</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Menos del 4%</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3,6% (2012)</w:t>
            </w:r>
          </w:p>
          <w:p w:rsidR="00525604" w:rsidRPr="00A34388" w:rsidRDefault="00525604" w:rsidP="00853209">
            <w:pPr>
              <w:rPr>
                <w:rFonts w:cs="Arial"/>
                <w:sz w:val="16"/>
                <w:szCs w:val="16"/>
                <w:lang w:val="es-ES_tradnl"/>
              </w:rPr>
            </w:pPr>
            <w:r w:rsidRPr="00A34388">
              <w:rPr>
                <w:sz w:val="16"/>
                <w:lang w:val="es-ES_tradnl"/>
              </w:rPr>
              <w:t>4,1% (2013)</w:t>
            </w:r>
          </w:p>
        </w:tc>
        <w:tc>
          <w:tcPr>
            <w:tcW w:w="682" w:type="pct"/>
            <w:gridSpan w:val="2"/>
            <w:shd w:val="clear" w:color="auto" w:fill="auto"/>
            <w:tcMar>
              <w:top w:w="110" w:type="dxa"/>
            </w:tcMar>
          </w:tcPr>
          <w:p w:rsidR="00525604" w:rsidRPr="00A34388" w:rsidRDefault="00525604" w:rsidP="00853209">
            <w:pPr>
              <w:keepNext/>
              <w:keepLines/>
              <w:jc w:val="center"/>
              <w:rPr>
                <w:rFonts w:cs="Arial"/>
                <w:bCs/>
                <w:color w:val="E36C0A" w:themeColor="accent6" w:themeShade="BF"/>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 xml:space="preserve">logrado </w:t>
            </w:r>
          </w:p>
        </w:tc>
      </w:tr>
      <w:tr w:rsidR="00525604" w:rsidRPr="00A34388" w:rsidTr="000557C0">
        <w:trPr>
          <w:cantSplit/>
        </w:trPr>
        <w:tc>
          <w:tcPr>
            <w:tcW w:w="894" w:type="pct"/>
            <w:shd w:val="clear" w:color="auto" w:fill="auto"/>
          </w:tcPr>
          <w:p w:rsidR="00525604" w:rsidRPr="00A34388" w:rsidRDefault="00525604" w:rsidP="00853209">
            <w:pPr>
              <w:spacing w:after="240"/>
              <w:rPr>
                <w:rFonts w:cs="Arial"/>
                <w:sz w:val="16"/>
                <w:szCs w:val="16"/>
                <w:lang w:val="es-ES_tradnl"/>
              </w:rPr>
            </w:pPr>
            <w:r w:rsidRPr="00332758">
              <w:rPr>
                <w:sz w:val="16"/>
                <w:lang w:val="es-ES_tradnl"/>
              </w:rPr>
              <w:t>Creación de un Registro Internacional automatizado (Sistema de Lisboa).</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Situación del proceso de automatización a fines de 2011.</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Procedimientos de notificación y registro totalmente automatizados </w:t>
            </w:r>
          </w:p>
        </w:tc>
        <w:tc>
          <w:tcPr>
            <w:tcW w:w="1681" w:type="pct"/>
            <w:shd w:val="clear" w:color="auto" w:fill="FFFFFF"/>
            <w:tcMar>
              <w:top w:w="110" w:type="dxa"/>
            </w:tcMar>
          </w:tcPr>
          <w:p w:rsidR="00525604" w:rsidRPr="00A34388" w:rsidRDefault="00525604" w:rsidP="00F14F99">
            <w:pPr>
              <w:rPr>
                <w:rFonts w:cs="Arial"/>
                <w:sz w:val="16"/>
                <w:szCs w:val="16"/>
                <w:lang w:val="es-ES_tradnl"/>
              </w:rPr>
            </w:pPr>
            <w:r w:rsidRPr="00A34388">
              <w:rPr>
                <w:sz w:val="16"/>
                <w:lang w:val="es-ES_tradnl"/>
              </w:rPr>
              <w:t xml:space="preserve">Aplicación informática </w:t>
            </w:r>
            <w:r w:rsidR="00F14F99" w:rsidRPr="00A34388">
              <w:rPr>
                <w:sz w:val="16"/>
                <w:lang w:val="es-ES_tradnl"/>
              </w:rPr>
              <w:t xml:space="preserve">para </w:t>
            </w:r>
            <w:r w:rsidRPr="00A34388">
              <w:rPr>
                <w:sz w:val="16"/>
                <w:lang w:val="es-ES_tradnl"/>
              </w:rPr>
              <w:t xml:space="preserve">un Registro Internacional electrónico en </w:t>
            </w:r>
            <w:r w:rsidR="00F14F99" w:rsidRPr="00A34388">
              <w:rPr>
                <w:sz w:val="16"/>
                <w:lang w:val="es-ES_tradnl"/>
              </w:rPr>
              <w:t xml:space="preserve">funcionamiento </w:t>
            </w:r>
            <w:r w:rsidRPr="00A34388">
              <w:rPr>
                <w:sz w:val="16"/>
                <w:lang w:val="es-ES_tradnl"/>
              </w:rPr>
              <w:t>desde el verano de 2013</w:t>
            </w:r>
          </w:p>
        </w:tc>
        <w:tc>
          <w:tcPr>
            <w:tcW w:w="682" w:type="pct"/>
            <w:gridSpan w:val="2"/>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 xml:space="preserve">Aumento en el número de </w:t>
            </w:r>
            <w:r w:rsidR="00956D28" w:rsidRPr="00332758">
              <w:rPr>
                <w:sz w:val="16"/>
                <w:lang w:val="es-ES_tradnl"/>
              </w:rPr>
              <w:t xml:space="preserve">Administraciones </w:t>
            </w:r>
            <w:r w:rsidRPr="00332758">
              <w:rPr>
                <w:sz w:val="16"/>
                <w:lang w:val="es-ES_tradnl"/>
              </w:rPr>
              <w:t>competentes que se valen de medios electrónicos de comunicación en el marco de los procedimientos del Sistema de Lisboa.</w:t>
            </w:r>
          </w:p>
        </w:tc>
        <w:tc>
          <w:tcPr>
            <w:tcW w:w="915" w:type="pct"/>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16 (fin</w:t>
            </w:r>
            <w:r w:rsidR="00F14F99" w:rsidRPr="00DB7E03">
              <w:rPr>
                <w:color w:val="002060"/>
                <w:sz w:val="16"/>
                <w:lang w:val="es-ES_tradnl"/>
              </w:rPr>
              <w:t>es</w:t>
            </w:r>
            <w:r w:rsidRPr="00DB7E03">
              <w:rPr>
                <w:color w:val="002060"/>
                <w:sz w:val="16"/>
                <w:lang w:val="es-ES_tradnl"/>
              </w:rPr>
              <w:t xml:space="preserve">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332758">
              <w:rPr>
                <w:sz w:val="16"/>
                <w:lang w:val="es-ES_tradnl"/>
              </w:rPr>
              <w:t>14 (marzo de 2011).</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Todas </w:t>
            </w:r>
          </w:p>
        </w:tc>
        <w:tc>
          <w:tcPr>
            <w:tcW w:w="1681"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Las </w:t>
            </w:r>
            <w:r w:rsidR="00956D28" w:rsidRPr="00A34388">
              <w:rPr>
                <w:sz w:val="16"/>
                <w:lang w:val="es-ES_tradnl"/>
              </w:rPr>
              <w:t xml:space="preserve">Administraciones </w:t>
            </w:r>
            <w:r w:rsidRPr="00A34388">
              <w:rPr>
                <w:sz w:val="16"/>
                <w:lang w:val="es-ES_tradnl"/>
              </w:rPr>
              <w:t>competentes de los 23 Estados miembros de la Unión de Lisboa han autorizado el uso de medios electrónicos.</w:t>
            </w:r>
          </w:p>
        </w:tc>
        <w:tc>
          <w:tcPr>
            <w:tcW w:w="682" w:type="pct"/>
            <w:gridSpan w:val="2"/>
            <w:shd w:val="clear" w:color="auto" w:fill="auto"/>
            <w:tcMar>
              <w:top w:w="110" w:type="dxa"/>
            </w:tcMar>
          </w:tcPr>
          <w:p w:rsidR="00525604" w:rsidRPr="00A34388" w:rsidRDefault="00525604"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0557C0">
        <w:trPr>
          <w:cantSplit/>
        </w:trPr>
        <w:tc>
          <w:tcPr>
            <w:tcW w:w="89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Adopción de disposiciones que agilicen o modernicen el marco jurídico del Sistema de Lisboa.</w:t>
            </w:r>
          </w:p>
        </w:tc>
        <w:tc>
          <w:tcPr>
            <w:tcW w:w="915" w:type="pct"/>
            <w:tcBorders>
              <w:bottom w:val="single" w:sz="4" w:space="0" w:color="auto"/>
            </w:tcBorders>
            <w:shd w:val="clear" w:color="auto" w:fill="auto"/>
          </w:tcPr>
          <w:p w:rsidR="00525604" w:rsidRPr="00DB7E03" w:rsidRDefault="00525604" w:rsidP="00853209">
            <w:pPr>
              <w:rPr>
                <w:rFonts w:cs="Arial"/>
                <w:i/>
                <w:color w:val="002060"/>
                <w:sz w:val="16"/>
                <w:szCs w:val="16"/>
                <w:lang w:val="es-ES_tradnl"/>
              </w:rPr>
            </w:pPr>
            <w:r w:rsidRPr="00DB7E03">
              <w:rPr>
                <w:i/>
                <w:color w:val="002060"/>
                <w:sz w:val="16"/>
                <w:lang w:val="es-ES_tradnl"/>
              </w:rPr>
              <w:t>Referencia actualizada a fines de 2011:</w:t>
            </w:r>
          </w:p>
          <w:p w:rsidR="00525604" w:rsidRPr="00DB7E03" w:rsidRDefault="00525604" w:rsidP="00853209">
            <w:pPr>
              <w:rPr>
                <w:rFonts w:cs="Arial"/>
                <w:color w:val="002060"/>
                <w:sz w:val="16"/>
                <w:szCs w:val="16"/>
                <w:lang w:val="es-ES_tradnl"/>
              </w:rPr>
            </w:pPr>
            <w:r w:rsidRPr="00DB7E03">
              <w:rPr>
                <w:color w:val="002060"/>
                <w:sz w:val="16"/>
                <w:lang w:val="es-ES_tradnl"/>
              </w:rPr>
              <w:t>Procedimientos del Sistema de Lisboa tras las modificaciones que entraron en vigor el 1 de enero de 2012</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332758">
              <w:rPr>
                <w:sz w:val="16"/>
                <w:lang w:val="es-ES_tradnl"/>
              </w:rPr>
              <w:t>Procedimientos en el marco del Sistema de Lisboa a fines de 2011.</w:t>
            </w:r>
          </w:p>
          <w:p w:rsidR="00525604" w:rsidRPr="00A34388" w:rsidRDefault="00525604" w:rsidP="00853209">
            <w:pPr>
              <w:rPr>
                <w:rFonts w:cs="Arial"/>
                <w:sz w:val="16"/>
                <w:szCs w:val="16"/>
                <w:lang w:val="es-ES_tradnl"/>
              </w:rPr>
            </w:pPr>
          </w:p>
        </w:tc>
        <w:tc>
          <w:tcPr>
            <w:tcW w:w="828"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 xml:space="preserve">Recomendaciones de modificaciones en los procedimientos en virtud del Arreglo de Lisboa y/o el Reglamento de Lisboa </w:t>
            </w:r>
          </w:p>
        </w:tc>
        <w:tc>
          <w:tcPr>
            <w:tcW w:w="1681"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La preparación de una revisión del Acuerdo de Lisboa y la introducción de modificaciones al Reglamento de Lisboa está en curso en el marco del Grupo de Trabajo sobre el Desarrollo del Sistema de Lisboa.</w:t>
            </w:r>
          </w:p>
        </w:tc>
        <w:tc>
          <w:tcPr>
            <w:tcW w:w="682" w:type="pct"/>
            <w:gridSpan w:val="2"/>
            <w:tcBorders>
              <w:bottom w:val="single" w:sz="4" w:space="0" w:color="auto"/>
            </w:tcBorders>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logrado</w:t>
            </w:r>
            <w:r w:rsidRPr="00A34388">
              <w:rPr>
                <w:rStyle w:val="Style5"/>
                <w:rFonts w:ascii="Arial" w:hAnsi="Arial"/>
                <w:sz w:val="16"/>
                <w:lang w:val="es-ES_tradnl"/>
              </w:rPr>
              <w:t xml:space="preserve"> </w:t>
            </w:r>
          </w:p>
        </w:tc>
      </w:tr>
      <w:tr w:rsidR="00525604" w:rsidRPr="00E94BEA" w:rsidTr="00AC4B89">
        <w:trPr>
          <w:cantSplit/>
          <w:trHeight w:val="416"/>
        </w:trPr>
        <w:tc>
          <w:tcPr>
            <w:tcW w:w="5000" w:type="pct"/>
            <w:gridSpan w:val="6"/>
            <w:tcBorders>
              <w:top w:val="single" w:sz="4" w:space="0" w:color="auto"/>
              <w:bottom w:val="single" w:sz="4" w:space="0" w:color="auto"/>
            </w:tcBorders>
            <w:shd w:val="clear" w:color="auto" w:fill="CCFFFF"/>
            <w:vAlign w:val="center"/>
          </w:tcPr>
          <w:p w:rsidR="00525604" w:rsidRPr="00332758" w:rsidRDefault="00525604" w:rsidP="00E924A6">
            <w:pPr>
              <w:keepNext/>
              <w:keepLines/>
              <w:tabs>
                <w:tab w:val="left" w:pos="1452"/>
              </w:tabs>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Mayor conocimiento de los sistemas de Madrid y de Lisboa.</w:t>
            </w:r>
          </w:p>
        </w:tc>
      </w:tr>
      <w:tr w:rsidR="00525604" w:rsidRPr="00A34388" w:rsidTr="000557C0">
        <w:trPr>
          <w:cantSplit/>
        </w:trPr>
        <w:tc>
          <w:tcPr>
            <w:tcW w:w="894" w:type="pct"/>
            <w:tcBorders>
              <w:top w:val="single" w:sz="4" w:space="0" w:color="auto"/>
            </w:tcBorders>
            <w:shd w:val="clear" w:color="auto" w:fill="auto"/>
            <w:vAlign w:val="center"/>
          </w:tcPr>
          <w:p w:rsidR="00525604" w:rsidRPr="00A34388" w:rsidRDefault="00525604" w:rsidP="00E924A6">
            <w:pPr>
              <w:keepNext/>
              <w:keepLines/>
              <w:rPr>
                <w:rFonts w:cs="Arial"/>
                <w:color w:val="808080"/>
                <w:sz w:val="16"/>
                <w:szCs w:val="16"/>
                <w:lang w:val="es-ES_tradnl"/>
              </w:rPr>
            </w:pPr>
            <w:r w:rsidRPr="00332758">
              <w:rPr>
                <w:b/>
                <w:sz w:val="16"/>
                <w:lang w:val="es-ES_tradnl"/>
              </w:rPr>
              <w:t>Indicadores de rendimiento</w:t>
            </w:r>
          </w:p>
        </w:tc>
        <w:tc>
          <w:tcPr>
            <w:tcW w:w="915" w:type="pct"/>
            <w:tcBorders>
              <w:top w:val="single" w:sz="4" w:space="0" w:color="auto"/>
            </w:tcBorders>
            <w:shd w:val="clear" w:color="auto" w:fill="auto"/>
            <w:vAlign w:val="center"/>
          </w:tcPr>
          <w:p w:rsidR="00525604" w:rsidRPr="00A34388" w:rsidRDefault="00525604" w:rsidP="00E924A6">
            <w:pPr>
              <w:keepNext/>
              <w:keepLines/>
              <w:rPr>
                <w:rFonts w:cs="Arial"/>
                <w:b/>
                <w:bCs/>
                <w:color w:val="808080"/>
                <w:sz w:val="16"/>
                <w:szCs w:val="16"/>
                <w:lang w:val="es-ES_tradnl"/>
              </w:rPr>
            </w:pPr>
            <w:r w:rsidRPr="00332758">
              <w:rPr>
                <w:b/>
                <w:sz w:val="16"/>
                <w:lang w:val="es-ES_tradnl"/>
              </w:rPr>
              <w:t>Referencia</w:t>
            </w:r>
          </w:p>
        </w:tc>
        <w:tc>
          <w:tcPr>
            <w:tcW w:w="828" w:type="pct"/>
            <w:tcBorders>
              <w:top w:val="single" w:sz="4" w:space="0" w:color="auto"/>
            </w:tcBorders>
            <w:shd w:val="clear" w:color="auto" w:fill="auto"/>
            <w:tcMar>
              <w:top w:w="110" w:type="dxa"/>
            </w:tcMar>
            <w:vAlign w:val="center"/>
          </w:tcPr>
          <w:p w:rsidR="00525604" w:rsidRPr="00A34388" w:rsidRDefault="00525604" w:rsidP="00E924A6">
            <w:pPr>
              <w:keepNext/>
              <w:keepLines/>
              <w:rPr>
                <w:rFonts w:cs="Arial"/>
                <w:b/>
                <w:color w:val="808080"/>
                <w:sz w:val="16"/>
                <w:szCs w:val="16"/>
                <w:lang w:val="es-ES_tradnl"/>
              </w:rPr>
            </w:pPr>
            <w:r w:rsidRPr="00332758">
              <w:rPr>
                <w:b/>
                <w:sz w:val="16"/>
                <w:lang w:val="es-ES_tradnl"/>
              </w:rPr>
              <w:t>Objetivos</w:t>
            </w:r>
          </w:p>
        </w:tc>
        <w:tc>
          <w:tcPr>
            <w:tcW w:w="1760" w:type="pct"/>
            <w:gridSpan w:val="2"/>
            <w:tcBorders>
              <w:top w:val="single" w:sz="4" w:space="0" w:color="auto"/>
            </w:tcBorders>
            <w:shd w:val="clear" w:color="auto" w:fill="FFFFFF"/>
            <w:tcMar>
              <w:top w:w="110" w:type="dxa"/>
            </w:tcMar>
            <w:vAlign w:val="center"/>
          </w:tcPr>
          <w:p w:rsidR="00525604" w:rsidRPr="00A34388" w:rsidRDefault="00525604" w:rsidP="00E924A6">
            <w:pPr>
              <w:keepNext/>
              <w:keepLines/>
              <w:rPr>
                <w:rFonts w:cs="Arial"/>
                <w:color w:val="808080"/>
                <w:sz w:val="16"/>
                <w:szCs w:val="16"/>
                <w:lang w:val="es-ES_tradnl"/>
              </w:rPr>
            </w:pPr>
            <w:r w:rsidRPr="00332758">
              <w:rPr>
                <w:b/>
                <w:sz w:val="16"/>
                <w:lang w:val="es-ES_tradnl"/>
              </w:rPr>
              <w:t>Datos sobre el rendimiento</w:t>
            </w:r>
          </w:p>
        </w:tc>
        <w:tc>
          <w:tcPr>
            <w:tcW w:w="603" w:type="pct"/>
            <w:tcBorders>
              <w:top w:val="single" w:sz="4" w:space="0" w:color="auto"/>
            </w:tcBorders>
            <w:shd w:val="clear" w:color="auto" w:fill="auto"/>
            <w:tcMar>
              <w:top w:w="110" w:type="dxa"/>
            </w:tcMar>
            <w:vAlign w:val="center"/>
          </w:tcPr>
          <w:p w:rsidR="00525604" w:rsidRPr="00332758" w:rsidRDefault="00525604" w:rsidP="00E924A6">
            <w:pPr>
              <w:keepNext/>
              <w:keepLines/>
              <w:jc w:val="center"/>
              <w:rPr>
                <w:rFonts w:cs="Arial"/>
                <w:b/>
                <w:bCs/>
                <w:sz w:val="16"/>
                <w:szCs w:val="16"/>
                <w:lang w:val="es-ES_tradnl"/>
              </w:rPr>
            </w:pPr>
            <w:r w:rsidRPr="00332758">
              <w:rPr>
                <w:b/>
                <w:sz w:val="16"/>
                <w:lang w:val="es-ES_tradnl"/>
              </w:rPr>
              <w:t>Clave de colores</w:t>
            </w:r>
          </w:p>
        </w:tc>
      </w:tr>
      <w:tr w:rsidR="00525604" w:rsidRPr="00A34388" w:rsidTr="000557C0">
        <w:trPr>
          <w:cantSplit/>
          <w:trHeight w:val="1420"/>
        </w:trPr>
        <w:tc>
          <w:tcPr>
            <w:tcW w:w="894" w:type="pct"/>
            <w:shd w:val="clear" w:color="auto" w:fill="FFFFFF"/>
          </w:tcPr>
          <w:p w:rsidR="00525604" w:rsidRPr="00A34388" w:rsidRDefault="00525604" w:rsidP="00E924A6">
            <w:pPr>
              <w:keepNext/>
              <w:keepLines/>
              <w:rPr>
                <w:rFonts w:cs="Arial"/>
                <w:sz w:val="16"/>
                <w:szCs w:val="16"/>
                <w:lang w:val="es-ES_tradnl"/>
              </w:rPr>
            </w:pPr>
            <w:r w:rsidRPr="00332758">
              <w:rPr>
                <w:sz w:val="16"/>
                <w:lang w:val="es-ES_tradnl"/>
              </w:rPr>
              <w:t>Porcentaje de participantes en reuniones relacionadas con el Sistema de Madrid que están satisfechos y manifiestan haber mejorado sus conocimientos tras haber participado en reuniones de capacitación.</w:t>
            </w:r>
          </w:p>
        </w:tc>
        <w:tc>
          <w:tcPr>
            <w:tcW w:w="915" w:type="pct"/>
            <w:shd w:val="clear" w:color="auto" w:fill="auto"/>
          </w:tcPr>
          <w:p w:rsidR="00525604" w:rsidRPr="00A34388" w:rsidRDefault="00525604" w:rsidP="00E924A6">
            <w:pPr>
              <w:keepNext/>
              <w:keepLines/>
              <w:rPr>
                <w:rFonts w:cs="Arial"/>
                <w:sz w:val="16"/>
                <w:szCs w:val="16"/>
                <w:lang w:val="es-ES_tradnl"/>
              </w:rPr>
            </w:pPr>
            <w:r w:rsidRPr="00332758">
              <w:rPr>
                <w:sz w:val="16"/>
                <w:lang w:val="es-ES_tradnl"/>
              </w:rPr>
              <w:t>No se dispone de datos.</w:t>
            </w:r>
          </w:p>
        </w:tc>
        <w:tc>
          <w:tcPr>
            <w:tcW w:w="828" w:type="pct"/>
            <w:shd w:val="clear" w:color="auto" w:fill="auto"/>
            <w:tcMar>
              <w:top w:w="110" w:type="dxa"/>
            </w:tcMar>
          </w:tcPr>
          <w:p w:rsidR="00525604" w:rsidRPr="00A34388" w:rsidRDefault="00525604" w:rsidP="00E924A6">
            <w:pPr>
              <w:keepNext/>
              <w:keepLines/>
              <w:rPr>
                <w:rFonts w:cs="Arial"/>
                <w:sz w:val="16"/>
                <w:szCs w:val="16"/>
                <w:lang w:val="es-ES_tradnl"/>
              </w:rPr>
            </w:pPr>
            <w:r w:rsidRPr="00332758">
              <w:rPr>
                <w:sz w:val="16"/>
                <w:lang w:val="es-ES_tradnl"/>
              </w:rPr>
              <w:t>85%, como mínimo.</w:t>
            </w:r>
          </w:p>
        </w:tc>
        <w:tc>
          <w:tcPr>
            <w:tcW w:w="1760" w:type="pct"/>
            <w:gridSpan w:val="2"/>
            <w:shd w:val="clear" w:color="auto" w:fill="FFFFFF"/>
            <w:tcMar>
              <w:top w:w="110" w:type="dxa"/>
            </w:tcMar>
          </w:tcPr>
          <w:p w:rsidR="00525604" w:rsidRPr="00A34388" w:rsidRDefault="005006DB" w:rsidP="00E924A6">
            <w:pPr>
              <w:keepNext/>
              <w:keepLines/>
              <w:rPr>
                <w:rFonts w:cs="Arial"/>
                <w:sz w:val="16"/>
                <w:szCs w:val="16"/>
                <w:lang w:val="es-ES_tradnl"/>
              </w:rPr>
            </w:pPr>
            <w:r w:rsidRPr="00A34388">
              <w:rPr>
                <w:sz w:val="16"/>
                <w:lang w:val="es-ES_tradnl"/>
              </w:rPr>
              <w:t xml:space="preserve">Celebración en Ginebra de </w:t>
            </w:r>
            <w:r w:rsidR="00525604" w:rsidRPr="00A34388">
              <w:rPr>
                <w:sz w:val="16"/>
                <w:lang w:val="es-ES_tradnl"/>
              </w:rPr>
              <w:t xml:space="preserve">4 seminarios internos sobre el Sistema de Madrid.  </w:t>
            </w:r>
            <w:r w:rsidR="00525604" w:rsidRPr="00332758">
              <w:rPr>
                <w:sz w:val="16"/>
                <w:lang w:val="es-ES_tradnl"/>
              </w:rPr>
              <w:t xml:space="preserve">Los cuestionarios de evaluación utilizados revelan un índice de satisfacción de más del 90%. </w:t>
            </w:r>
          </w:p>
          <w:p w:rsidR="00525604" w:rsidRPr="00A34388" w:rsidRDefault="00525604" w:rsidP="00E924A6">
            <w:pPr>
              <w:keepNext/>
              <w:keepLines/>
              <w:rPr>
                <w:rFonts w:cs="Arial"/>
                <w:sz w:val="16"/>
                <w:szCs w:val="16"/>
                <w:lang w:val="es-ES_tradnl"/>
              </w:rPr>
            </w:pPr>
          </w:p>
          <w:p w:rsidR="00525604" w:rsidRPr="00A34388" w:rsidRDefault="00525604" w:rsidP="00E924A6">
            <w:pPr>
              <w:keepNext/>
              <w:keepLines/>
              <w:rPr>
                <w:rFonts w:cs="Arial"/>
                <w:sz w:val="16"/>
                <w:szCs w:val="16"/>
                <w:lang w:val="es-ES_tradnl"/>
              </w:rPr>
            </w:pPr>
            <w:r w:rsidRPr="00A34388">
              <w:rPr>
                <w:sz w:val="16"/>
                <w:lang w:val="es-ES_tradnl"/>
              </w:rPr>
              <w:t xml:space="preserve">Actividades de divulgación – No se dispone de datos </w:t>
            </w:r>
          </w:p>
          <w:p w:rsidR="00525604" w:rsidRPr="00A34388" w:rsidRDefault="00525604" w:rsidP="00E924A6">
            <w:pPr>
              <w:keepNext/>
              <w:keepLines/>
              <w:rPr>
                <w:rFonts w:cs="Arial"/>
                <w:sz w:val="8"/>
                <w:szCs w:val="8"/>
                <w:lang w:val="es-ES_tradnl"/>
              </w:rPr>
            </w:pPr>
          </w:p>
          <w:p w:rsidR="00525604" w:rsidRPr="00A34388" w:rsidRDefault="00525604" w:rsidP="00E924A6">
            <w:pPr>
              <w:keepNext/>
              <w:keepLines/>
              <w:rPr>
                <w:rFonts w:cs="Arial"/>
                <w:sz w:val="16"/>
                <w:szCs w:val="16"/>
                <w:lang w:val="es-ES_tradnl"/>
              </w:rPr>
            </w:pPr>
          </w:p>
        </w:tc>
        <w:tc>
          <w:tcPr>
            <w:tcW w:w="603" w:type="pct"/>
            <w:shd w:val="clear" w:color="auto" w:fill="auto"/>
            <w:tcMar>
              <w:top w:w="110" w:type="dxa"/>
            </w:tcMar>
          </w:tcPr>
          <w:p w:rsidR="00525604" w:rsidRPr="00A34388" w:rsidRDefault="00525604" w:rsidP="00E924A6">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525604" w:rsidRPr="00A34388" w:rsidTr="000557C0">
        <w:trPr>
          <w:cantSplit/>
        </w:trPr>
        <w:tc>
          <w:tcPr>
            <w:tcW w:w="894"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participantes en reuniones relacionadas con el Sistema de Lisboa que están satisfechos y manifiestan haber mejorado sus conocimientos tras haber participado en seminarios/talleres.</w:t>
            </w:r>
          </w:p>
        </w:tc>
        <w:tc>
          <w:tcPr>
            <w:tcW w:w="915" w:type="pct"/>
            <w:shd w:val="clear" w:color="auto" w:fill="auto"/>
          </w:tcPr>
          <w:p w:rsidR="00525604" w:rsidRPr="00A34388" w:rsidRDefault="00525604" w:rsidP="00853209">
            <w:pPr>
              <w:rPr>
                <w:rFonts w:cs="Arial"/>
                <w:sz w:val="16"/>
                <w:szCs w:val="16"/>
                <w:lang w:val="es-ES_tradnl"/>
              </w:rPr>
            </w:pPr>
            <w:r w:rsidRPr="00332758">
              <w:rPr>
                <w:sz w:val="16"/>
                <w:lang w:val="es-ES_tradnl"/>
              </w:rPr>
              <w:t>No se dispone de datos.</w:t>
            </w:r>
          </w:p>
        </w:tc>
        <w:tc>
          <w:tcPr>
            <w:tcW w:w="828"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85%, como mínimo.</w:t>
            </w:r>
          </w:p>
        </w:tc>
        <w:tc>
          <w:tcPr>
            <w:tcW w:w="1760" w:type="pct"/>
            <w:gridSpan w:val="2"/>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Los cuestionarios de evaluación utilizados revelan un índice de satisfacción de más del 90%.</w:t>
            </w:r>
          </w:p>
        </w:tc>
        <w:tc>
          <w:tcPr>
            <w:tcW w:w="603"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i/>
                <w:color w:val="365F91"/>
                <w:sz w:val="16"/>
                <w:lang w:val="es-ES_tradnl"/>
              </w:rPr>
              <w:t xml:space="preserve"> </w:t>
            </w:r>
          </w:p>
        </w:tc>
      </w:tr>
    </w:tbl>
    <w:p w:rsidR="00525604" w:rsidRDefault="00525604" w:rsidP="00525604">
      <w:pPr>
        <w:rPr>
          <w:lang w:val="es-ES_tradnl"/>
        </w:rPr>
      </w:pPr>
    </w:p>
    <w:p w:rsidR="00E924A6" w:rsidRPr="00A34388" w:rsidRDefault="00E924A6" w:rsidP="00525604">
      <w:pPr>
        <w:rPr>
          <w:lang w:val="es-ES_tradnl"/>
        </w:rPr>
      </w:pPr>
    </w:p>
    <w:p w:rsidR="00525604" w:rsidRPr="00A34388" w:rsidRDefault="00525604" w:rsidP="00E924A6">
      <w:pPr>
        <w:rPr>
          <w:rFonts w:cs="Arial"/>
          <w:szCs w:val="20"/>
          <w:lang w:val="es-ES_tradnl"/>
        </w:rPr>
      </w:pPr>
      <w:r w:rsidRPr="00332758">
        <w:rPr>
          <w:lang w:val="es-ES_tradnl"/>
        </w:rPr>
        <w:t>PRESUPUESTO Y GASTOS REALES</w:t>
      </w:r>
    </w:p>
    <w:p w:rsidR="00525604" w:rsidRPr="00A34388" w:rsidRDefault="00525604" w:rsidP="00E924A6">
      <w:pPr>
        <w:rPr>
          <w:rFonts w:cs="Arial"/>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Presupuesto y gastos reales (por resultado)</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525604" w:rsidRPr="00E924A6" w:rsidRDefault="00525604" w:rsidP="00525604">
      <w:pPr>
        <w:rPr>
          <w:rFonts w:cs="Arial"/>
          <w:szCs w:val="20"/>
          <w:lang w:val="es-ES_tradnl"/>
        </w:rPr>
      </w:pPr>
    </w:p>
    <w:tbl>
      <w:tblPr>
        <w:tblW w:w="0" w:type="auto"/>
        <w:tblInd w:w="103" w:type="dxa"/>
        <w:tblLayout w:type="fixed"/>
        <w:tblLook w:val="04A0" w:firstRow="1" w:lastRow="0" w:firstColumn="1" w:lastColumn="0" w:noHBand="0" w:noVBand="1"/>
      </w:tblPr>
      <w:tblGrid>
        <w:gridCol w:w="567"/>
        <w:gridCol w:w="4541"/>
        <w:gridCol w:w="1417"/>
        <w:gridCol w:w="1418"/>
        <w:gridCol w:w="1418"/>
      </w:tblGrid>
      <w:tr w:rsidR="00525604" w:rsidRPr="00A34388" w:rsidTr="00853209">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56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II.8</w:t>
            </w:r>
          </w:p>
        </w:tc>
        <w:tc>
          <w:tcPr>
            <w:tcW w:w="4541"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 utilización de los sistemas de Madrid y de Lisboa por los países en desarrollo y los PMA, entre otros.</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7.103</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7.362</w:t>
            </w:r>
          </w:p>
        </w:tc>
        <w:tc>
          <w:tcPr>
            <w:tcW w:w="1418"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7.256</w:t>
            </w:r>
          </w:p>
        </w:tc>
      </w:tr>
      <w:tr w:rsidR="00525604" w:rsidRPr="00A34388" w:rsidTr="00853209">
        <w:tc>
          <w:tcPr>
            <w:tcW w:w="56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000000"/>
                <w:sz w:val="16"/>
                <w:szCs w:val="16"/>
                <w:lang w:val="es-ES_tradnl"/>
              </w:rPr>
            </w:pPr>
            <w:r w:rsidRPr="00A34388">
              <w:rPr>
                <w:color w:val="000000"/>
                <w:sz w:val="16"/>
                <w:lang w:val="es-ES_tradnl"/>
              </w:rPr>
              <w:t>II.9</w:t>
            </w:r>
          </w:p>
        </w:tc>
        <w:tc>
          <w:tcPr>
            <w:tcW w:w="4541" w:type="dxa"/>
            <w:tcBorders>
              <w:top w:val="nil"/>
              <w:left w:val="nil"/>
              <w:bottom w:val="nil"/>
              <w:right w:val="nil"/>
            </w:tcBorders>
            <w:shd w:val="clear" w:color="000000" w:fill="FFFFFF"/>
            <w:hideMark/>
          </w:tcPr>
          <w:p w:rsidR="00525604" w:rsidRPr="00A34388" w:rsidRDefault="00525604" w:rsidP="00853209">
            <w:pPr>
              <w:spacing w:before="120"/>
              <w:rPr>
                <w:rFonts w:cs="Arial"/>
                <w:color w:val="000000"/>
                <w:sz w:val="16"/>
                <w:szCs w:val="16"/>
                <w:lang w:val="es-ES_tradnl"/>
              </w:rPr>
            </w:pPr>
            <w:r w:rsidRPr="00A34388">
              <w:rPr>
                <w:color w:val="000000"/>
                <w:sz w:val="16"/>
                <w:lang w:val="es-ES_tradnl"/>
              </w:rPr>
              <w:t>Mejora del funcionamiento de los sistemas de Madrid y de Lisboa</w:t>
            </w:r>
          </w:p>
        </w:tc>
        <w:tc>
          <w:tcPr>
            <w:tcW w:w="1417"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000000"/>
                <w:sz w:val="16"/>
                <w:szCs w:val="16"/>
                <w:lang w:val="es-ES_tradnl"/>
              </w:rPr>
            </w:pPr>
            <w:r w:rsidRPr="00A34388">
              <w:rPr>
                <w:color w:val="000000"/>
                <w:sz w:val="16"/>
                <w:lang w:val="es-ES_tradnl"/>
              </w:rPr>
              <w:t>43.445</w:t>
            </w:r>
          </w:p>
        </w:tc>
        <w:tc>
          <w:tcPr>
            <w:tcW w:w="1418"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000000"/>
                <w:sz w:val="16"/>
                <w:szCs w:val="16"/>
                <w:lang w:val="es-ES_tradnl"/>
              </w:rPr>
            </w:pPr>
            <w:r w:rsidRPr="00A34388">
              <w:rPr>
                <w:color w:val="000000"/>
                <w:sz w:val="16"/>
                <w:lang w:val="es-ES_tradnl"/>
              </w:rPr>
              <w:t>42.436</w:t>
            </w:r>
          </w:p>
        </w:tc>
        <w:tc>
          <w:tcPr>
            <w:tcW w:w="1418" w:type="dxa"/>
            <w:tcBorders>
              <w:top w:val="nil"/>
              <w:left w:val="nil"/>
              <w:bottom w:val="nil"/>
              <w:right w:val="single" w:sz="4" w:space="0" w:color="auto"/>
            </w:tcBorders>
            <w:shd w:val="clear" w:color="000000" w:fill="FFFFFF"/>
            <w:vAlign w:val="center"/>
            <w:hideMark/>
          </w:tcPr>
          <w:p w:rsidR="00525604" w:rsidRPr="00A34388" w:rsidRDefault="00525604" w:rsidP="00853209">
            <w:pPr>
              <w:spacing w:before="120"/>
              <w:jc w:val="right"/>
              <w:rPr>
                <w:rFonts w:cs="Arial"/>
                <w:color w:val="000000"/>
                <w:sz w:val="16"/>
                <w:szCs w:val="16"/>
                <w:lang w:val="es-ES_tradnl"/>
              </w:rPr>
            </w:pPr>
            <w:r w:rsidRPr="00A34388">
              <w:rPr>
                <w:color w:val="000000"/>
                <w:sz w:val="16"/>
                <w:lang w:val="es-ES_tradnl"/>
              </w:rPr>
              <w:t>41.109</w:t>
            </w:r>
          </w:p>
        </w:tc>
      </w:tr>
      <w:tr w:rsidR="00525604" w:rsidRPr="00A34388" w:rsidTr="00853209">
        <w:tc>
          <w:tcPr>
            <w:tcW w:w="567"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000000"/>
                <w:sz w:val="16"/>
                <w:szCs w:val="16"/>
                <w:lang w:val="es-ES_tradnl"/>
              </w:rPr>
            </w:pPr>
            <w:r w:rsidRPr="00A34388">
              <w:rPr>
                <w:color w:val="000000"/>
                <w:sz w:val="16"/>
                <w:lang w:val="es-ES_tradnl"/>
              </w:rPr>
              <w:t>II.10</w:t>
            </w:r>
          </w:p>
        </w:tc>
        <w:tc>
          <w:tcPr>
            <w:tcW w:w="4541"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Mayor conocimiento de los sistemas de Madrid y de Lisboa</w:t>
            </w:r>
          </w:p>
        </w:tc>
        <w:tc>
          <w:tcPr>
            <w:tcW w:w="1417"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000000"/>
                <w:sz w:val="16"/>
                <w:szCs w:val="16"/>
                <w:lang w:val="es-ES_tradnl"/>
              </w:rPr>
            </w:pPr>
            <w:r w:rsidRPr="00A34388">
              <w:rPr>
                <w:color w:val="000000"/>
                <w:sz w:val="16"/>
                <w:lang w:val="es-ES_tradnl"/>
              </w:rPr>
              <w:t>1.546</w:t>
            </w:r>
          </w:p>
        </w:tc>
        <w:tc>
          <w:tcPr>
            <w:tcW w:w="1418"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000000"/>
                <w:sz w:val="16"/>
                <w:szCs w:val="16"/>
                <w:lang w:val="es-ES_tradnl"/>
              </w:rPr>
            </w:pPr>
            <w:r w:rsidRPr="00A34388">
              <w:rPr>
                <w:color w:val="000000"/>
                <w:sz w:val="16"/>
                <w:lang w:val="es-ES_tradnl"/>
              </w:rPr>
              <w:t xml:space="preserve">1.356 </w:t>
            </w:r>
          </w:p>
        </w:tc>
        <w:tc>
          <w:tcPr>
            <w:tcW w:w="1418" w:type="dxa"/>
            <w:tcBorders>
              <w:top w:val="nil"/>
              <w:left w:val="nil"/>
              <w:bottom w:val="single" w:sz="4" w:space="0" w:color="auto"/>
              <w:right w:val="single" w:sz="4" w:space="0" w:color="auto"/>
            </w:tcBorders>
            <w:shd w:val="clear" w:color="000000" w:fill="FFFFFF"/>
            <w:vAlign w:val="center"/>
            <w:hideMark/>
          </w:tcPr>
          <w:p w:rsidR="00525604" w:rsidRPr="00A34388" w:rsidRDefault="00525604" w:rsidP="00853209">
            <w:pPr>
              <w:spacing w:before="120" w:after="120"/>
              <w:jc w:val="right"/>
              <w:rPr>
                <w:rFonts w:cs="Arial"/>
                <w:color w:val="000000"/>
                <w:sz w:val="16"/>
                <w:szCs w:val="16"/>
                <w:lang w:val="es-ES_tradnl"/>
              </w:rPr>
            </w:pPr>
            <w:r w:rsidRPr="00A34388">
              <w:rPr>
                <w:color w:val="000000"/>
                <w:sz w:val="16"/>
                <w:lang w:val="es-ES_tradnl"/>
              </w:rPr>
              <w:t>1.087</w:t>
            </w:r>
          </w:p>
        </w:tc>
      </w:tr>
      <w:tr w:rsidR="00525604" w:rsidRPr="00A34388" w:rsidTr="00853209">
        <w:tc>
          <w:tcPr>
            <w:tcW w:w="567"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541"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52.094</w:t>
            </w:r>
          </w:p>
        </w:tc>
        <w:tc>
          <w:tcPr>
            <w:tcW w:w="1418"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51.154</w:t>
            </w:r>
          </w:p>
        </w:tc>
        <w:tc>
          <w:tcPr>
            <w:tcW w:w="1418"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49.452</w:t>
            </w:r>
          </w:p>
        </w:tc>
      </w:tr>
    </w:tbl>
    <w:p w:rsidR="00525604" w:rsidRPr="00E924A6" w:rsidRDefault="00525604" w:rsidP="00525604">
      <w:pPr>
        <w:rPr>
          <w:rFonts w:cs="Arial"/>
          <w:szCs w:val="20"/>
          <w:lang w:val="es-ES_tradnl"/>
        </w:rPr>
      </w:pPr>
    </w:p>
    <w:p w:rsidR="00AC4B89" w:rsidRDefault="00AC4B89">
      <w:pPr>
        <w:rPr>
          <w:rFonts w:cs="Arial"/>
          <w:color w:val="000000"/>
          <w:szCs w:val="18"/>
          <w:lang w:val="es-ES_tradnl"/>
        </w:rPr>
      </w:pPr>
      <w:r>
        <w:rPr>
          <w:color w:val="000000"/>
          <w:lang w:val="es-ES_tradnl"/>
        </w:rPr>
        <w:br w:type="page"/>
      </w: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lastRenderedPageBreak/>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525604" w:rsidRPr="00A34388" w:rsidRDefault="00525604" w:rsidP="00525604">
      <w:pPr>
        <w:rPr>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25604" w:rsidRPr="00A34388" w:rsidTr="00853209">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332758" w:rsidRDefault="00525604" w:rsidP="00853209">
            <w:pPr>
              <w:spacing w:before="120" w:after="120"/>
              <w:jc w:val="center"/>
              <w:rPr>
                <w:rFonts w:cs="Arial"/>
                <w:bCs/>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38.617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39.160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39.160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13.477</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11.994</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10.292</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86%</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TOTAL</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52.094</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51.154</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49.452</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97%</w:t>
            </w:r>
          </w:p>
        </w:tc>
      </w:tr>
    </w:tbl>
    <w:p w:rsidR="00525604" w:rsidRPr="00A34388" w:rsidRDefault="00525604" w:rsidP="00E924A6">
      <w:pPr>
        <w:rPr>
          <w:lang w:val="es-ES_tradnl"/>
        </w:rPr>
      </w:pPr>
    </w:p>
    <w:p w:rsidR="00525604" w:rsidRPr="00A34388" w:rsidRDefault="00525604" w:rsidP="00E924A6">
      <w:pPr>
        <w:autoSpaceDE w:val="0"/>
        <w:autoSpaceDN w:val="0"/>
        <w:rPr>
          <w:sz w:val="16"/>
          <w:szCs w:val="16"/>
          <w:lang w:val="es-ES_tradnl"/>
        </w:rPr>
      </w:pPr>
      <w:r w:rsidRPr="00332758">
        <w:rPr>
          <w:sz w:val="16"/>
          <w:lang w:val="es-ES_tradnl"/>
        </w:rPr>
        <w:t>NOTAS:</w:t>
      </w:r>
    </w:p>
    <w:p w:rsidR="00525604" w:rsidRPr="00A34388" w:rsidRDefault="00525604" w:rsidP="00E924A6">
      <w:pPr>
        <w:autoSpaceDE w:val="0"/>
        <w:autoSpaceDN w:val="0"/>
        <w:rPr>
          <w:sz w:val="16"/>
          <w:szCs w:val="16"/>
          <w:lang w:val="es-ES_tradnl"/>
        </w:rPr>
      </w:pPr>
    </w:p>
    <w:p w:rsidR="00525604" w:rsidRPr="00A34388" w:rsidRDefault="00525604" w:rsidP="00E924A6">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E924A6">
      <w:pPr>
        <w:autoSpaceDE w:val="0"/>
        <w:autoSpaceDN w:val="0"/>
        <w:rPr>
          <w:sz w:val="16"/>
          <w:szCs w:val="16"/>
          <w:lang w:val="es-ES_tradnl"/>
        </w:rPr>
      </w:pPr>
    </w:p>
    <w:p w:rsidR="00EB2A5D" w:rsidRPr="00A34388" w:rsidRDefault="00525604" w:rsidP="00E924A6">
      <w:pPr>
        <w:autoSpaceDE w:val="0"/>
        <w:autoSpaceDN w:val="0"/>
        <w:jc w:val="both"/>
        <w:rPr>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E924A6">
      <w:pPr>
        <w:autoSpaceDE w:val="0"/>
        <w:autoSpaceDN w:val="0"/>
        <w:rPr>
          <w:sz w:val="16"/>
          <w:szCs w:val="16"/>
          <w:lang w:val="es-ES_tradnl"/>
        </w:rPr>
      </w:pPr>
    </w:p>
    <w:p w:rsidR="00525604" w:rsidRPr="00E924A6" w:rsidRDefault="00525604" w:rsidP="00E924A6">
      <w:pPr>
        <w:rPr>
          <w:szCs w:val="20"/>
          <w:lang w:val="es-ES_tradnl"/>
        </w:rPr>
      </w:pPr>
    </w:p>
    <w:p w:rsidR="00525604" w:rsidRPr="00332758" w:rsidRDefault="00525604" w:rsidP="00E924A6">
      <w:pPr>
        <w:tabs>
          <w:tab w:val="left" w:pos="709"/>
        </w:tabs>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tabs>
          <w:tab w:val="left" w:pos="709"/>
        </w:tabs>
        <w:jc w:val="both"/>
        <w:rPr>
          <w:lang w:val="es-ES_tradnl"/>
        </w:rPr>
      </w:pPr>
    </w:p>
    <w:p w:rsidR="00525604" w:rsidRPr="00A34388" w:rsidRDefault="00525604" w:rsidP="00525604">
      <w:pPr>
        <w:pStyle w:val="ListParagraph"/>
        <w:numPr>
          <w:ilvl w:val="0"/>
          <w:numId w:val="17"/>
        </w:numPr>
        <w:tabs>
          <w:tab w:val="left" w:pos="709"/>
        </w:tabs>
        <w:ind w:left="0" w:firstLine="0"/>
        <w:jc w:val="both"/>
        <w:rPr>
          <w:rFonts w:eastAsia="Batang"/>
          <w:lang w:val="es-ES_tradnl"/>
        </w:rPr>
      </w:pPr>
      <w:r w:rsidRPr="00A34388">
        <w:rPr>
          <w:lang w:val="es-ES_tradnl"/>
        </w:rPr>
        <w:t xml:space="preserve">La asignación </w:t>
      </w:r>
      <w:r w:rsidR="00E101E3" w:rsidRPr="00A34388">
        <w:rPr>
          <w:lang w:val="es-ES_tradnl"/>
        </w:rPr>
        <w:t xml:space="preserve">para el </w:t>
      </w:r>
      <w:r w:rsidRPr="00A34388">
        <w:rPr>
          <w:lang w:val="es-ES_tradnl"/>
        </w:rPr>
        <w:t>personal del presupuesto de 2012/13 después de las transferencias refleja un ajuste al alza</w:t>
      </w:r>
      <w:r w:rsidR="00E101E3" w:rsidRPr="00A34388">
        <w:rPr>
          <w:lang w:val="es-ES_tradnl"/>
        </w:rPr>
        <w:t>,</w:t>
      </w:r>
      <w:r w:rsidRPr="00A34388">
        <w:rPr>
          <w:lang w:val="es-ES_tradnl"/>
        </w:rPr>
        <w:t xml:space="preserve"> debido principalmente a la regularización de varios empleados temporeros con muchos años de servicio, de conformidad con la decisión </w:t>
      </w:r>
      <w:r w:rsidR="00E101E3" w:rsidRPr="00A34388">
        <w:rPr>
          <w:lang w:val="es-ES_tradnl"/>
        </w:rPr>
        <w:t xml:space="preserve">adoptada </w:t>
      </w:r>
      <w:r w:rsidRPr="00A34388">
        <w:rPr>
          <w:lang w:val="es-ES_tradnl"/>
        </w:rPr>
        <w:t xml:space="preserve">por la Asamblea en 2010.  </w:t>
      </w:r>
    </w:p>
    <w:p w:rsidR="00525604" w:rsidRPr="00A34388" w:rsidRDefault="00525604" w:rsidP="00525604">
      <w:pPr>
        <w:tabs>
          <w:tab w:val="left" w:pos="709"/>
        </w:tabs>
        <w:jc w:val="both"/>
        <w:rPr>
          <w:rFonts w:eastAsia="Batang"/>
          <w:lang w:val="es-ES_tradnl"/>
        </w:rPr>
      </w:pPr>
    </w:p>
    <w:p w:rsidR="00525604" w:rsidRPr="00A34388" w:rsidRDefault="00525604" w:rsidP="00525604">
      <w:pPr>
        <w:pStyle w:val="ListParagraph"/>
        <w:numPr>
          <w:ilvl w:val="0"/>
          <w:numId w:val="17"/>
        </w:numPr>
        <w:tabs>
          <w:tab w:val="left" w:pos="709"/>
        </w:tabs>
        <w:ind w:left="0" w:firstLine="0"/>
        <w:jc w:val="both"/>
        <w:rPr>
          <w:rFonts w:eastAsia="Batang"/>
          <w:lang w:val="es-ES_tradnl"/>
        </w:rPr>
      </w:pP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r w:rsidRPr="00A34388">
        <w:rPr>
          <w:lang w:val="es-ES_tradnl"/>
        </w:rPr>
        <w:t xml:space="preserve">  </w:t>
      </w:r>
    </w:p>
    <w:p w:rsidR="00525604" w:rsidRPr="00A34388" w:rsidRDefault="00525604" w:rsidP="00525604">
      <w:pPr>
        <w:tabs>
          <w:tab w:val="left" w:pos="709"/>
        </w:tabs>
        <w:jc w:val="both"/>
        <w:rPr>
          <w:rFonts w:eastAsia="Batang"/>
          <w:lang w:val="es-ES_tradnl"/>
        </w:rPr>
      </w:pPr>
    </w:p>
    <w:p w:rsidR="00525604" w:rsidRPr="00A34388" w:rsidRDefault="00525604" w:rsidP="00525604">
      <w:pPr>
        <w:tabs>
          <w:tab w:val="left" w:pos="709"/>
        </w:tabs>
        <w:jc w:val="both"/>
        <w:rPr>
          <w:rFonts w:eastAsia="Batang"/>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tabs>
          <w:tab w:val="left" w:pos="709"/>
        </w:tabs>
        <w:jc w:val="both"/>
        <w:rPr>
          <w:u w:val="single"/>
          <w:lang w:val="es-ES_tradnl"/>
        </w:rPr>
      </w:pPr>
    </w:p>
    <w:p w:rsidR="00525604" w:rsidRPr="00A34388" w:rsidRDefault="00525604" w:rsidP="00525604">
      <w:pPr>
        <w:pStyle w:val="ListParagraph"/>
        <w:numPr>
          <w:ilvl w:val="0"/>
          <w:numId w:val="17"/>
        </w:numPr>
        <w:tabs>
          <w:tab w:val="left" w:pos="709"/>
        </w:tabs>
        <w:ind w:left="0" w:firstLine="0"/>
        <w:jc w:val="both"/>
        <w:rPr>
          <w:rFonts w:eastAsia="Batang" w:cs="Arial"/>
          <w:lang w:val="es-ES_tradnl"/>
        </w:rPr>
      </w:pPr>
      <w:r w:rsidRPr="00A34388">
        <w:rPr>
          <w:lang w:val="es-ES_tradnl"/>
        </w:rPr>
        <w:t xml:space="preserve">El índice de utilización </w:t>
      </w:r>
      <w:r w:rsidR="002E726D" w:rsidRPr="00A34388">
        <w:rPr>
          <w:lang w:val="es-ES_tradnl"/>
        </w:rPr>
        <w:t xml:space="preserve">a cargo del programa </w:t>
      </w:r>
      <w:r w:rsidRPr="00A34388">
        <w:rPr>
          <w:lang w:val="es-ES_tradnl"/>
        </w:rPr>
        <w:t xml:space="preserve">del presupuesto no relativo al personal fue del 86% del presupuesto después de las transferencias.  </w:t>
      </w:r>
      <w:r w:rsidR="002E726D" w:rsidRPr="00A34388">
        <w:rPr>
          <w:lang w:val="es-ES_tradnl"/>
        </w:rPr>
        <w:t xml:space="preserve">Esta infrautilización </w:t>
      </w:r>
      <w:r w:rsidRPr="00A34388">
        <w:rPr>
          <w:lang w:val="es-ES_tradnl"/>
        </w:rPr>
        <w:t>de los recursos no relativos al personal se debió principalmente a:</w:t>
      </w:r>
    </w:p>
    <w:p w:rsidR="00525604" w:rsidRPr="00A34388" w:rsidRDefault="00525604" w:rsidP="00525604">
      <w:pPr>
        <w:jc w:val="both"/>
        <w:rPr>
          <w:rFonts w:eastAsia="Batang" w:cs="Arial"/>
          <w:szCs w:val="20"/>
          <w:lang w:val="es-ES_tradnl"/>
        </w:rPr>
      </w:pPr>
    </w:p>
    <w:p w:rsidR="00525604" w:rsidRPr="00A34388" w:rsidRDefault="00525604" w:rsidP="00525604">
      <w:pPr>
        <w:pStyle w:val="ListParagraph"/>
        <w:numPr>
          <w:ilvl w:val="0"/>
          <w:numId w:val="16"/>
        </w:numPr>
        <w:ind w:left="851" w:hanging="284"/>
        <w:jc w:val="both"/>
        <w:rPr>
          <w:rFonts w:eastAsia="Batang" w:cs="Arial"/>
          <w:lang w:val="es-ES_tradnl"/>
        </w:rPr>
      </w:pPr>
      <w:r w:rsidRPr="00A34388">
        <w:rPr>
          <w:lang w:val="es-ES_tradnl"/>
        </w:rPr>
        <w:t xml:space="preserve">una reducción de las misiones del personal y el ahorro de costos </w:t>
      </w:r>
      <w:r w:rsidR="002E726D" w:rsidRPr="00A34388">
        <w:rPr>
          <w:lang w:val="es-ES_tradnl"/>
        </w:rPr>
        <w:t xml:space="preserve">logrado con </w:t>
      </w:r>
      <w:r w:rsidRPr="00A34388">
        <w:rPr>
          <w:lang w:val="es-ES_tradnl"/>
        </w:rPr>
        <w:t xml:space="preserve">la reserva anticipada de los viajes </w:t>
      </w:r>
      <w:r w:rsidR="002E726D" w:rsidRPr="00A34388">
        <w:rPr>
          <w:lang w:val="es-ES_tradnl"/>
        </w:rPr>
        <w:t xml:space="preserve">en el marco de </w:t>
      </w:r>
      <w:r w:rsidRPr="00A34388">
        <w:rPr>
          <w:lang w:val="es-ES_tradnl"/>
        </w:rPr>
        <w:t xml:space="preserve">los resultados II.8 (Mejor utilización de los sistemas de Madrid y de Lisboa) y II.10 (Mayor conocimiento de los sistemas de Madrid y de Lisboa);  y </w:t>
      </w:r>
    </w:p>
    <w:p w:rsidR="00525604" w:rsidRPr="00A34388" w:rsidRDefault="00525604" w:rsidP="00525604">
      <w:pPr>
        <w:pStyle w:val="ListParagraph"/>
        <w:ind w:left="851" w:hanging="284"/>
        <w:jc w:val="both"/>
        <w:rPr>
          <w:rFonts w:eastAsia="Batang" w:cs="Arial"/>
          <w:lang w:val="es-ES_tradnl"/>
        </w:rPr>
      </w:pPr>
    </w:p>
    <w:p w:rsidR="00525604" w:rsidRPr="00A34388" w:rsidRDefault="00525604" w:rsidP="00525604">
      <w:pPr>
        <w:pStyle w:val="ListParagraph"/>
        <w:numPr>
          <w:ilvl w:val="0"/>
          <w:numId w:val="16"/>
        </w:numPr>
        <w:ind w:left="851" w:hanging="284"/>
        <w:jc w:val="both"/>
        <w:rPr>
          <w:lang w:val="es-ES_tradnl"/>
        </w:rPr>
      </w:pPr>
      <w:r w:rsidRPr="00A34388">
        <w:rPr>
          <w:lang w:val="es-ES_tradnl"/>
        </w:rPr>
        <w:t>ahorro</w:t>
      </w:r>
      <w:r w:rsidR="002E726D" w:rsidRPr="00A34388">
        <w:rPr>
          <w:lang w:val="es-ES_tradnl"/>
        </w:rPr>
        <w:t>s</w:t>
      </w:r>
      <w:r w:rsidRPr="00A34388">
        <w:rPr>
          <w:lang w:val="es-ES_tradnl"/>
        </w:rPr>
        <w:t xml:space="preserve"> </w:t>
      </w:r>
      <w:r w:rsidR="002E726D" w:rsidRPr="00A34388">
        <w:rPr>
          <w:lang w:val="es-ES_tradnl"/>
        </w:rPr>
        <w:t xml:space="preserve">de costos </w:t>
      </w:r>
      <w:r w:rsidRPr="00A34388">
        <w:rPr>
          <w:lang w:val="es-ES_tradnl"/>
        </w:rPr>
        <w:t xml:space="preserve">i) </w:t>
      </w:r>
      <w:r w:rsidR="002E726D" w:rsidRPr="00A34388">
        <w:rPr>
          <w:lang w:val="es-ES_tradnl"/>
        </w:rPr>
        <w:t xml:space="preserve">en </w:t>
      </w:r>
      <w:r w:rsidRPr="00A34388">
        <w:rPr>
          <w:lang w:val="es-ES_tradnl"/>
        </w:rPr>
        <w:t xml:space="preserve">los servicios de interpretación debido a una reducción de la duración de la reunión del Grupo de Trabajo del Sistema de Madrid (tres días en lugar de cinco) y un mayor uso del sistema World Server y de servicios de traducción externos;  y ii) </w:t>
      </w:r>
      <w:r w:rsidR="002E726D" w:rsidRPr="00A34388">
        <w:rPr>
          <w:lang w:val="es-ES_tradnl"/>
        </w:rPr>
        <w:t xml:space="preserve">relacionados con la </w:t>
      </w:r>
      <w:r w:rsidRPr="00A34388">
        <w:rPr>
          <w:lang w:val="es-ES_tradnl"/>
        </w:rPr>
        <w:t xml:space="preserve">reducción de los franqueos </w:t>
      </w:r>
      <w:r w:rsidR="002E726D" w:rsidRPr="00A34388">
        <w:rPr>
          <w:lang w:val="es-ES_tradnl"/>
        </w:rPr>
        <w:t xml:space="preserve">en el marco del </w:t>
      </w:r>
      <w:r w:rsidRPr="00A34388">
        <w:rPr>
          <w:lang w:val="es-ES_tradnl"/>
        </w:rPr>
        <w:t>resultado II.9 (Mejora del funcionamiento de los sistemas de Madrid y Lisboa), debido a un mayor uso de los medios electrónicos.</w:t>
      </w:r>
    </w:p>
    <w:p w:rsidR="00525604" w:rsidRPr="00A34388" w:rsidRDefault="00525604" w:rsidP="00525604">
      <w:pPr>
        <w:pStyle w:val="ListParagraph"/>
        <w:ind w:left="851" w:hanging="284"/>
        <w:jc w:val="both"/>
        <w:rPr>
          <w:lang w:val="es-ES_tradnl"/>
        </w:rPr>
      </w:pPr>
    </w:p>
    <w:p w:rsidR="00525604" w:rsidRPr="00A34388" w:rsidRDefault="00525604" w:rsidP="00525604">
      <w:pPr>
        <w:rPr>
          <w:szCs w:val="20"/>
          <w:lang w:val="es-ES_tradnl"/>
        </w:rPr>
      </w:pPr>
      <w:r w:rsidRPr="00A34388">
        <w:rPr>
          <w:lang w:val="es-ES_tradnl"/>
        </w:rPr>
        <w:br w:type="page"/>
      </w:r>
    </w:p>
    <w:p w:rsidR="00391D6B" w:rsidRPr="003934C8" w:rsidRDefault="00391D6B" w:rsidP="00391D6B">
      <w:pPr>
        <w:pStyle w:val="Heading3"/>
        <w:rPr>
          <w:rFonts w:hint="eastAsia"/>
          <w:lang w:val="es-ES"/>
        </w:rPr>
      </w:pPr>
      <w:bookmarkStart w:id="33" w:name="_Toc395279659"/>
      <w:r w:rsidRPr="003934C8">
        <w:rPr>
          <w:lang w:val="es-ES"/>
        </w:rPr>
        <w:lastRenderedPageBreak/>
        <w:t>Programa 31</w:t>
      </w:r>
      <w:r w:rsidRPr="003934C8">
        <w:rPr>
          <w:lang w:val="es-ES"/>
        </w:rPr>
        <w:tab/>
        <w:t>Sistema de La Haya</w:t>
      </w:r>
      <w:bookmarkEnd w:id="33"/>
    </w:p>
    <w:p w:rsidR="00525604" w:rsidRPr="00332758" w:rsidRDefault="00525604" w:rsidP="00525604">
      <w:pPr>
        <w:ind w:left="2268" w:hanging="2268"/>
        <w:rPr>
          <w:rFonts w:cs="Arial"/>
          <w:b/>
          <w:sz w:val="22"/>
          <w:szCs w:val="22"/>
          <w:lang w:val="es-ES_tradnl"/>
        </w:rPr>
      </w:pPr>
    </w:p>
    <w:p w:rsidR="00525604" w:rsidRPr="00332758" w:rsidRDefault="00525604" w:rsidP="00525604">
      <w:pPr>
        <w:ind w:left="2694" w:hanging="2694"/>
        <w:rPr>
          <w:rFonts w:cs="Arial"/>
          <w:b/>
          <w:sz w:val="22"/>
          <w:szCs w:val="22"/>
          <w:lang w:val="es-ES_tradnl"/>
        </w:rPr>
      </w:pPr>
      <w:r w:rsidRPr="00332758">
        <w:rPr>
          <w:b/>
          <w:sz w:val="22"/>
          <w:lang w:val="es-ES_tradnl"/>
        </w:rPr>
        <w:t>Directora del Programa</w:t>
      </w:r>
      <w:r w:rsidRPr="00A34388">
        <w:rPr>
          <w:lang w:val="es-ES_tradnl"/>
        </w:rPr>
        <w:tab/>
      </w:r>
      <w:r w:rsidRPr="00332758">
        <w:rPr>
          <w:b/>
          <w:sz w:val="22"/>
          <w:lang w:val="es-ES_tradnl"/>
        </w:rPr>
        <w:t>Sra. Binying Wang</w:t>
      </w:r>
    </w:p>
    <w:p w:rsidR="00525604" w:rsidRPr="00A34388" w:rsidRDefault="00525604" w:rsidP="00525604">
      <w:pPr>
        <w:rPr>
          <w:rFonts w:cs="Arial"/>
          <w:sz w:val="22"/>
          <w:szCs w:val="22"/>
          <w:lang w:val="es-ES_tradnl"/>
        </w:rPr>
      </w:pPr>
    </w:p>
    <w:p w:rsidR="00525604" w:rsidRPr="00A34388" w:rsidRDefault="00525604" w:rsidP="00525604">
      <w:pPr>
        <w:rPr>
          <w:rFonts w:cs="Arial"/>
          <w:bCs/>
          <w:sz w:val="22"/>
          <w:szCs w:val="22"/>
          <w:lang w:val="es-ES_tradnl"/>
        </w:rPr>
      </w:pPr>
    </w:p>
    <w:p w:rsidR="00525604" w:rsidRPr="00A34388" w:rsidRDefault="003E3F45" w:rsidP="00525604">
      <w:pPr>
        <w:rPr>
          <w:rFonts w:cs="Arial"/>
          <w:sz w:val="22"/>
          <w:szCs w:val="22"/>
          <w:lang w:val="es-ES_tradnl"/>
        </w:rPr>
      </w:pPr>
      <w:r>
        <w:rPr>
          <w:sz w:val="22"/>
          <w:lang w:val="es-ES_tradnl"/>
        </w:rPr>
        <w:t>AVANCES LOGRADOS EN EL BIENIO 2012/13</w:t>
      </w:r>
    </w:p>
    <w:p w:rsidR="00525604" w:rsidRPr="00A34388" w:rsidRDefault="00525604" w:rsidP="00525604">
      <w:pPr>
        <w:autoSpaceDE w:val="0"/>
        <w:autoSpaceDN w:val="0"/>
        <w:adjustRightInd w:val="0"/>
        <w:rPr>
          <w:rFonts w:cs="Arial"/>
          <w:sz w:val="22"/>
          <w:szCs w:val="22"/>
          <w:lang w:val="es-ES_tradnl"/>
        </w:rPr>
      </w:pPr>
    </w:p>
    <w:p w:rsidR="00525604" w:rsidRPr="00A34388" w:rsidRDefault="00525604" w:rsidP="00525604">
      <w:pPr>
        <w:tabs>
          <w:tab w:val="left" w:pos="709"/>
        </w:tabs>
        <w:autoSpaceDE w:val="0"/>
        <w:autoSpaceDN w:val="0"/>
        <w:adjustRightInd w:val="0"/>
        <w:jc w:val="both"/>
        <w:rPr>
          <w:rFonts w:cs="Arial"/>
          <w:szCs w:val="20"/>
          <w:lang w:val="es-ES_tradnl"/>
        </w:rPr>
      </w:pPr>
      <w:r w:rsidRPr="00A34388">
        <w:rPr>
          <w:lang w:val="es-ES_tradnl"/>
        </w:rPr>
        <w:t>31.1.</w:t>
      </w:r>
      <w:r w:rsidRPr="00A34388">
        <w:rPr>
          <w:lang w:val="es-ES_tradnl"/>
        </w:rPr>
        <w:tab/>
      </w:r>
      <w:r w:rsidR="008C3076" w:rsidRPr="00A34388">
        <w:rPr>
          <w:lang w:val="es-ES_tradnl"/>
        </w:rPr>
        <w:t xml:space="preserve">Durante el bienio, 2012/13, Brunei Darussalam, Montenegro, Tayikistán y Túnez se adhirieron al Acta de Ginebra (1999) del Arreglo de La Haya relativo al Registro Internacional de Dibujos y Modelos Industriales (en adelante, "el Acta de 1999"). </w:t>
      </w:r>
      <w:r w:rsidR="00537926" w:rsidRPr="00A34388">
        <w:rPr>
          <w:lang w:val="es-ES_tradnl"/>
        </w:rPr>
        <w:t xml:space="preserve"> </w:t>
      </w:r>
      <w:r w:rsidR="008C3076" w:rsidRPr="00A34388">
        <w:rPr>
          <w:lang w:val="es-ES_tradnl"/>
        </w:rPr>
        <w:t xml:space="preserve">La adhesión de Túnez supone un importante paso hacia el objetivo de establecer el predominio del Acta de Ginebra (1999) en el Sistema de La Haya puesto que gracias a esta adhesión ya no quedan Estados Contratantes vinculados únicamente por el Acta de 1934.  Continuó progresándose hacia el cese de la aplicación de esta última Acta, dado que se recibieron cuatro autorizaciones más al efecto.  A fines del bienio, todavía se necesitaban tres autorizaciones para poder decretar el cese formal de la aplicación. </w:t>
      </w:r>
    </w:p>
    <w:p w:rsidR="00525604" w:rsidRPr="00A34388" w:rsidRDefault="00525604" w:rsidP="00525604">
      <w:pPr>
        <w:tabs>
          <w:tab w:val="left" w:pos="709"/>
        </w:tabs>
        <w:autoSpaceDE w:val="0"/>
        <w:autoSpaceDN w:val="0"/>
        <w:adjustRightInd w:val="0"/>
        <w:jc w:val="both"/>
        <w:rPr>
          <w:rFonts w:cs="Arial"/>
          <w:szCs w:val="20"/>
          <w:lang w:val="es-ES_tradnl"/>
        </w:rPr>
      </w:pPr>
    </w:p>
    <w:p w:rsidR="00525604" w:rsidRPr="00332758" w:rsidRDefault="00525604" w:rsidP="00525604">
      <w:pPr>
        <w:tabs>
          <w:tab w:val="left" w:pos="709"/>
        </w:tabs>
        <w:autoSpaceDE w:val="0"/>
        <w:autoSpaceDN w:val="0"/>
        <w:adjustRightInd w:val="0"/>
        <w:jc w:val="both"/>
        <w:rPr>
          <w:rFonts w:cs="Arial"/>
          <w:szCs w:val="20"/>
          <w:lang w:val="es-ES_tradnl"/>
        </w:rPr>
      </w:pPr>
      <w:r w:rsidRPr="00A34388">
        <w:rPr>
          <w:lang w:val="es-ES_tradnl"/>
        </w:rPr>
        <w:t>31.2.</w:t>
      </w:r>
      <w:r w:rsidRPr="00A34388">
        <w:rPr>
          <w:lang w:val="es-ES_tradnl"/>
        </w:rPr>
        <w:tab/>
        <w:t xml:space="preserve">Durante el bienio entraron en vigor o se adoptaron varias modificaciones al Reglamento Común y a las Instrucciones Administrativas, lo que supuso una actualización general del marco jurídico.  El Grupo de Trabajo, en sus </w:t>
      </w:r>
      <w:r w:rsidR="00E101E3" w:rsidRPr="00A34388">
        <w:rPr>
          <w:lang w:val="es-ES_tradnl"/>
        </w:rPr>
        <w:t xml:space="preserve">reuniones </w:t>
      </w:r>
      <w:r w:rsidRPr="00A34388">
        <w:rPr>
          <w:lang w:val="es-ES_tradnl"/>
        </w:rPr>
        <w:t xml:space="preserve">segunda y tercera, celebradas en Ginebra en noviembre de 2012 y octubre de 2013, respectivamente, emitió una opinión positiva sobre las implicaciones legislativas de la introducción en la administración del Sistema de La Haya de innovaciones basadas en las tecnologías de la información, como el </w:t>
      </w:r>
      <w:r w:rsidRPr="00956D28">
        <w:rPr>
          <w:i/>
          <w:lang w:val="es-ES_tradnl"/>
        </w:rPr>
        <w:t>Hague Portfolio Manager</w:t>
      </w:r>
      <w:r w:rsidRPr="00A34388">
        <w:rPr>
          <w:lang w:val="es-ES_tradnl"/>
        </w:rPr>
        <w:t xml:space="preserve">, lo que se espera que implique nuevas modificaciones.  Por otra parte, desde enero de 2012, el Boletín de Dibujos y Modelos Internacionales se publica una vez por semana, lo que ha reducido de nueve a cuatro semanas el promedio del tiempo de tramitación entre la presentación y la publicación de una solicitud regular de publicación no diferida.  Además, aproximadamente el 80% de las solicitudes y renovaciones se presentaron mediante las correspondientes interfaces electrónicas.  </w:t>
      </w:r>
      <w:r w:rsidRPr="00332758">
        <w:rPr>
          <w:lang w:val="es-ES_tradnl"/>
        </w:rPr>
        <w:t>Por último, en 2012 una encuesta realizada de forma independiente reveló que el 95% de los usuarios del Sistema de La Haya se sienten satisfechos.</w:t>
      </w:r>
    </w:p>
    <w:p w:rsidR="00525604" w:rsidRPr="00A34388" w:rsidRDefault="00525604" w:rsidP="00525604">
      <w:pPr>
        <w:tabs>
          <w:tab w:val="left" w:pos="709"/>
        </w:tabs>
        <w:autoSpaceDE w:val="0"/>
        <w:autoSpaceDN w:val="0"/>
        <w:adjustRightInd w:val="0"/>
        <w:jc w:val="both"/>
        <w:rPr>
          <w:rFonts w:cs="Arial"/>
          <w:szCs w:val="20"/>
          <w:lang w:val="es-ES_tradnl"/>
        </w:rPr>
      </w:pPr>
    </w:p>
    <w:p w:rsidR="00525604" w:rsidRPr="00A34388" w:rsidRDefault="00525604" w:rsidP="00525604">
      <w:pPr>
        <w:tabs>
          <w:tab w:val="left" w:pos="709"/>
        </w:tabs>
        <w:autoSpaceDE w:val="0"/>
        <w:autoSpaceDN w:val="0"/>
        <w:adjustRightInd w:val="0"/>
        <w:jc w:val="both"/>
        <w:rPr>
          <w:rFonts w:cs="Arial"/>
          <w:szCs w:val="20"/>
          <w:lang w:val="es-ES_tradnl"/>
        </w:rPr>
      </w:pPr>
      <w:r w:rsidRPr="00A34388">
        <w:rPr>
          <w:lang w:val="es-ES_tradnl"/>
        </w:rPr>
        <w:t>31.3.</w:t>
      </w:r>
      <w:r w:rsidRPr="00A34388">
        <w:rPr>
          <w:lang w:val="es-ES_tradnl"/>
        </w:rPr>
        <w:tab/>
        <w:t xml:space="preserve">Con respecto al fomento de la sensibilización relativa al Sistema de La Haya, el número de publicaciones disponibles en diferentes idiomas, además de los tres idiomas de trabajo del Sistema, continuaron aumentando durante el bienio.  </w:t>
      </w:r>
      <w:r w:rsidRPr="00332758">
        <w:rPr>
          <w:lang w:val="es-ES_tradnl"/>
        </w:rPr>
        <w:t>El número de oficinas que ofrecen información adecuada al público acerca del Sistema de La Haya también aumentó.</w:t>
      </w:r>
      <w:r w:rsidRPr="00A34388">
        <w:rPr>
          <w:lang w:val="es-ES_tradnl"/>
        </w:rPr>
        <w:t xml:space="preserve"> </w:t>
      </w:r>
    </w:p>
    <w:p w:rsidR="00525604" w:rsidRPr="00A34388" w:rsidRDefault="00525604" w:rsidP="00525604">
      <w:pPr>
        <w:tabs>
          <w:tab w:val="left" w:pos="709"/>
        </w:tabs>
        <w:autoSpaceDE w:val="0"/>
        <w:autoSpaceDN w:val="0"/>
        <w:adjustRightInd w:val="0"/>
        <w:jc w:val="both"/>
        <w:rPr>
          <w:rFonts w:cs="Arial"/>
          <w:szCs w:val="20"/>
          <w:lang w:val="es-ES_tradnl"/>
        </w:rPr>
      </w:pPr>
    </w:p>
    <w:p w:rsidR="00525604" w:rsidRPr="00A34388" w:rsidRDefault="00525604" w:rsidP="00525604">
      <w:pPr>
        <w:tabs>
          <w:tab w:val="left" w:pos="709"/>
        </w:tabs>
        <w:jc w:val="both"/>
        <w:rPr>
          <w:rFonts w:eastAsia="MS Mincho" w:cs="Arial"/>
          <w:szCs w:val="20"/>
          <w:lang w:val="es-ES_tradnl"/>
        </w:rPr>
      </w:pPr>
      <w:r w:rsidRPr="00332758">
        <w:rPr>
          <w:lang w:val="es-ES_tradnl"/>
        </w:rPr>
        <w:t>31.4.</w:t>
      </w:r>
      <w:r w:rsidRPr="00A34388">
        <w:rPr>
          <w:lang w:val="es-ES_tradnl"/>
        </w:rPr>
        <w:tab/>
      </w:r>
      <w:r w:rsidRPr="00332758">
        <w:rPr>
          <w:lang w:val="es-ES_tradnl"/>
        </w:rPr>
        <w:t>A pesar del aumento general de la actividad en lo que respecta a presentación de solicitudes y registros, con un aumento notable de las solicitudes procedentes de los países en desarrollo y los PMA, y a pesar de que se han cumplido las metas en materia de renovaciones, las cantidades siguen estando por debajo de lo previsto.  Esto se debe a que los resultados fueron inferi</w:t>
      </w:r>
      <w:r w:rsidR="00E924A6" w:rsidRPr="00332758">
        <w:rPr>
          <w:lang w:val="es-ES_tradnl"/>
        </w:rPr>
        <w:t>ores a lo esperado en el bienio </w:t>
      </w:r>
      <w:r w:rsidRPr="00332758">
        <w:rPr>
          <w:lang w:val="es-ES_tradnl"/>
        </w:rPr>
        <w:t>2010/11; aunque éstos se hayan tomado como base para las previsiones de 2012/13.  Estos resultados inferiores a lo esperado en el bienio 2010/11 se deben a dos factores externos:  i) la persistente crisis económica mundial; y ii) al hecho de que el número de partes en el Acta de 1999 no aumentó como se esperaba.</w:t>
      </w:r>
      <w:r w:rsidRPr="00A34388">
        <w:rPr>
          <w:lang w:val="es-ES_tradnl"/>
        </w:rPr>
        <w:t xml:space="preserve">  Por lo que respecta a </w:t>
      </w:r>
      <w:r w:rsidR="00E101E3" w:rsidRPr="00A34388">
        <w:rPr>
          <w:lang w:val="es-ES_tradnl"/>
        </w:rPr>
        <w:t xml:space="preserve">la </w:t>
      </w:r>
      <w:r w:rsidRPr="00A34388">
        <w:rPr>
          <w:lang w:val="es-ES_tradnl"/>
        </w:rPr>
        <w:t xml:space="preserve">reducción </w:t>
      </w:r>
      <w:r w:rsidR="00E101E3" w:rsidRPr="00A34388">
        <w:rPr>
          <w:lang w:val="es-ES_tradnl"/>
        </w:rPr>
        <w:t xml:space="preserve">inferior a la </w:t>
      </w:r>
      <w:r w:rsidRPr="00A34388">
        <w:rPr>
          <w:lang w:val="es-ES_tradnl"/>
        </w:rPr>
        <w:t>previst</w:t>
      </w:r>
      <w:r w:rsidR="00E101E3" w:rsidRPr="00A34388">
        <w:rPr>
          <w:lang w:val="es-ES_tradnl"/>
        </w:rPr>
        <w:t>a</w:t>
      </w:r>
      <w:r w:rsidRPr="00A34388">
        <w:rPr>
          <w:lang w:val="es-ES_tradnl"/>
        </w:rPr>
        <w:t xml:space="preserve"> de las solicitudes irregulares, el desarrollo de una nueva interfaz de presentación electrónica, que debía reducir el número de errores de forma en las solicitudes, se retrasó y finalmente no </w:t>
      </w:r>
      <w:r w:rsidR="00E101E3" w:rsidRPr="00A34388">
        <w:rPr>
          <w:lang w:val="es-ES_tradnl"/>
        </w:rPr>
        <w:t xml:space="preserve">pudo completarse </w:t>
      </w:r>
      <w:r w:rsidR="00E924A6">
        <w:rPr>
          <w:lang w:val="es-ES_tradnl"/>
        </w:rPr>
        <w:t>hasta mediados de </w:t>
      </w:r>
      <w:r w:rsidRPr="00A34388">
        <w:rPr>
          <w:lang w:val="es-ES_tradnl"/>
        </w:rPr>
        <w:t xml:space="preserve">2013. </w:t>
      </w:r>
    </w:p>
    <w:p w:rsidR="00525604" w:rsidRPr="00E924A6" w:rsidRDefault="00525604" w:rsidP="00525604">
      <w:pPr>
        <w:tabs>
          <w:tab w:val="left" w:pos="709"/>
        </w:tabs>
        <w:jc w:val="both"/>
        <w:rPr>
          <w:rFonts w:cs="Arial"/>
          <w:bCs/>
          <w:szCs w:val="20"/>
          <w:lang w:val="es-ES_tradnl"/>
        </w:rPr>
      </w:pPr>
    </w:p>
    <w:p w:rsidR="00525604" w:rsidRPr="00A34388" w:rsidRDefault="00525604" w:rsidP="00525604">
      <w:pPr>
        <w:tabs>
          <w:tab w:val="left" w:pos="709"/>
        </w:tabs>
        <w:jc w:val="both"/>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E924A6" w:rsidRDefault="00525604" w:rsidP="00525604">
      <w:pPr>
        <w:tabs>
          <w:tab w:val="left" w:pos="709"/>
        </w:tabs>
        <w:jc w:val="both"/>
        <w:rPr>
          <w:rFonts w:cs="Arial"/>
          <w:bCs/>
          <w:szCs w:val="20"/>
          <w:lang w:val="es-ES_tradnl"/>
        </w:rPr>
      </w:pPr>
    </w:p>
    <w:p w:rsidR="00525604" w:rsidRPr="00332758" w:rsidRDefault="00525604" w:rsidP="00525604">
      <w:pPr>
        <w:tabs>
          <w:tab w:val="left" w:pos="709"/>
        </w:tabs>
        <w:jc w:val="both"/>
        <w:rPr>
          <w:rFonts w:cs="Arial"/>
          <w:bCs/>
          <w:szCs w:val="20"/>
          <w:lang w:val="es-ES_tradnl"/>
        </w:rPr>
      </w:pPr>
      <w:r w:rsidRPr="00332758">
        <w:rPr>
          <w:lang w:val="es-ES_tradnl"/>
        </w:rPr>
        <w:t>31.5.</w:t>
      </w:r>
      <w:r w:rsidRPr="00A34388">
        <w:rPr>
          <w:lang w:val="es-ES_tradnl"/>
        </w:rPr>
        <w:tab/>
      </w:r>
      <w:r w:rsidRPr="00332758">
        <w:rPr>
          <w:lang w:val="es-ES_tradnl"/>
        </w:rPr>
        <w:t>El diseño, la planificación y la ejecución de las actividades del programa 31 se basaron y se guiaron por las recomendaciones pertinentes de la Agenda para el Desarrollo, en particular por las recomendaciones 1 y 6.</w:t>
      </w:r>
    </w:p>
    <w:p w:rsidR="00525604" w:rsidRPr="00E924A6" w:rsidRDefault="00525604" w:rsidP="00525604">
      <w:pPr>
        <w:rPr>
          <w:rFonts w:cs="Arial"/>
          <w:bCs/>
          <w:color w:val="000000"/>
          <w:szCs w:val="20"/>
          <w:lang w:val="es-ES_tradnl"/>
        </w:rPr>
      </w:pPr>
    </w:p>
    <w:p w:rsidR="00E924A6" w:rsidRPr="00332758" w:rsidRDefault="00E924A6">
      <w:pPr>
        <w:rPr>
          <w:sz w:val="22"/>
          <w:lang w:val="es-ES_tradnl"/>
        </w:rPr>
      </w:pPr>
      <w:r w:rsidRPr="00332758">
        <w:rPr>
          <w:sz w:val="22"/>
          <w:lang w:val="es-ES_tradnl"/>
        </w:rPr>
        <w:br w:type="page"/>
      </w:r>
    </w:p>
    <w:p w:rsidR="00525604" w:rsidRPr="00A34388" w:rsidRDefault="00525604" w:rsidP="00525604">
      <w:pPr>
        <w:rPr>
          <w:rFonts w:cs="Arial"/>
          <w:sz w:val="22"/>
          <w:szCs w:val="22"/>
          <w:lang w:val="es-ES_tradnl"/>
        </w:rPr>
      </w:pPr>
      <w:r w:rsidRPr="00332758">
        <w:rPr>
          <w:sz w:val="22"/>
          <w:lang w:val="es-ES_tradnl"/>
        </w:rPr>
        <w:lastRenderedPageBreak/>
        <w:t>DATOS SOBRE EL RENDIMIENTO</w:t>
      </w:r>
    </w:p>
    <w:p w:rsidR="00525604" w:rsidRPr="00E924A6" w:rsidRDefault="00525604" w:rsidP="00525604">
      <w:pPr>
        <w:rPr>
          <w:rFonts w:cs="Arial"/>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2"/>
        <w:gridCol w:w="17"/>
        <w:gridCol w:w="1841"/>
        <w:gridCol w:w="127"/>
        <w:gridCol w:w="352"/>
        <w:gridCol w:w="1361"/>
        <w:gridCol w:w="2414"/>
        <w:gridCol w:w="1273"/>
      </w:tblGrid>
      <w:tr w:rsidR="00525604" w:rsidRPr="00E94BEA" w:rsidTr="00853209">
        <w:trPr>
          <w:cantSplit/>
        </w:trPr>
        <w:tc>
          <w:tcPr>
            <w:tcW w:w="5000" w:type="pct"/>
            <w:gridSpan w:val="8"/>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Mayor sensibilización acerca del Sistema de La Haya.</w:t>
            </w:r>
          </w:p>
        </w:tc>
      </w:tr>
      <w:tr w:rsidR="00525604" w:rsidRPr="00A34388" w:rsidTr="00853209">
        <w:trPr>
          <w:cantSplit/>
        </w:trPr>
        <w:tc>
          <w:tcPr>
            <w:tcW w:w="105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61" w:type="pct"/>
            <w:gridSpan w:val="3"/>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915" w:type="pct"/>
            <w:gridSpan w:val="2"/>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290"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0"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1054"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Número de solicitantes que presentan solicitudes por primera vez.</w:t>
            </w:r>
          </w:p>
        </w:tc>
        <w:tc>
          <w:tcPr>
            <w:tcW w:w="1061" w:type="pct"/>
            <w:gridSpan w:val="3"/>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t>No se dispone de datos.</w:t>
            </w:r>
          </w:p>
        </w:tc>
        <w:tc>
          <w:tcPr>
            <w:tcW w:w="915" w:type="pct"/>
            <w:gridSpan w:val="2"/>
            <w:shd w:val="clear" w:color="auto" w:fill="auto"/>
            <w:tcMar>
              <w:top w:w="110" w:type="dxa"/>
            </w:tcMar>
          </w:tcPr>
          <w:p w:rsidR="00525604" w:rsidRPr="00A34388" w:rsidRDefault="00525604" w:rsidP="00853209">
            <w:pPr>
              <w:rPr>
                <w:rFonts w:cs="Arial"/>
                <w:color w:val="000000"/>
                <w:sz w:val="16"/>
                <w:szCs w:val="16"/>
                <w:lang w:val="es-ES_tradnl"/>
              </w:rPr>
            </w:pPr>
            <w:r w:rsidRPr="00A34388">
              <w:rPr>
                <w:sz w:val="16"/>
                <w:lang w:val="es-ES_tradnl"/>
              </w:rPr>
              <w:t>Por determinar en el transcurso de 2011</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No se dispone de datos.</w:t>
            </w: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rStyle w:val="Style5"/>
                <w:rFonts w:ascii="Arial" w:hAnsi="Arial"/>
                <w:sz w:val="16"/>
                <w:lang w:val="es-ES_tradnl"/>
              </w:rPr>
              <w:t>Interrumpido</w:t>
            </w:r>
          </w:p>
        </w:tc>
      </w:tr>
      <w:tr w:rsidR="00525604" w:rsidRPr="00A34388" w:rsidTr="00853209">
        <w:trPr>
          <w:cantSplit/>
        </w:trPr>
        <w:tc>
          <w:tcPr>
            <w:tcW w:w="105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idiomas en los que está disponible la información general.</w:t>
            </w:r>
          </w:p>
          <w:p w:rsidR="00525604" w:rsidRPr="00A34388" w:rsidRDefault="00525604" w:rsidP="00853209">
            <w:pPr>
              <w:rPr>
                <w:rFonts w:cs="Arial"/>
                <w:sz w:val="16"/>
                <w:szCs w:val="16"/>
                <w:lang w:val="es-ES_tradnl"/>
              </w:rPr>
            </w:pPr>
          </w:p>
        </w:tc>
        <w:tc>
          <w:tcPr>
            <w:tcW w:w="1061" w:type="pct"/>
            <w:gridSpan w:val="3"/>
            <w:shd w:val="clear" w:color="auto" w:fill="auto"/>
          </w:tcPr>
          <w:p w:rsidR="00525604" w:rsidRPr="00A34388" w:rsidRDefault="00525604" w:rsidP="00853209">
            <w:pPr>
              <w:rPr>
                <w:rFonts w:cs="Arial"/>
                <w:sz w:val="16"/>
                <w:szCs w:val="16"/>
                <w:lang w:val="es-ES_tradnl"/>
              </w:rPr>
            </w:pPr>
            <w:r w:rsidRPr="00332758">
              <w:rPr>
                <w:sz w:val="16"/>
                <w:lang w:val="es-ES_tradnl"/>
              </w:rPr>
              <w:t>Los tres idiomas de trabajo del sistema.</w:t>
            </w:r>
          </w:p>
        </w:tc>
        <w:tc>
          <w:tcPr>
            <w:tcW w:w="915" w:type="pct"/>
            <w:gridSpan w:val="2"/>
            <w:shd w:val="clear" w:color="auto" w:fill="auto"/>
            <w:tcMar>
              <w:top w:w="110" w:type="dxa"/>
            </w:tcMar>
          </w:tcPr>
          <w:p w:rsidR="00525604" w:rsidRPr="00A34388" w:rsidRDefault="00525604" w:rsidP="00853209">
            <w:pPr>
              <w:rPr>
                <w:rFonts w:cs="Arial"/>
                <w:color w:val="993300"/>
                <w:sz w:val="16"/>
                <w:szCs w:val="16"/>
                <w:lang w:val="es-ES_tradnl"/>
              </w:rPr>
            </w:pPr>
            <w:r w:rsidRPr="00A34388">
              <w:rPr>
                <w:sz w:val="16"/>
                <w:lang w:val="es-ES_tradnl"/>
              </w:rPr>
              <w:t>Todos los idiomas oficiales</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El 80% de la información general está disponible en los seis idiomas oficiales de las Naciones Unidas.</w:t>
            </w: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rPr>
          <w:cantSplit/>
        </w:trPr>
        <w:tc>
          <w:tcPr>
            <w:tcW w:w="105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Número de oficinas nacionales o regionales que ofrecen información adecuada sobre el Sistema de La Haya.</w:t>
            </w:r>
          </w:p>
          <w:p w:rsidR="00525604" w:rsidRPr="00A34388" w:rsidRDefault="00525604" w:rsidP="00853209">
            <w:pPr>
              <w:rPr>
                <w:rFonts w:cs="Arial"/>
                <w:sz w:val="16"/>
                <w:szCs w:val="16"/>
                <w:lang w:val="es-ES_tradnl"/>
              </w:rPr>
            </w:pPr>
          </w:p>
        </w:tc>
        <w:tc>
          <w:tcPr>
            <w:tcW w:w="1061" w:type="pct"/>
            <w:gridSpan w:val="3"/>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Aproximadamente 2/3 de las oficinas en cuestión.</w:t>
            </w:r>
          </w:p>
        </w:tc>
        <w:tc>
          <w:tcPr>
            <w:tcW w:w="915" w:type="pct"/>
            <w:gridSpan w:val="2"/>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Todas las oficinas en cuestión</w:t>
            </w:r>
          </w:p>
        </w:tc>
        <w:tc>
          <w:tcPr>
            <w:tcW w:w="1290" w:type="pct"/>
            <w:tcBorders>
              <w:bottom w:val="single" w:sz="4" w:space="0" w:color="auto"/>
            </w:tcBorders>
            <w:shd w:val="clear" w:color="auto" w:fill="FFFFFF"/>
            <w:tcMar>
              <w:top w:w="110" w:type="dxa"/>
            </w:tcMar>
          </w:tcPr>
          <w:p w:rsidR="00525604" w:rsidRPr="00A34388" w:rsidRDefault="00525604" w:rsidP="00843F7A">
            <w:pPr>
              <w:rPr>
                <w:rFonts w:cs="Arial"/>
                <w:sz w:val="16"/>
                <w:szCs w:val="16"/>
                <w:lang w:val="es-ES_tradnl"/>
              </w:rPr>
            </w:pPr>
            <w:r w:rsidRPr="00332758">
              <w:rPr>
                <w:sz w:val="16"/>
                <w:lang w:val="es-ES_tradnl"/>
              </w:rPr>
              <w:t xml:space="preserve">42 oficinas nacionales o regionales proporcionan información adecuada sobre el Sistema de La Haya. </w:t>
            </w:r>
            <w:r w:rsidRPr="00A34388">
              <w:rPr>
                <w:sz w:val="16"/>
                <w:lang w:val="es-ES_tradnl"/>
              </w:rPr>
              <w:t xml:space="preserve"> </w:t>
            </w:r>
            <w:r w:rsidR="00843F7A" w:rsidRPr="00A34388">
              <w:rPr>
                <w:sz w:val="16"/>
                <w:lang w:val="es-ES_tradnl"/>
              </w:rPr>
              <w:t>Nueve</w:t>
            </w:r>
            <w:r w:rsidRPr="00A34388">
              <w:rPr>
                <w:sz w:val="16"/>
                <w:lang w:val="es-ES_tradnl"/>
              </w:rPr>
              <w:t xml:space="preserve"> oficinas no disponen de sitio web.</w:t>
            </w:r>
          </w:p>
        </w:tc>
        <w:tc>
          <w:tcPr>
            <w:tcW w:w="680"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E36C0A" w:themeColor="accent6" w:themeShade="BF"/>
                <w:sz w:val="16"/>
                <w:lang w:val="es-ES_tradnl"/>
              </w:rPr>
              <w:t>Parcialmente</w:t>
            </w:r>
            <w:r w:rsidRPr="00A34388">
              <w:rPr>
                <w:rFonts w:cs="Arial"/>
                <w:bCs/>
                <w:color w:val="E36C0A" w:themeColor="accent6" w:themeShade="BF"/>
                <w:sz w:val="16"/>
                <w:szCs w:val="16"/>
                <w:lang w:val="es-ES_tradnl"/>
              </w:rPr>
              <w:br/>
            </w:r>
            <w:r w:rsidRPr="00A34388">
              <w:rPr>
                <w:color w:val="E36C0A" w:themeColor="accent6" w:themeShade="BF"/>
                <w:sz w:val="16"/>
                <w:lang w:val="es-ES_tradnl"/>
              </w:rPr>
              <w:t>logrado</w:t>
            </w:r>
          </w:p>
        </w:tc>
      </w:tr>
      <w:tr w:rsidR="00525604" w:rsidRPr="00E94BEA" w:rsidTr="00853209">
        <w:trPr>
          <w:cantSplit/>
        </w:trPr>
        <w:tc>
          <w:tcPr>
            <w:tcW w:w="5000" w:type="pct"/>
            <w:gridSpan w:val="8"/>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Utilización más amplia y mejor del Sistema de La Haya.</w:t>
            </w:r>
          </w:p>
        </w:tc>
      </w:tr>
      <w:tr w:rsidR="00525604" w:rsidRPr="00A34388" w:rsidTr="000557C0">
        <w:trPr>
          <w:cantSplit/>
        </w:trPr>
        <w:tc>
          <w:tcPr>
            <w:tcW w:w="105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61" w:type="pct"/>
            <w:gridSpan w:val="3"/>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915" w:type="pct"/>
            <w:gridSpan w:val="2"/>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288"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0557C0">
        <w:trPr>
          <w:cantSplit/>
        </w:trPr>
        <w:tc>
          <w:tcPr>
            <w:tcW w:w="105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registros, dibujos y modelos contenidos en los registros, renovaciones y otras inscripciones.</w:t>
            </w:r>
          </w:p>
        </w:tc>
        <w:tc>
          <w:tcPr>
            <w:tcW w:w="1061" w:type="pct"/>
            <w:gridSpan w:val="3"/>
            <w:shd w:val="clear" w:color="auto" w:fill="auto"/>
          </w:tcPr>
          <w:p w:rsidR="00525604" w:rsidRPr="00910203" w:rsidRDefault="00525604" w:rsidP="00853209">
            <w:pPr>
              <w:rPr>
                <w:rFonts w:cs="Arial"/>
                <w:i/>
                <w:color w:val="002060"/>
                <w:sz w:val="16"/>
                <w:szCs w:val="16"/>
                <w:lang w:val="es-ES_tradnl"/>
              </w:rPr>
            </w:pPr>
            <w:r w:rsidRPr="00910203">
              <w:rPr>
                <w:i/>
                <w:color w:val="002060"/>
                <w:sz w:val="16"/>
                <w:lang w:val="es-ES_tradnl"/>
              </w:rPr>
              <w:t xml:space="preserve">Referencia actualizada a fines de 2011:  </w:t>
            </w:r>
          </w:p>
          <w:p w:rsidR="00525604" w:rsidRPr="00910203" w:rsidRDefault="00525604" w:rsidP="00853209">
            <w:pPr>
              <w:rPr>
                <w:rFonts w:cs="Arial"/>
                <w:i/>
                <w:color w:val="002060"/>
                <w:sz w:val="16"/>
                <w:szCs w:val="16"/>
                <w:lang w:val="es-ES_tradnl"/>
              </w:rPr>
            </w:pPr>
          </w:p>
          <w:p w:rsidR="00525604" w:rsidRPr="00910203" w:rsidRDefault="00525604" w:rsidP="00853209">
            <w:pPr>
              <w:rPr>
                <w:rFonts w:cs="Arial"/>
                <w:color w:val="002060"/>
                <w:sz w:val="16"/>
                <w:szCs w:val="16"/>
                <w:lang w:val="es-ES_tradnl"/>
              </w:rPr>
            </w:pPr>
            <w:r w:rsidRPr="00910203">
              <w:rPr>
                <w:color w:val="002060"/>
                <w:sz w:val="16"/>
                <w:lang w:val="es-ES_tradnl"/>
              </w:rPr>
              <w:t>Nuevos registros</w:t>
            </w:r>
          </w:p>
          <w:p w:rsidR="00525604" w:rsidRPr="00910203" w:rsidRDefault="00525604" w:rsidP="00853209">
            <w:pPr>
              <w:rPr>
                <w:rFonts w:cs="Arial"/>
                <w:i/>
                <w:color w:val="002060"/>
                <w:sz w:val="16"/>
                <w:szCs w:val="16"/>
                <w:lang w:val="es-ES_tradnl"/>
              </w:rPr>
            </w:pPr>
            <w:r w:rsidRPr="00910203">
              <w:rPr>
                <w:color w:val="002060"/>
                <w:sz w:val="16"/>
                <w:lang w:val="es-ES_tradnl"/>
              </w:rPr>
              <w:t>2.363</w:t>
            </w: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r w:rsidRPr="00910203">
              <w:rPr>
                <w:color w:val="002060"/>
                <w:sz w:val="16"/>
                <w:lang w:val="es-ES_tradnl"/>
              </w:rPr>
              <w:t xml:space="preserve">Dibujos y modelos contenidos </w:t>
            </w:r>
          </w:p>
          <w:p w:rsidR="00525604" w:rsidRPr="00910203" w:rsidRDefault="00525604" w:rsidP="00853209">
            <w:pPr>
              <w:rPr>
                <w:rFonts w:cs="Arial"/>
                <w:color w:val="002060"/>
                <w:sz w:val="16"/>
                <w:szCs w:val="16"/>
                <w:lang w:val="es-ES_tradnl"/>
              </w:rPr>
            </w:pPr>
            <w:r w:rsidRPr="00910203">
              <w:rPr>
                <w:color w:val="002060"/>
                <w:sz w:val="16"/>
                <w:lang w:val="es-ES_tradnl"/>
              </w:rPr>
              <w:t>11.077</w:t>
            </w: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r w:rsidRPr="00910203">
              <w:rPr>
                <w:color w:val="002060"/>
                <w:sz w:val="16"/>
                <w:lang w:val="es-ES_tradnl"/>
              </w:rPr>
              <w:t>Renovaciones</w:t>
            </w:r>
          </w:p>
          <w:p w:rsidR="00525604" w:rsidRPr="00910203" w:rsidRDefault="00525604" w:rsidP="00853209">
            <w:pPr>
              <w:rPr>
                <w:rFonts w:cs="Arial"/>
                <w:color w:val="002060"/>
                <w:sz w:val="16"/>
                <w:szCs w:val="16"/>
                <w:lang w:val="es-ES_tradnl"/>
              </w:rPr>
            </w:pPr>
            <w:r w:rsidRPr="00910203">
              <w:rPr>
                <w:color w:val="002060"/>
                <w:sz w:val="16"/>
                <w:lang w:val="es-ES_tradnl"/>
              </w:rPr>
              <w:t>2.821</w:t>
            </w: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p>
          <w:p w:rsidR="00525604" w:rsidRPr="00910203" w:rsidRDefault="00525604" w:rsidP="00853209">
            <w:pPr>
              <w:rPr>
                <w:rFonts w:cs="Arial"/>
                <w:color w:val="002060"/>
                <w:sz w:val="16"/>
                <w:szCs w:val="16"/>
                <w:lang w:val="es-ES_tradnl"/>
              </w:rPr>
            </w:pPr>
            <w:r w:rsidRPr="00910203">
              <w:rPr>
                <w:color w:val="002060"/>
                <w:sz w:val="16"/>
                <w:lang w:val="es-ES_tradnl"/>
              </w:rPr>
              <w:t>Otras inscripciones</w:t>
            </w:r>
          </w:p>
          <w:p w:rsidR="00525604" w:rsidRPr="00910203" w:rsidRDefault="00525604" w:rsidP="00853209">
            <w:pPr>
              <w:rPr>
                <w:rFonts w:cs="Arial"/>
                <w:color w:val="002060"/>
                <w:sz w:val="16"/>
                <w:szCs w:val="16"/>
                <w:lang w:val="es-ES_tradnl"/>
              </w:rPr>
            </w:pPr>
            <w:r w:rsidRPr="00910203">
              <w:rPr>
                <w:color w:val="002060"/>
                <w:sz w:val="16"/>
                <w:lang w:val="es-ES_tradnl"/>
              </w:rPr>
              <w:t>4.326</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p>
          <w:p w:rsidR="00525604" w:rsidRPr="00A34388" w:rsidRDefault="00525604" w:rsidP="00853209">
            <w:pPr>
              <w:rPr>
                <w:rFonts w:cs="Arial"/>
                <w:sz w:val="16"/>
                <w:szCs w:val="16"/>
                <w:lang w:val="es-ES_tradnl"/>
              </w:rPr>
            </w:pPr>
            <w:r w:rsidRPr="00A34388">
              <w:rPr>
                <w:sz w:val="16"/>
                <w:lang w:val="es-ES_tradnl"/>
              </w:rPr>
              <w:t>Nuevos registros</w:t>
            </w:r>
            <w:r w:rsidRPr="00A34388">
              <w:rPr>
                <w:rFonts w:cs="Arial"/>
                <w:sz w:val="16"/>
                <w:szCs w:val="16"/>
                <w:lang w:val="es-ES_tradnl"/>
              </w:rPr>
              <w:br/>
            </w:r>
            <w:r w:rsidRPr="00A34388">
              <w:rPr>
                <w:sz w:val="16"/>
                <w:lang w:val="es-ES_tradnl"/>
              </w:rPr>
              <w:t>2.216 (2010)</w:t>
            </w:r>
          </w:p>
          <w:p w:rsidR="00525604" w:rsidRPr="00A34388" w:rsidRDefault="00525604" w:rsidP="00853209">
            <w:pPr>
              <w:rPr>
                <w:rFonts w:cs="Arial"/>
                <w:sz w:val="16"/>
                <w:szCs w:val="16"/>
                <w:lang w:val="es-ES_tradnl"/>
              </w:rPr>
            </w:pPr>
            <w:r w:rsidRPr="00A34388">
              <w:rPr>
                <w:sz w:val="16"/>
                <w:lang w:val="es-ES_tradnl"/>
              </w:rPr>
              <w:t>2.900 (2011)</w:t>
            </w:r>
          </w:p>
        </w:tc>
        <w:tc>
          <w:tcPr>
            <w:tcW w:w="915" w:type="pct"/>
            <w:gridSpan w:val="2"/>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p>
          <w:p w:rsidR="00525604" w:rsidRPr="00A34388" w:rsidRDefault="00525604" w:rsidP="00853209">
            <w:pPr>
              <w:autoSpaceDE w:val="0"/>
              <w:autoSpaceDN w:val="0"/>
              <w:adjustRightInd w:val="0"/>
              <w:rPr>
                <w:rFonts w:cs="Arial"/>
                <w:sz w:val="16"/>
                <w:szCs w:val="16"/>
                <w:lang w:val="es-ES_tradnl"/>
              </w:rPr>
            </w:pPr>
          </w:p>
          <w:p w:rsidR="00525604" w:rsidRPr="00A34388" w:rsidRDefault="00525604" w:rsidP="00853209">
            <w:pPr>
              <w:autoSpaceDE w:val="0"/>
              <w:autoSpaceDN w:val="0"/>
              <w:adjustRightInd w:val="0"/>
              <w:rPr>
                <w:rFonts w:cs="Arial"/>
                <w:sz w:val="16"/>
                <w:szCs w:val="16"/>
                <w:lang w:val="es-ES_tradnl"/>
              </w:rPr>
            </w:pPr>
          </w:p>
          <w:p w:rsidR="00525604" w:rsidRPr="00A34388" w:rsidRDefault="00525604" w:rsidP="00853209">
            <w:pPr>
              <w:autoSpaceDE w:val="0"/>
              <w:autoSpaceDN w:val="0"/>
              <w:adjustRightInd w:val="0"/>
              <w:rPr>
                <w:rFonts w:cs="Arial"/>
                <w:sz w:val="16"/>
                <w:szCs w:val="16"/>
                <w:lang w:val="es-ES_tradnl"/>
              </w:rPr>
            </w:pPr>
            <w:r w:rsidRPr="00332758">
              <w:rPr>
                <w:sz w:val="16"/>
                <w:lang w:val="es-ES_tradnl"/>
              </w:rPr>
              <w:t>Nuevos registros</w:t>
            </w:r>
          </w:p>
          <w:p w:rsidR="00525604" w:rsidRPr="00A34388" w:rsidRDefault="00525604" w:rsidP="00853209">
            <w:pPr>
              <w:rPr>
                <w:rFonts w:cs="Arial"/>
                <w:sz w:val="16"/>
                <w:szCs w:val="16"/>
                <w:lang w:val="es-ES_tradnl"/>
              </w:rPr>
            </w:pPr>
            <w:r w:rsidRPr="00A34388">
              <w:rPr>
                <w:sz w:val="16"/>
                <w:lang w:val="es-ES_tradnl"/>
              </w:rPr>
              <w:t>5.000 (2012)</w:t>
            </w:r>
          </w:p>
          <w:p w:rsidR="00525604" w:rsidRPr="00A34388" w:rsidRDefault="00525604" w:rsidP="00853209">
            <w:pPr>
              <w:rPr>
                <w:rFonts w:cs="Arial"/>
                <w:sz w:val="16"/>
                <w:szCs w:val="16"/>
                <w:lang w:val="es-ES_tradnl"/>
              </w:rPr>
            </w:pPr>
            <w:r w:rsidRPr="00A34388">
              <w:rPr>
                <w:sz w:val="16"/>
                <w:lang w:val="es-ES_tradnl"/>
              </w:rPr>
              <w:t>7.500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Dibujos y modelos contenidos</w:t>
            </w:r>
          </w:p>
          <w:p w:rsidR="00525604" w:rsidRPr="00A34388" w:rsidRDefault="00525604" w:rsidP="00853209">
            <w:pPr>
              <w:rPr>
                <w:rFonts w:cs="Arial"/>
                <w:sz w:val="16"/>
                <w:szCs w:val="16"/>
                <w:lang w:val="es-ES_tradnl"/>
              </w:rPr>
            </w:pPr>
            <w:r w:rsidRPr="00A34388">
              <w:rPr>
                <w:sz w:val="16"/>
                <w:lang w:val="es-ES_tradnl"/>
              </w:rPr>
              <w:t>20.000 (2012)</w:t>
            </w:r>
          </w:p>
          <w:p w:rsidR="00525604" w:rsidRPr="00A34388" w:rsidRDefault="00525604" w:rsidP="00853209">
            <w:pPr>
              <w:rPr>
                <w:rFonts w:cs="Arial"/>
                <w:sz w:val="16"/>
                <w:szCs w:val="16"/>
                <w:lang w:val="es-ES_tradnl"/>
              </w:rPr>
            </w:pPr>
            <w:r w:rsidRPr="00A34388">
              <w:rPr>
                <w:sz w:val="16"/>
                <w:lang w:val="es-ES_tradnl"/>
              </w:rPr>
              <w:t>25.000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Renovaciones</w:t>
            </w:r>
          </w:p>
          <w:p w:rsidR="00525604" w:rsidRPr="00A34388" w:rsidRDefault="00525604" w:rsidP="00853209">
            <w:pPr>
              <w:rPr>
                <w:rFonts w:cs="Arial"/>
                <w:sz w:val="16"/>
                <w:szCs w:val="16"/>
                <w:lang w:val="es-ES_tradnl"/>
              </w:rPr>
            </w:pPr>
            <w:r w:rsidRPr="00A34388">
              <w:rPr>
                <w:sz w:val="16"/>
                <w:lang w:val="es-ES_tradnl"/>
              </w:rPr>
              <w:t xml:space="preserve">2.800 (2012) </w:t>
            </w:r>
          </w:p>
          <w:p w:rsidR="00525604" w:rsidRPr="00A34388" w:rsidRDefault="00525604" w:rsidP="00853209">
            <w:pPr>
              <w:rPr>
                <w:rFonts w:cs="Arial"/>
                <w:sz w:val="16"/>
                <w:szCs w:val="16"/>
                <w:lang w:val="es-ES_tradnl"/>
              </w:rPr>
            </w:pPr>
            <w:r w:rsidRPr="00A34388">
              <w:rPr>
                <w:sz w:val="16"/>
                <w:lang w:val="es-ES_tradnl"/>
              </w:rPr>
              <w:t>2.500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Otras inscripciones</w:t>
            </w:r>
          </w:p>
          <w:p w:rsidR="00525604" w:rsidRPr="00A34388" w:rsidRDefault="00525604" w:rsidP="00853209">
            <w:pPr>
              <w:rPr>
                <w:rFonts w:cs="Arial"/>
                <w:sz w:val="16"/>
                <w:szCs w:val="16"/>
                <w:lang w:val="es-ES_tradnl"/>
              </w:rPr>
            </w:pPr>
            <w:r w:rsidRPr="00A34388">
              <w:rPr>
                <w:sz w:val="16"/>
                <w:lang w:val="es-ES_tradnl"/>
              </w:rPr>
              <w:t xml:space="preserve">8.000 (2012) </w:t>
            </w:r>
          </w:p>
          <w:p w:rsidR="00525604" w:rsidRPr="00A34388" w:rsidRDefault="00525604" w:rsidP="00853209">
            <w:pPr>
              <w:rPr>
                <w:rFonts w:cs="Arial"/>
                <w:sz w:val="16"/>
                <w:szCs w:val="16"/>
                <w:lang w:val="es-ES_tradnl"/>
              </w:rPr>
            </w:pPr>
            <w:r w:rsidRPr="00A34388">
              <w:rPr>
                <w:sz w:val="16"/>
                <w:lang w:val="es-ES_tradnl"/>
              </w:rPr>
              <w:t>12.000 (2013)</w:t>
            </w:r>
          </w:p>
        </w:tc>
        <w:tc>
          <w:tcPr>
            <w:tcW w:w="1288" w:type="pct"/>
            <w:shd w:val="clear" w:color="auto" w:fill="FFFFFF"/>
            <w:tcMar>
              <w:top w:w="110" w:type="dxa"/>
            </w:tcMar>
          </w:tcPr>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Nuevos registros</w:t>
            </w:r>
          </w:p>
          <w:p w:rsidR="00525604" w:rsidRPr="00A34388" w:rsidRDefault="00525604" w:rsidP="00853209">
            <w:pPr>
              <w:rPr>
                <w:rFonts w:cs="Arial"/>
                <w:sz w:val="16"/>
                <w:szCs w:val="16"/>
                <w:lang w:val="es-ES_tradnl"/>
              </w:rPr>
            </w:pPr>
            <w:r w:rsidRPr="00A34388">
              <w:rPr>
                <w:sz w:val="16"/>
                <w:lang w:val="es-ES_tradnl"/>
              </w:rPr>
              <w:t>2.440 (2012)</w:t>
            </w:r>
          </w:p>
          <w:p w:rsidR="00525604" w:rsidRPr="00A34388" w:rsidRDefault="00525604" w:rsidP="00853209">
            <w:pPr>
              <w:rPr>
                <w:rFonts w:cs="Arial"/>
                <w:sz w:val="16"/>
                <w:szCs w:val="16"/>
                <w:lang w:val="es-ES_tradnl"/>
              </w:rPr>
            </w:pPr>
            <w:r w:rsidRPr="00A34388">
              <w:rPr>
                <w:sz w:val="16"/>
                <w:lang w:val="es-ES_tradnl"/>
              </w:rPr>
              <w:t>2.734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Dibujos y modelos contenidos</w:t>
            </w:r>
          </w:p>
          <w:p w:rsidR="00525604" w:rsidRPr="00A34388" w:rsidRDefault="00525604" w:rsidP="00853209">
            <w:pPr>
              <w:rPr>
                <w:rFonts w:cs="Arial"/>
                <w:sz w:val="16"/>
                <w:szCs w:val="16"/>
                <w:lang w:val="es-ES_tradnl"/>
              </w:rPr>
            </w:pPr>
            <w:r w:rsidRPr="00A34388">
              <w:rPr>
                <w:sz w:val="16"/>
                <w:lang w:val="es-ES_tradnl"/>
              </w:rPr>
              <w:t>11.971 (2012)</w:t>
            </w:r>
          </w:p>
          <w:p w:rsidR="00525604" w:rsidRPr="00A34388" w:rsidRDefault="00525604" w:rsidP="00853209">
            <w:pPr>
              <w:rPr>
                <w:rFonts w:cs="Arial"/>
                <w:sz w:val="16"/>
                <w:szCs w:val="16"/>
                <w:lang w:val="es-ES_tradnl"/>
              </w:rPr>
            </w:pPr>
            <w:r w:rsidRPr="00A34388">
              <w:rPr>
                <w:sz w:val="16"/>
                <w:lang w:val="es-ES_tradnl"/>
              </w:rPr>
              <w:t>12.806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Renovaciones</w:t>
            </w:r>
          </w:p>
          <w:p w:rsidR="00525604" w:rsidRPr="00A34388" w:rsidRDefault="00525604" w:rsidP="00853209">
            <w:pPr>
              <w:rPr>
                <w:rFonts w:cs="Arial"/>
                <w:sz w:val="16"/>
                <w:szCs w:val="16"/>
                <w:lang w:val="es-ES_tradnl"/>
              </w:rPr>
            </w:pPr>
            <w:r w:rsidRPr="00A34388">
              <w:rPr>
                <w:sz w:val="16"/>
                <w:lang w:val="es-ES_tradnl"/>
              </w:rPr>
              <w:t>3.120 (2012)</w:t>
            </w:r>
          </w:p>
          <w:p w:rsidR="00525604" w:rsidRPr="00A34388" w:rsidRDefault="00525604" w:rsidP="00853209">
            <w:pPr>
              <w:rPr>
                <w:rFonts w:cs="Arial"/>
                <w:sz w:val="16"/>
                <w:szCs w:val="16"/>
                <w:lang w:val="es-ES_tradnl"/>
              </w:rPr>
            </w:pPr>
            <w:r w:rsidRPr="00A34388">
              <w:rPr>
                <w:sz w:val="16"/>
                <w:lang w:val="es-ES_tradnl"/>
              </w:rPr>
              <w:t>2.859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Otras inscripciones</w:t>
            </w:r>
          </w:p>
          <w:p w:rsidR="00525604" w:rsidRPr="00A34388" w:rsidRDefault="00525604" w:rsidP="00853209">
            <w:pPr>
              <w:rPr>
                <w:rFonts w:cs="Arial"/>
                <w:sz w:val="16"/>
                <w:szCs w:val="16"/>
                <w:lang w:val="es-ES_tradnl"/>
              </w:rPr>
            </w:pPr>
            <w:r w:rsidRPr="00A34388">
              <w:rPr>
                <w:sz w:val="16"/>
                <w:lang w:val="es-ES_tradnl"/>
              </w:rPr>
              <w:t>3.643 (2012)</w:t>
            </w:r>
          </w:p>
          <w:p w:rsidR="00525604" w:rsidRPr="00A34388" w:rsidRDefault="00525604" w:rsidP="00853209">
            <w:pPr>
              <w:rPr>
                <w:rFonts w:cs="Arial"/>
                <w:sz w:val="16"/>
                <w:szCs w:val="16"/>
                <w:lang w:val="es-ES_tradnl"/>
              </w:rPr>
            </w:pPr>
            <w:r w:rsidRPr="00A34388">
              <w:rPr>
                <w:sz w:val="16"/>
                <w:lang w:val="es-ES_tradnl"/>
              </w:rPr>
              <w:t>3.631 (2013)</w:t>
            </w:r>
          </w:p>
        </w:tc>
        <w:tc>
          <w:tcPr>
            <w:tcW w:w="682" w:type="pct"/>
            <w:shd w:val="clear" w:color="auto" w:fill="auto"/>
            <w:tcMar>
              <w:top w:w="110" w:type="dxa"/>
            </w:tcMar>
          </w:tcPr>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Fonts w:cs="Arial"/>
                <w:bCs/>
                <w:color w:val="FF0000"/>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p w:rsidR="00525604" w:rsidRPr="00A34388" w:rsidRDefault="00525604" w:rsidP="00853209">
            <w:pPr>
              <w:keepNext/>
              <w:keepLines/>
              <w:jc w:val="center"/>
              <w:rPr>
                <w:rFonts w:cs="Arial"/>
                <w:bCs/>
                <w:sz w:val="16"/>
                <w:szCs w:val="16"/>
                <w:lang w:val="es-ES_tradnl"/>
              </w:rPr>
            </w:pPr>
          </w:p>
          <w:p w:rsidR="00525604" w:rsidRPr="00A34388" w:rsidRDefault="00525604" w:rsidP="00853209">
            <w:pPr>
              <w:keepNext/>
              <w:keepLines/>
              <w:jc w:val="center"/>
              <w:rPr>
                <w:rFonts w:cs="Arial"/>
                <w:bCs/>
                <w:sz w:val="16"/>
                <w:szCs w:val="16"/>
                <w:lang w:val="es-ES_tradnl"/>
              </w:rPr>
            </w:pPr>
          </w:p>
          <w:p w:rsidR="00525604" w:rsidRPr="00A34388" w:rsidRDefault="00525604" w:rsidP="00853209">
            <w:pPr>
              <w:keepNext/>
              <w:keepLines/>
              <w:jc w:val="center"/>
              <w:rPr>
                <w:rFonts w:cs="Arial"/>
                <w:bCs/>
                <w:color w:val="FF0000"/>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p w:rsidR="00525604" w:rsidRPr="00A34388" w:rsidRDefault="00525604" w:rsidP="00853209">
            <w:pPr>
              <w:keepNext/>
              <w:keepLines/>
              <w:jc w:val="center"/>
              <w:rPr>
                <w:rFonts w:cs="Arial"/>
                <w:bCs/>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p w:rsidR="00525604" w:rsidRPr="00A34388" w:rsidRDefault="00525604" w:rsidP="00853209">
            <w:pPr>
              <w:keepNext/>
              <w:keepLines/>
              <w:jc w:val="center"/>
              <w:rPr>
                <w:rStyle w:val="Style5"/>
                <w:rFonts w:ascii="Arial" w:hAnsi="Arial" w:cs="Arial"/>
                <w:b/>
                <w:sz w:val="16"/>
                <w:szCs w:val="16"/>
                <w:lang w:val="es-ES_tradnl"/>
              </w:rPr>
            </w:pPr>
          </w:p>
          <w:p w:rsidR="00525604" w:rsidRPr="00A34388" w:rsidRDefault="00525604" w:rsidP="00853209">
            <w:pPr>
              <w:keepNext/>
              <w:keepLines/>
              <w:jc w:val="center"/>
              <w:rPr>
                <w:rStyle w:val="Style5"/>
                <w:rFonts w:ascii="Arial" w:hAnsi="Arial" w:cs="Arial"/>
                <w:b/>
                <w:sz w:val="16"/>
                <w:szCs w:val="16"/>
                <w:lang w:val="es-ES_tradnl"/>
              </w:rPr>
            </w:pPr>
          </w:p>
          <w:p w:rsidR="00525604" w:rsidRPr="00332758" w:rsidRDefault="00525604"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tc>
      </w:tr>
      <w:tr w:rsidR="00525604" w:rsidRPr="00A34388" w:rsidTr="000557C0">
        <w:trPr>
          <w:cantSplit/>
        </w:trPr>
        <w:tc>
          <w:tcPr>
            <w:tcW w:w="1054" w:type="pct"/>
            <w:shd w:val="clear" w:color="auto" w:fill="auto"/>
          </w:tcPr>
          <w:p w:rsidR="00525604" w:rsidRPr="00A34388" w:rsidRDefault="00525604" w:rsidP="00853209">
            <w:pPr>
              <w:ind w:firstLineChars="100" w:firstLine="160"/>
              <w:rPr>
                <w:rFonts w:cs="Arial"/>
                <w:sz w:val="16"/>
                <w:szCs w:val="16"/>
                <w:lang w:val="es-ES_tradnl"/>
              </w:rPr>
            </w:pPr>
          </w:p>
        </w:tc>
        <w:tc>
          <w:tcPr>
            <w:tcW w:w="1061" w:type="pct"/>
            <w:gridSpan w:val="3"/>
            <w:shd w:val="clear" w:color="auto" w:fill="auto"/>
          </w:tcPr>
          <w:p w:rsidR="00525604" w:rsidRPr="00A34388" w:rsidRDefault="00525604" w:rsidP="00853209">
            <w:pPr>
              <w:rPr>
                <w:rFonts w:cs="Arial"/>
                <w:sz w:val="16"/>
                <w:szCs w:val="16"/>
                <w:lang w:val="es-ES_tradnl"/>
              </w:rPr>
            </w:pPr>
            <w:r w:rsidRPr="00332758">
              <w:rPr>
                <w:sz w:val="16"/>
                <w:lang w:val="es-ES_tradnl"/>
              </w:rPr>
              <w:t>Dibujos y modelos contenidos</w:t>
            </w:r>
            <w:r w:rsidRPr="00A34388">
              <w:rPr>
                <w:sz w:val="16"/>
                <w:lang w:val="es-ES_tradnl"/>
              </w:rPr>
              <w:t xml:space="preserve"> </w:t>
            </w:r>
          </w:p>
          <w:p w:rsidR="00525604" w:rsidRPr="00A34388" w:rsidRDefault="00525604" w:rsidP="00853209">
            <w:pPr>
              <w:rPr>
                <w:rFonts w:cs="Arial"/>
                <w:sz w:val="16"/>
                <w:szCs w:val="16"/>
                <w:lang w:val="es-ES_tradnl"/>
              </w:rPr>
            </w:pPr>
            <w:r w:rsidRPr="00A34388">
              <w:rPr>
                <w:sz w:val="16"/>
                <w:lang w:val="es-ES_tradnl"/>
              </w:rPr>
              <w:t>11.238 (2010)</w:t>
            </w:r>
          </w:p>
          <w:p w:rsidR="00525604" w:rsidRPr="00A34388" w:rsidRDefault="00525604" w:rsidP="00853209">
            <w:pPr>
              <w:rPr>
                <w:rFonts w:cs="Arial"/>
                <w:sz w:val="16"/>
                <w:szCs w:val="16"/>
                <w:lang w:val="es-ES_tradnl"/>
              </w:rPr>
            </w:pPr>
            <w:r w:rsidRPr="00A34388">
              <w:rPr>
                <w:sz w:val="16"/>
                <w:lang w:val="es-ES_tradnl"/>
              </w:rPr>
              <w:t>15.000 (2011)</w:t>
            </w:r>
          </w:p>
        </w:tc>
        <w:tc>
          <w:tcPr>
            <w:tcW w:w="188" w:type="pct"/>
            <w:shd w:val="clear" w:color="auto" w:fill="auto"/>
            <w:tcMar>
              <w:top w:w="110" w:type="dxa"/>
            </w:tcMar>
          </w:tcPr>
          <w:p w:rsidR="00525604" w:rsidRPr="00A34388" w:rsidRDefault="00525604" w:rsidP="00853209">
            <w:pPr>
              <w:rPr>
                <w:rFonts w:cs="Arial"/>
                <w:sz w:val="16"/>
                <w:szCs w:val="16"/>
                <w:lang w:val="es-ES_tradnl"/>
              </w:rPr>
            </w:pPr>
          </w:p>
        </w:tc>
        <w:tc>
          <w:tcPr>
            <w:tcW w:w="2015" w:type="pct"/>
            <w:gridSpan w:val="2"/>
            <w:shd w:val="clear" w:color="auto" w:fill="FFFFFF"/>
            <w:tcMar>
              <w:top w:w="110" w:type="dxa"/>
            </w:tcMar>
          </w:tcPr>
          <w:p w:rsidR="00525604" w:rsidRPr="00A34388" w:rsidRDefault="00525604" w:rsidP="00853209">
            <w:pPr>
              <w:rPr>
                <w:rFonts w:cs="Arial"/>
                <w:sz w:val="16"/>
                <w:szCs w:val="16"/>
                <w:lang w:val="es-ES_tradnl"/>
              </w:rPr>
            </w:pPr>
          </w:p>
        </w:tc>
        <w:tc>
          <w:tcPr>
            <w:tcW w:w="682" w:type="pct"/>
            <w:shd w:val="clear" w:color="auto" w:fill="auto"/>
            <w:tcMar>
              <w:top w:w="110" w:type="dxa"/>
            </w:tcMar>
          </w:tcPr>
          <w:p w:rsidR="00525604" w:rsidRPr="00A34388" w:rsidRDefault="00525604" w:rsidP="00853209">
            <w:pPr>
              <w:keepNext/>
              <w:keepLines/>
              <w:jc w:val="center"/>
              <w:rPr>
                <w:rFonts w:cs="Arial"/>
                <w:b/>
                <w:bCs/>
                <w:sz w:val="16"/>
                <w:szCs w:val="16"/>
                <w:lang w:val="es-ES_tradnl"/>
              </w:rPr>
            </w:pPr>
          </w:p>
        </w:tc>
      </w:tr>
      <w:tr w:rsidR="00525604" w:rsidRPr="00A34388" w:rsidTr="000557C0">
        <w:trPr>
          <w:cantSplit/>
        </w:trPr>
        <w:tc>
          <w:tcPr>
            <w:tcW w:w="1054" w:type="pct"/>
            <w:shd w:val="clear" w:color="auto" w:fill="auto"/>
          </w:tcPr>
          <w:p w:rsidR="00525604" w:rsidRPr="00A34388" w:rsidRDefault="00525604" w:rsidP="00853209">
            <w:pPr>
              <w:ind w:firstLineChars="100" w:firstLine="160"/>
              <w:rPr>
                <w:rFonts w:cs="Arial"/>
                <w:sz w:val="16"/>
                <w:szCs w:val="16"/>
                <w:lang w:val="es-ES_tradnl"/>
              </w:rPr>
            </w:pPr>
          </w:p>
        </w:tc>
        <w:tc>
          <w:tcPr>
            <w:tcW w:w="1061" w:type="pct"/>
            <w:gridSpan w:val="3"/>
            <w:shd w:val="clear" w:color="auto" w:fill="auto"/>
          </w:tcPr>
          <w:p w:rsidR="00525604" w:rsidRPr="00A34388" w:rsidRDefault="00525604" w:rsidP="00853209">
            <w:pPr>
              <w:rPr>
                <w:rFonts w:cs="Arial"/>
                <w:sz w:val="16"/>
                <w:szCs w:val="16"/>
                <w:lang w:val="es-ES_tradnl"/>
              </w:rPr>
            </w:pPr>
            <w:r w:rsidRPr="00332758">
              <w:rPr>
                <w:sz w:val="16"/>
                <w:lang w:val="es-ES_tradnl"/>
              </w:rPr>
              <w:t>Renovaciones</w:t>
            </w:r>
          </w:p>
          <w:p w:rsidR="00525604" w:rsidRPr="00A34388" w:rsidRDefault="00525604" w:rsidP="00853209">
            <w:pPr>
              <w:rPr>
                <w:rFonts w:cs="Arial"/>
                <w:sz w:val="16"/>
                <w:szCs w:val="16"/>
                <w:lang w:val="es-ES_tradnl"/>
              </w:rPr>
            </w:pPr>
            <w:r w:rsidRPr="00A34388">
              <w:rPr>
                <w:sz w:val="16"/>
                <w:lang w:val="es-ES_tradnl"/>
              </w:rPr>
              <w:t>2.793 (2010)</w:t>
            </w:r>
          </w:p>
          <w:p w:rsidR="00525604" w:rsidRPr="00A34388" w:rsidRDefault="00525604" w:rsidP="00853209">
            <w:pPr>
              <w:rPr>
                <w:rFonts w:cs="Arial"/>
                <w:sz w:val="16"/>
                <w:szCs w:val="16"/>
                <w:lang w:val="es-ES_tradnl"/>
              </w:rPr>
            </w:pPr>
            <w:r w:rsidRPr="00A34388">
              <w:rPr>
                <w:sz w:val="16"/>
                <w:lang w:val="es-ES_tradnl"/>
              </w:rPr>
              <w:t>2.700 (2011)</w:t>
            </w:r>
          </w:p>
        </w:tc>
        <w:tc>
          <w:tcPr>
            <w:tcW w:w="188" w:type="pct"/>
            <w:shd w:val="clear" w:color="auto" w:fill="auto"/>
            <w:tcMar>
              <w:top w:w="110" w:type="dxa"/>
            </w:tcMar>
          </w:tcPr>
          <w:p w:rsidR="00525604" w:rsidRPr="00A34388" w:rsidRDefault="00525604" w:rsidP="00853209">
            <w:pPr>
              <w:rPr>
                <w:rFonts w:cs="Arial"/>
                <w:sz w:val="16"/>
                <w:szCs w:val="16"/>
                <w:u w:val="single"/>
                <w:lang w:val="es-ES_tradnl"/>
              </w:rPr>
            </w:pPr>
          </w:p>
        </w:tc>
        <w:tc>
          <w:tcPr>
            <w:tcW w:w="2015" w:type="pct"/>
            <w:gridSpan w:val="2"/>
            <w:shd w:val="clear" w:color="auto" w:fill="FFFFFF"/>
            <w:tcMar>
              <w:top w:w="110" w:type="dxa"/>
            </w:tcMar>
          </w:tcPr>
          <w:p w:rsidR="00525604" w:rsidRPr="00A34388" w:rsidRDefault="00525604" w:rsidP="00853209">
            <w:pPr>
              <w:rPr>
                <w:rFonts w:cs="Arial"/>
                <w:sz w:val="16"/>
                <w:szCs w:val="16"/>
                <w:lang w:val="es-ES_tradnl"/>
              </w:rPr>
            </w:pPr>
          </w:p>
        </w:tc>
        <w:tc>
          <w:tcPr>
            <w:tcW w:w="682" w:type="pct"/>
            <w:shd w:val="clear" w:color="auto" w:fill="auto"/>
            <w:tcMar>
              <w:top w:w="110" w:type="dxa"/>
            </w:tcMar>
          </w:tcPr>
          <w:p w:rsidR="00525604" w:rsidRPr="00A34388" w:rsidRDefault="00525604" w:rsidP="00853209">
            <w:pPr>
              <w:keepNext/>
              <w:keepLines/>
              <w:jc w:val="center"/>
              <w:rPr>
                <w:rFonts w:cs="Arial"/>
                <w:bCs/>
                <w:sz w:val="16"/>
                <w:szCs w:val="16"/>
                <w:lang w:val="es-ES_tradnl"/>
              </w:rPr>
            </w:pPr>
          </w:p>
        </w:tc>
      </w:tr>
      <w:tr w:rsidR="00525604" w:rsidRPr="00A34388" w:rsidTr="000557C0">
        <w:trPr>
          <w:cantSplit/>
        </w:trPr>
        <w:tc>
          <w:tcPr>
            <w:tcW w:w="1054" w:type="pct"/>
            <w:shd w:val="clear" w:color="auto" w:fill="auto"/>
          </w:tcPr>
          <w:p w:rsidR="00525604" w:rsidRPr="00A34388" w:rsidRDefault="00525604" w:rsidP="00853209">
            <w:pPr>
              <w:ind w:firstLineChars="100" w:firstLine="160"/>
              <w:rPr>
                <w:rFonts w:cs="Arial"/>
                <w:sz w:val="16"/>
                <w:szCs w:val="16"/>
                <w:lang w:val="es-ES_tradnl"/>
              </w:rPr>
            </w:pPr>
          </w:p>
        </w:tc>
        <w:tc>
          <w:tcPr>
            <w:tcW w:w="1061" w:type="pct"/>
            <w:gridSpan w:val="3"/>
            <w:shd w:val="clear" w:color="auto" w:fill="auto"/>
          </w:tcPr>
          <w:p w:rsidR="00525604" w:rsidRPr="00A34388" w:rsidRDefault="00525604" w:rsidP="00853209">
            <w:pPr>
              <w:rPr>
                <w:rFonts w:cs="Arial"/>
                <w:sz w:val="16"/>
                <w:szCs w:val="16"/>
                <w:lang w:val="es-ES_tradnl"/>
              </w:rPr>
            </w:pPr>
            <w:r w:rsidRPr="00332758">
              <w:rPr>
                <w:sz w:val="16"/>
                <w:lang w:val="es-ES_tradnl"/>
              </w:rPr>
              <w:t>Otras inscripciones</w:t>
            </w:r>
          </w:p>
          <w:p w:rsidR="00525604" w:rsidRPr="00A34388" w:rsidRDefault="00525604" w:rsidP="00853209">
            <w:pPr>
              <w:rPr>
                <w:rFonts w:cs="Arial"/>
                <w:sz w:val="16"/>
                <w:szCs w:val="16"/>
                <w:lang w:val="es-ES_tradnl"/>
              </w:rPr>
            </w:pPr>
            <w:r w:rsidRPr="00A34388">
              <w:rPr>
                <w:sz w:val="16"/>
                <w:lang w:val="es-ES_tradnl"/>
              </w:rPr>
              <w:t>4.244 (2010)</w:t>
            </w:r>
          </w:p>
          <w:p w:rsidR="00525604" w:rsidRPr="00A34388" w:rsidRDefault="00525604" w:rsidP="00853209">
            <w:pPr>
              <w:rPr>
                <w:rFonts w:cs="Arial"/>
                <w:i/>
                <w:sz w:val="16"/>
                <w:szCs w:val="16"/>
                <w:lang w:val="es-ES_tradnl"/>
              </w:rPr>
            </w:pPr>
            <w:r w:rsidRPr="00A34388">
              <w:rPr>
                <w:sz w:val="16"/>
                <w:lang w:val="es-ES_tradnl"/>
              </w:rPr>
              <w:t>5.100 (2011)</w:t>
            </w:r>
          </w:p>
        </w:tc>
        <w:tc>
          <w:tcPr>
            <w:tcW w:w="188" w:type="pct"/>
            <w:shd w:val="clear" w:color="auto" w:fill="auto"/>
            <w:tcMar>
              <w:top w:w="110" w:type="dxa"/>
            </w:tcMar>
          </w:tcPr>
          <w:p w:rsidR="00525604" w:rsidRPr="00A34388" w:rsidRDefault="00525604" w:rsidP="00853209">
            <w:pPr>
              <w:rPr>
                <w:rFonts w:cs="Arial"/>
                <w:sz w:val="16"/>
                <w:szCs w:val="16"/>
                <w:lang w:val="es-ES_tradnl"/>
              </w:rPr>
            </w:pPr>
          </w:p>
        </w:tc>
        <w:tc>
          <w:tcPr>
            <w:tcW w:w="2015" w:type="pct"/>
            <w:gridSpan w:val="2"/>
            <w:shd w:val="clear" w:color="auto" w:fill="FFFFFF"/>
            <w:tcMar>
              <w:top w:w="110" w:type="dxa"/>
            </w:tcMar>
          </w:tcPr>
          <w:p w:rsidR="00525604" w:rsidRPr="00A34388" w:rsidRDefault="00525604" w:rsidP="00853209">
            <w:pPr>
              <w:rPr>
                <w:rFonts w:cs="Arial"/>
                <w:sz w:val="16"/>
                <w:szCs w:val="16"/>
                <w:lang w:val="es-ES_tradnl"/>
              </w:rPr>
            </w:pPr>
          </w:p>
        </w:tc>
        <w:tc>
          <w:tcPr>
            <w:tcW w:w="682" w:type="pct"/>
            <w:shd w:val="clear" w:color="auto" w:fill="auto"/>
            <w:tcMar>
              <w:top w:w="110" w:type="dxa"/>
            </w:tcMar>
          </w:tcPr>
          <w:p w:rsidR="00525604" w:rsidRPr="00A34388" w:rsidRDefault="00525604" w:rsidP="00853209">
            <w:pPr>
              <w:keepNext/>
              <w:keepLines/>
              <w:jc w:val="center"/>
              <w:rPr>
                <w:rFonts w:cs="Arial"/>
                <w:bCs/>
                <w:sz w:val="16"/>
                <w:szCs w:val="16"/>
                <w:lang w:val="es-ES_tradnl"/>
              </w:rPr>
            </w:pPr>
          </w:p>
        </w:tc>
      </w:tr>
      <w:tr w:rsidR="00525604" w:rsidRPr="00A34388" w:rsidTr="000557C0">
        <w:trPr>
          <w:cantSplit/>
        </w:trPr>
        <w:tc>
          <w:tcPr>
            <w:tcW w:w="1054" w:type="pct"/>
            <w:shd w:val="clear" w:color="auto" w:fill="auto"/>
          </w:tcPr>
          <w:p w:rsidR="00525604" w:rsidRPr="00A34388" w:rsidRDefault="00525604" w:rsidP="00853209">
            <w:pPr>
              <w:rPr>
                <w:rFonts w:cs="Arial"/>
                <w:color w:val="000000"/>
                <w:sz w:val="16"/>
                <w:szCs w:val="16"/>
                <w:lang w:val="es-ES_tradnl"/>
              </w:rPr>
            </w:pPr>
            <w:r w:rsidRPr="00332758">
              <w:rPr>
                <w:sz w:val="16"/>
                <w:lang w:val="es-ES_tradnl"/>
              </w:rPr>
              <w:lastRenderedPageBreak/>
              <w:t>Número de solicitudes de países en desarrollo y PMA y designaciones de esos países.</w:t>
            </w:r>
          </w:p>
        </w:tc>
        <w:tc>
          <w:tcPr>
            <w:tcW w:w="1061" w:type="pct"/>
            <w:gridSpan w:val="3"/>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20 solicitudes de</w:t>
            </w:r>
            <w:r w:rsidR="00FB6997" w:rsidRPr="00A34388">
              <w:rPr>
                <w:color w:val="002060"/>
                <w:sz w:val="16"/>
                <w:lang w:val="es-ES_tradnl"/>
              </w:rPr>
              <w:t xml:space="preserve"> </w:t>
            </w:r>
            <w:r w:rsidRPr="00A34388">
              <w:rPr>
                <w:color w:val="002060"/>
                <w:sz w:val="16"/>
                <w:lang w:val="es-ES_tradnl"/>
              </w:rPr>
              <w:t>países en desarrollo y PMA</w:t>
            </w:r>
            <w:r w:rsidR="00F526D4" w:rsidRPr="00A34388">
              <w:rPr>
                <w:color w:val="002060"/>
                <w:sz w:val="16"/>
                <w:lang w:val="es-ES_tradnl"/>
              </w:rPr>
              <w:t>,</w:t>
            </w:r>
            <w:r w:rsidR="00FB6997" w:rsidRPr="00A34388">
              <w:rPr>
                <w:color w:val="002060"/>
                <w:sz w:val="16"/>
                <w:lang w:val="es-ES_tradnl"/>
              </w:rPr>
              <w:t xml:space="preserve"> </w:t>
            </w:r>
            <w:r w:rsidRPr="00A34388">
              <w:rPr>
                <w:color w:val="002060"/>
                <w:sz w:val="16"/>
                <w:lang w:val="es-ES_tradnl"/>
              </w:rPr>
              <w:t>y 2.059 designaciones de esos países</w:t>
            </w:r>
          </w:p>
          <w:p w:rsidR="00525604" w:rsidRPr="00A34388" w:rsidRDefault="00525604" w:rsidP="00853209">
            <w:pPr>
              <w:rPr>
                <w:rFonts w:cs="Arial"/>
                <w:i/>
                <w:sz w:val="8"/>
                <w:szCs w:val="8"/>
                <w:lang w:val="es-ES_tradnl"/>
              </w:rPr>
            </w:pPr>
          </w:p>
          <w:p w:rsidR="00525604" w:rsidRPr="00A34388" w:rsidRDefault="00525604" w:rsidP="00F526D4">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r w:rsidR="00FB6997" w:rsidRPr="00A34388">
              <w:rPr>
                <w:sz w:val="16"/>
                <w:lang w:val="es-ES_tradnl"/>
              </w:rPr>
              <w:t xml:space="preserve"> </w:t>
            </w:r>
            <w:r w:rsidRPr="00A34388">
              <w:rPr>
                <w:sz w:val="16"/>
                <w:lang w:val="es-ES_tradnl"/>
              </w:rPr>
              <w:t>12 solicitudes de países en desarrollo y PMA</w:t>
            </w:r>
            <w:r w:rsidR="00FB6997" w:rsidRPr="00A34388">
              <w:rPr>
                <w:sz w:val="16"/>
                <w:lang w:val="es-ES_tradnl"/>
              </w:rPr>
              <w:t>,</w:t>
            </w:r>
            <w:r w:rsidRPr="00A34388">
              <w:rPr>
                <w:sz w:val="16"/>
                <w:lang w:val="es-ES_tradnl"/>
              </w:rPr>
              <w:t xml:space="preserve"> y 2.065 designaciones de esos países</w:t>
            </w:r>
          </w:p>
        </w:tc>
        <w:tc>
          <w:tcPr>
            <w:tcW w:w="915" w:type="pct"/>
            <w:gridSpan w:val="2"/>
            <w:shd w:val="clear" w:color="auto" w:fill="auto"/>
            <w:tcMar>
              <w:top w:w="110" w:type="dxa"/>
            </w:tcMar>
          </w:tcPr>
          <w:p w:rsidR="00525604" w:rsidRPr="00A34388" w:rsidRDefault="00525604" w:rsidP="00F526D4">
            <w:pPr>
              <w:autoSpaceDE w:val="0"/>
              <w:autoSpaceDN w:val="0"/>
              <w:adjustRightInd w:val="0"/>
              <w:rPr>
                <w:rFonts w:cs="Arial"/>
                <w:sz w:val="16"/>
                <w:szCs w:val="16"/>
                <w:lang w:val="es-ES_tradnl"/>
              </w:rPr>
            </w:pPr>
            <w:r w:rsidRPr="00332758">
              <w:rPr>
                <w:sz w:val="16"/>
                <w:lang w:val="es-ES_tradnl"/>
              </w:rPr>
              <w:t>80 solicitudes de países en desarrollo y PMA</w:t>
            </w:r>
            <w:r w:rsidR="00F526D4" w:rsidRPr="00332758">
              <w:rPr>
                <w:sz w:val="16"/>
                <w:lang w:val="es-ES_tradnl"/>
              </w:rPr>
              <w:t>,</w:t>
            </w:r>
            <w:r w:rsidRPr="00332758">
              <w:rPr>
                <w:sz w:val="16"/>
                <w:lang w:val="es-ES_tradnl"/>
              </w:rPr>
              <w:t xml:space="preserve"> y 7.500 designaciones de esos países</w:t>
            </w:r>
          </w:p>
        </w:tc>
        <w:tc>
          <w:tcPr>
            <w:tcW w:w="1288"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16 solicitudes de países en desarrollo y PMA</w:t>
            </w:r>
            <w:r w:rsidR="00F526D4" w:rsidRPr="00A34388">
              <w:rPr>
                <w:sz w:val="16"/>
                <w:lang w:val="es-ES_tradnl"/>
              </w:rPr>
              <w:t>,</w:t>
            </w:r>
            <w:r w:rsidRPr="00A34388">
              <w:rPr>
                <w:sz w:val="16"/>
                <w:lang w:val="es-ES_tradnl"/>
              </w:rPr>
              <w:t xml:space="preserve"> y 2.216</w:t>
            </w:r>
            <w:r w:rsidRPr="00A34388">
              <w:rPr>
                <w:rStyle w:val="FootnoteReference"/>
                <w:sz w:val="16"/>
                <w:lang w:val="es-ES_tradnl"/>
              </w:rPr>
              <w:footnoteReference w:id="11"/>
            </w:r>
            <w:r w:rsidR="00F526D4" w:rsidRPr="00A34388">
              <w:rPr>
                <w:sz w:val="16"/>
                <w:lang w:val="es-ES_tradnl"/>
              </w:rPr>
              <w:t xml:space="preserve"> </w:t>
            </w:r>
            <w:r w:rsidRPr="00A34388">
              <w:rPr>
                <w:sz w:val="16"/>
                <w:lang w:val="es-ES_tradnl"/>
              </w:rPr>
              <w:t>designaciones de esos países (2012)</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332758">
              <w:rPr>
                <w:sz w:val="16"/>
                <w:lang w:val="es-ES_tradnl"/>
              </w:rPr>
              <w:t>22 solicitudes de países en desarrollo y PMA</w:t>
            </w:r>
            <w:r w:rsidR="00F526D4" w:rsidRPr="00332758">
              <w:rPr>
                <w:sz w:val="16"/>
                <w:lang w:val="es-ES_tradnl"/>
              </w:rPr>
              <w:t>,</w:t>
            </w:r>
            <w:r w:rsidRPr="00332758">
              <w:rPr>
                <w:sz w:val="16"/>
                <w:lang w:val="es-ES_tradnl"/>
              </w:rPr>
              <w:t xml:space="preserve"> y 2.877 designaciones de esos países (2013).</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r w:rsidRPr="00A34388">
              <w:rPr>
                <w:rStyle w:val="Style5"/>
                <w:rFonts w:ascii="Arial" w:hAnsi="Arial"/>
                <w:b/>
                <w:color w:val="FF0000"/>
                <w:sz w:val="16"/>
                <w:lang w:val="es-ES_tradnl"/>
              </w:rPr>
              <w:t xml:space="preserve"> </w:t>
            </w:r>
          </w:p>
        </w:tc>
      </w:tr>
      <w:tr w:rsidR="00525604" w:rsidRPr="00A34388" w:rsidTr="000557C0">
        <w:trPr>
          <w:cantSplit/>
        </w:trPr>
        <w:tc>
          <w:tcPr>
            <w:tcW w:w="105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Porcentaje de solicitudes irregulares.</w:t>
            </w:r>
          </w:p>
        </w:tc>
        <w:tc>
          <w:tcPr>
            <w:tcW w:w="1061" w:type="pct"/>
            <w:gridSpan w:val="3"/>
            <w:tcBorders>
              <w:bottom w:val="single" w:sz="4" w:space="0" w:color="auto"/>
            </w:tcBorders>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60%</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57% (en 2010)</w:t>
            </w:r>
          </w:p>
          <w:p w:rsidR="00525604" w:rsidRPr="00A34388" w:rsidRDefault="00525604" w:rsidP="00853209">
            <w:pPr>
              <w:rPr>
                <w:rFonts w:cs="Arial"/>
                <w:sz w:val="16"/>
                <w:szCs w:val="16"/>
                <w:lang w:val="es-ES_tradnl"/>
              </w:rPr>
            </w:pPr>
          </w:p>
        </w:tc>
        <w:tc>
          <w:tcPr>
            <w:tcW w:w="915" w:type="pct"/>
            <w:gridSpan w:val="2"/>
            <w:tcBorders>
              <w:bottom w:val="single" w:sz="4" w:space="0" w:color="auto"/>
            </w:tcBorders>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40% (en 2013)</w:t>
            </w:r>
          </w:p>
        </w:tc>
        <w:tc>
          <w:tcPr>
            <w:tcW w:w="1288"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62% (2012)</w:t>
            </w:r>
          </w:p>
          <w:p w:rsidR="00525604" w:rsidRPr="00A34388" w:rsidRDefault="00525604" w:rsidP="00853209">
            <w:pPr>
              <w:rPr>
                <w:rFonts w:cs="Arial"/>
                <w:sz w:val="16"/>
                <w:szCs w:val="16"/>
                <w:lang w:val="es-ES_tradnl"/>
              </w:rPr>
            </w:pPr>
            <w:r w:rsidRPr="00A34388">
              <w:rPr>
                <w:sz w:val="16"/>
                <w:lang w:val="es-ES_tradnl"/>
              </w:rPr>
              <w:t>61,85% (2013)</w:t>
            </w:r>
          </w:p>
        </w:tc>
        <w:tc>
          <w:tcPr>
            <w:tcW w:w="682"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r w:rsidRPr="00A34388">
              <w:rPr>
                <w:rStyle w:val="Style5"/>
                <w:rFonts w:ascii="Arial" w:hAnsi="Arial"/>
                <w:b/>
                <w:color w:val="FF0000"/>
                <w:sz w:val="16"/>
                <w:lang w:val="es-ES_tradnl"/>
              </w:rPr>
              <w:t xml:space="preserve"> </w:t>
            </w:r>
          </w:p>
        </w:tc>
      </w:tr>
      <w:tr w:rsidR="00525604" w:rsidRPr="00A9508D" w:rsidTr="00853209">
        <w:trPr>
          <w:cantSplit/>
        </w:trPr>
        <w:tc>
          <w:tcPr>
            <w:tcW w:w="5000" w:type="pct"/>
            <w:gridSpan w:val="8"/>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administración del Sistema de La Haya.</w:t>
            </w:r>
          </w:p>
        </w:tc>
      </w:tr>
      <w:tr w:rsidR="00525604" w:rsidRPr="00A34388" w:rsidTr="000557C0">
        <w:trPr>
          <w:cantSplit/>
        </w:trPr>
        <w:tc>
          <w:tcPr>
            <w:tcW w:w="1063" w:type="pct"/>
            <w:gridSpan w:val="2"/>
            <w:tcBorders>
              <w:top w:val="single" w:sz="4" w:space="0" w:color="auto"/>
            </w:tcBorders>
            <w:shd w:val="clear" w:color="auto" w:fill="auto"/>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Indicadores de rendimiento</w:t>
            </w:r>
          </w:p>
        </w:tc>
        <w:tc>
          <w:tcPr>
            <w:tcW w:w="984" w:type="pct"/>
            <w:tcBorders>
              <w:top w:val="single" w:sz="4" w:space="0" w:color="auto"/>
            </w:tcBorders>
            <w:shd w:val="clear" w:color="auto" w:fill="auto"/>
            <w:vAlign w:val="center"/>
          </w:tcPr>
          <w:p w:rsidR="00525604" w:rsidRPr="00A34388" w:rsidRDefault="00525604" w:rsidP="00853209">
            <w:pPr>
              <w:keepNext/>
              <w:keepLines/>
              <w:rPr>
                <w:rFonts w:cs="Arial"/>
                <w:b/>
                <w:bCs/>
                <w:color w:val="808080"/>
                <w:sz w:val="16"/>
                <w:szCs w:val="16"/>
                <w:lang w:val="es-ES_tradnl"/>
              </w:rPr>
            </w:pPr>
            <w:r w:rsidRPr="00332758">
              <w:rPr>
                <w:b/>
                <w:sz w:val="16"/>
                <w:lang w:val="es-ES_tradnl"/>
              </w:rPr>
              <w:t>Referencia</w:t>
            </w:r>
          </w:p>
        </w:tc>
        <w:tc>
          <w:tcPr>
            <w:tcW w:w="983" w:type="pct"/>
            <w:gridSpan w:val="3"/>
            <w:tcBorders>
              <w:top w:val="single" w:sz="4" w:space="0" w:color="auto"/>
            </w:tcBorders>
            <w:shd w:val="clear" w:color="auto" w:fill="auto"/>
            <w:tcMar>
              <w:top w:w="110" w:type="dxa"/>
            </w:tcMar>
            <w:vAlign w:val="center"/>
          </w:tcPr>
          <w:p w:rsidR="00525604" w:rsidRPr="00A34388" w:rsidRDefault="00525604" w:rsidP="00853209">
            <w:pPr>
              <w:keepNext/>
              <w:keepLines/>
              <w:rPr>
                <w:rFonts w:cs="Arial"/>
                <w:b/>
                <w:color w:val="808080"/>
                <w:sz w:val="16"/>
                <w:szCs w:val="16"/>
                <w:lang w:val="es-ES_tradnl"/>
              </w:rPr>
            </w:pPr>
            <w:r w:rsidRPr="00332758">
              <w:rPr>
                <w:b/>
                <w:sz w:val="16"/>
                <w:lang w:val="es-ES_tradnl"/>
              </w:rPr>
              <w:t>Objetivos</w:t>
            </w:r>
          </w:p>
        </w:tc>
        <w:tc>
          <w:tcPr>
            <w:tcW w:w="1290" w:type="pct"/>
            <w:tcBorders>
              <w:top w:val="single" w:sz="4" w:space="0" w:color="auto"/>
            </w:tcBorders>
            <w:shd w:val="clear" w:color="auto" w:fill="FFFFFF"/>
            <w:tcMar>
              <w:top w:w="110" w:type="dxa"/>
            </w:tcMar>
            <w:vAlign w:val="center"/>
          </w:tcPr>
          <w:p w:rsidR="00525604" w:rsidRPr="00A34388" w:rsidRDefault="00525604" w:rsidP="00853209">
            <w:pPr>
              <w:keepNext/>
              <w:keepLines/>
              <w:rPr>
                <w:rFonts w:cs="Arial"/>
                <w:color w:val="808080"/>
                <w:sz w:val="16"/>
                <w:szCs w:val="16"/>
                <w:lang w:val="es-ES_tradnl"/>
              </w:rPr>
            </w:pPr>
            <w:r w:rsidRPr="00332758">
              <w:rPr>
                <w:b/>
                <w:sz w:val="16"/>
                <w:lang w:val="es-ES_tradnl"/>
              </w:rPr>
              <w:t>Datos sobre el rendimiento</w:t>
            </w:r>
          </w:p>
        </w:tc>
        <w:tc>
          <w:tcPr>
            <w:tcW w:w="680"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1063" w:type="pct"/>
            <w:gridSpan w:val="2"/>
            <w:shd w:val="clear" w:color="auto" w:fill="auto"/>
          </w:tcPr>
          <w:p w:rsidR="00525604" w:rsidRPr="00A34388" w:rsidRDefault="00525604" w:rsidP="00853209">
            <w:pPr>
              <w:keepNext/>
              <w:keepLines/>
              <w:rPr>
                <w:rFonts w:cs="Arial"/>
                <w:sz w:val="16"/>
                <w:szCs w:val="16"/>
                <w:lang w:val="es-ES_tradnl"/>
              </w:rPr>
            </w:pPr>
            <w:r w:rsidRPr="00332758">
              <w:rPr>
                <w:sz w:val="16"/>
                <w:lang w:val="es-ES_tradnl"/>
              </w:rPr>
              <w:t>Predominio del Acta de Ginebra en la totalidad del sistema.</w:t>
            </w:r>
          </w:p>
        </w:tc>
        <w:tc>
          <w:tcPr>
            <w:tcW w:w="984" w:type="pct"/>
            <w:shd w:val="clear" w:color="auto" w:fill="auto"/>
          </w:tcPr>
          <w:p w:rsidR="00525604" w:rsidRPr="00910203" w:rsidRDefault="00525604" w:rsidP="00853209">
            <w:pPr>
              <w:keepNext/>
              <w:keepLines/>
              <w:rPr>
                <w:rFonts w:cs="Arial"/>
                <w:i/>
                <w:color w:val="002060"/>
                <w:sz w:val="16"/>
                <w:szCs w:val="16"/>
                <w:lang w:val="es-ES_tradnl"/>
              </w:rPr>
            </w:pPr>
            <w:r w:rsidRPr="00910203">
              <w:rPr>
                <w:i/>
                <w:color w:val="002060"/>
                <w:sz w:val="16"/>
                <w:lang w:val="es-ES_tradnl"/>
              </w:rPr>
              <w:t>Referencia actualizada a fines de 2011:</w:t>
            </w:r>
            <w:r w:rsidRPr="00910203">
              <w:rPr>
                <w:color w:val="002060"/>
                <w:sz w:val="16"/>
                <w:lang w:val="es-ES_tradnl"/>
              </w:rPr>
              <w:t xml:space="preserve">  43 Partes Contratantes del Acta de Ginebra y 17 Partes Contratantes obligadas únicamente por otras Actas en 2011.</w:t>
            </w:r>
          </w:p>
          <w:p w:rsidR="00525604" w:rsidRPr="00A34388" w:rsidRDefault="00525604" w:rsidP="00853209">
            <w:pPr>
              <w:keepNext/>
              <w:keepLines/>
              <w:rPr>
                <w:rFonts w:cs="Arial"/>
                <w:i/>
                <w:sz w:val="8"/>
                <w:szCs w:val="8"/>
                <w:lang w:val="es-ES_tradnl"/>
              </w:rPr>
            </w:pPr>
          </w:p>
          <w:p w:rsidR="00525604" w:rsidRPr="00A34388" w:rsidRDefault="00525604" w:rsidP="00853209">
            <w:pPr>
              <w:keepNext/>
              <w:keepLines/>
              <w:rPr>
                <w:rFonts w:cs="Arial"/>
                <w:sz w:val="16"/>
                <w:szCs w:val="16"/>
                <w:lang w:val="es-ES_tradnl"/>
              </w:rPr>
            </w:pPr>
            <w:r w:rsidRPr="00332758">
              <w:rPr>
                <w:i/>
                <w:sz w:val="16"/>
                <w:lang w:val="es-ES_tradnl"/>
              </w:rPr>
              <w:t xml:space="preserve">Referencia original en el presupuesto por programas 2012/13: </w:t>
            </w:r>
            <w:r w:rsidRPr="00332758">
              <w:rPr>
                <w:sz w:val="16"/>
                <w:lang w:val="es-ES_tradnl"/>
              </w:rPr>
              <w:t xml:space="preserve"> 39 Partes Contratantes del Acta de Ginebra y 18 Partes Contratantes obligadas únicamente por otras Actas en 2010.</w:t>
            </w:r>
          </w:p>
        </w:tc>
        <w:tc>
          <w:tcPr>
            <w:tcW w:w="983" w:type="pct"/>
            <w:gridSpan w:val="3"/>
            <w:shd w:val="clear" w:color="auto" w:fill="auto"/>
            <w:tcMar>
              <w:top w:w="110" w:type="dxa"/>
            </w:tcMar>
          </w:tcPr>
          <w:p w:rsidR="00525604" w:rsidRPr="00A34388" w:rsidRDefault="00525604" w:rsidP="00F526D4">
            <w:pPr>
              <w:keepNext/>
              <w:keepLines/>
              <w:autoSpaceDE w:val="0"/>
              <w:autoSpaceDN w:val="0"/>
              <w:adjustRightInd w:val="0"/>
              <w:rPr>
                <w:rFonts w:cs="Arial"/>
                <w:sz w:val="16"/>
                <w:szCs w:val="16"/>
                <w:lang w:val="es-ES_tradnl"/>
              </w:rPr>
            </w:pPr>
            <w:r w:rsidRPr="00A34388">
              <w:rPr>
                <w:sz w:val="16"/>
                <w:lang w:val="es-ES_tradnl"/>
              </w:rPr>
              <w:t xml:space="preserve">55 Partes Contratantes del Acta de Ginebra, cese de la aplicación del Acta de 1934 y ningún país obligado únicamente por el Acta de 1960 </w:t>
            </w:r>
            <w:r w:rsidR="00F526D4" w:rsidRPr="00A34388">
              <w:rPr>
                <w:sz w:val="16"/>
                <w:lang w:val="es-ES_tradnl"/>
              </w:rPr>
              <w:t xml:space="preserve">al margen </w:t>
            </w:r>
            <w:r w:rsidRPr="00A34388">
              <w:rPr>
                <w:sz w:val="16"/>
                <w:lang w:val="es-ES_tradnl"/>
              </w:rPr>
              <w:t>de la UE o la OAPI</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 xml:space="preserve">46 Partes Contratantes del Acta de Ginebra (Montenegro, Tayikistán y Túnez en 2012;  Brunei Darussalam en 2013).  </w:t>
            </w:r>
          </w:p>
          <w:p w:rsidR="00525604" w:rsidRPr="00A34388" w:rsidRDefault="00525604" w:rsidP="00853209">
            <w:pPr>
              <w:rPr>
                <w:rFonts w:cs="Arial"/>
                <w:sz w:val="8"/>
                <w:szCs w:val="8"/>
                <w:lang w:val="es-ES_tradnl"/>
              </w:rPr>
            </w:pPr>
          </w:p>
          <w:p w:rsidR="00525604" w:rsidRPr="00A34388" w:rsidRDefault="00525604" w:rsidP="00F526D4">
            <w:pPr>
              <w:rPr>
                <w:rFonts w:cs="Arial"/>
                <w:sz w:val="16"/>
                <w:szCs w:val="16"/>
                <w:lang w:val="es-ES_tradnl"/>
              </w:rPr>
            </w:pPr>
            <w:r w:rsidRPr="00A34388">
              <w:rPr>
                <w:sz w:val="16"/>
                <w:lang w:val="es-ES_tradnl"/>
              </w:rPr>
              <w:t xml:space="preserve">A 31 de diciembre de 2013, todavía se necesitaban tres autorizaciones para el cese de la aplicación del Acta de 1934, y cuatro Partes Contratantes </w:t>
            </w:r>
            <w:r w:rsidR="00F526D4" w:rsidRPr="00A34388">
              <w:rPr>
                <w:sz w:val="16"/>
                <w:lang w:val="es-ES_tradnl"/>
              </w:rPr>
              <w:t xml:space="preserve">al margen de la </w:t>
            </w:r>
            <w:r w:rsidRPr="00A34388">
              <w:rPr>
                <w:sz w:val="16"/>
                <w:lang w:val="es-ES_tradnl"/>
              </w:rPr>
              <w:t xml:space="preserve">UE o la OAPI continuaban obligadas por el Acta de 1960. </w:t>
            </w: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E36C0A" w:themeColor="accent6" w:themeShade="BF"/>
                <w:sz w:val="16"/>
                <w:lang w:val="es-ES_tradnl"/>
              </w:rPr>
              <w:t>Parcialmente</w:t>
            </w:r>
            <w:r w:rsidRPr="00A34388">
              <w:rPr>
                <w:rFonts w:cs="Arial"/>
                <w:bCs/>
                <w:color w:val="E36C0A" w:themeColor="accent6" w:themeShade="BF"/>
                <w:sz w:val="16"/>
                <w:szCs w:val="16"/>
                <w:lang w:val="es-ES_tradnl"/>
              </w:rPr>
              <w:br/>
            </w:r>
            <w:r w:rsidRPr="00A34388">
              <w:rPr>
                <w:color w:val="E36C0A" w:themeColor="accent6" w:themeShade="BF"/>
                <w:sz w:val="16"/>
                <w:lang w:val="es-ES_tradnl"/>
              </w:rPr>
              <w:t>logrado</w:t>
            </w:r>
          </w:p>
        </w:tc>
      </w:tr>
      <w:tr w:rsidR="00525604" w:rsidRPr="00A34388" w:rsidTr="00853209">
        <w:trPr>
          <w:cantSplit/>
        </w:trPr>
        <w:tc>
          <w:tcPr>
            <w:tcW w:w="1063" w:type="pct"/>
            <w:gridSpan w:val="2"/>
            <w:shd w:val="clear" w:color="auto" w:fill="auto"/>
          </w:tcPr>
          <w:p w:rsidR="00525604" w:rsidRPr="00A34388" w:rsidRDefault="00525604" w:rsidP="00853209">
            <w:pPr>
              <w:rPr>
                <w:rFonts w:cs="Arial"/>
                <w:sz w:val="16"/>
                <w:szCs w:val="16"/>
                <w:lang w:val="es-ES_tradnl"/>
              </w:rPr>
            </w:pPr>
            <w:r w:rsidRPr="00332758">
              <w:rPr>
                <w:sz w:val="16"/>
                <w:lang w:val="es-ES_tradnl"/>
              </w:rPr>
              <w:t>Tiempo transcurrido hasta la publicación para las solicitudes regulares de publicación no diferida.</w:t>
            </w:r>
            <w:r w:rsidRPr="00A34388">
              <w:rPr>
                <w:sz w:val="16"/>
                <w:lang w:val="es-ES_tradnl"/>
              </w:rPr>
              <w:t xml:space="preserve"> </w:t>
            </w:r>
          </w:p>
        </w:tc>
        <w:tc>
          <w:tcPr>
            <w:tcW w:w="984"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Cuatro semanas</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r w:rsidR="007E4D96" w:rsidRPr="00A34388">
              <w:rPr>
                <w:sz w:val="16"/>
                <w:lang w:val="es-ES_tradnl"/>
              </w:rPr>
              <w:t xml:space="preserve"> </w:t>
            </w:r>
            <w:r w:rsidRPr="00A34388">
              <w:rPr>
                <w:sz w:val="16"/>
                <w:lang w:val="es-ES_tradnl"/>
              </w:rPr>
              <w:t>Nueve semanas</w:t>
            </w:r>
          </w:p>
        </w:tc>
        <w:tc>
          <w:tcPr>
            <w:tcW w:w="983" w:type="pct"/>
            <w:gridSpan w:val="3"/>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Tres semanas</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Cuatro semanas (2012)</w:t>
            </w:r>
          </w:p>
          <w:p w:rsidR="00525604" w:rsidRPr="00A34388" w:rsidRDefault="00525604" w:rsidP="00853209">
            <w:pPr>
              <w:rPr>
                <w:rFonts w:cs="Arial"/>
                <w:sz w:val="16"/>
                <w:szCs w:val="16"/>
                <w:lang w:val="es-ES_tradnl"/>
              </w:rPr>
            </w:pPr>
            <w:r w:rsidRPr="00A34388">
              <w:rPr>
                <w:sz w:val="16"/>
                <w:lang w:val="es-ES_tradnl"/>
              </w:rPr>
              <w:t>Dos semanas (2013)</w:t>
            </w:r>
          </w:p>
        </w:tc>
        <w:tc>
          <w:tcPr>
            <w:tcW w:w="680" w:type="pct"/>
            <w:shd w:val="clear" w:color="auto" w:fill="auto"/>
            <w:tcMar>
              <w:top w:w="110" w:type="dxa"/>
            </w:tcMar>
          </w:tcPr>
          <w:p w:rsidR="00525604" w:rsidRPr="00A34388" w:rsidRDefault="00525604" w:rsidP="00853209">
            <w:pPr>
              <w:keepNext/>
              <w:keepLines/>
              <w:jc w:val="center"/>
              <w:rPr>
                <w:rFonts w:cs="Arial"/>
                <w:b/>
                <w:bCs/>
                <w:color w:val="00B05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rPr>
          <w:cantSplit/>
        </w:trPr>
        <w:tc>
          <w:tcPr>
            <w:tcW w:w="1063" w:type="pct"/>
            <w:gridSpan w:val="2"/>
            <w:shd w:val="clear" w:color="auto" w:fill="auto"/>
          </w:tcPr>
          <w:p w:rsidR="00525604" w:rsidRPr="00A34388" w:rsidRDefault="00525604" w:rsidP="00853209">
            <w:pPr>
              <w:rPr>
                <w:rFonts w:cs="Arial"/>
                <w:sz w:val="16"/>
                <w:szCs w:val="16"/>
                <w:lang w:val="es-ES_tradnl"/>
              </w:rPr>
            </w:pPr>
            <w:r w:rsidRPr="00332758">
              <w:rPr>
                <w:sz w:val="16"/>
                <w:lang w:val="es-ES_tradnl"/>
              </w:rPr>
              <w:t>Número de procedimientos totalmente automatizados.</w:t>
            </w:r>
          </w:p>
        </w:tc>
        <w:tc>
          <w:tcPr>
            <w:tcW w:w="984"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Uno</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Cero</w:t>
            </w:r>
          </w:p>
        </w:tc>
        <w:tc>
          <w:tcPr>
            <w:tcW w:w="983" w:type="pct"/>
            <w:gridSpan w:val="3"/>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Dos </w:t>
            </w:r>
          </w:p>
        </w:tc>
        <w:tc>
          <w:tcPr>
            <w:tcW w:w="1290"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Dos (renovación y concesión de protección)</w:t>
            </w:r>
          </w:p>
        </w:tc>
        <w:tc>
          <w:tcPr>
            <w:tcW w:w="680" w:type="pct"/>
            <w:shd w:val="clear" w:color="auto" w:fill="auto"/>
            <w:tcMar>
              <w:top w:w="110" w:type="dxa"/>
            </w:tcMar>
          </w:tcPr>
          <w:p w:rsidR="00525604" w:rsidRPr="00332758" w:rsidRDefault="00525604" w:rsidP="00853209">
            <w:pPr>
              <w:keepNext/>
              <w:keepLines/>
              <w:jc w:val="center"/>
              <w:rPr>
                <w:rFonts w:cs="Arial"/>
                <w:b/>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1063" w:type="pct"/>
            <w:gridSpan w:val="2"/>
            <w:shd w:val="clear" w:color="auto" w:fill="auto"/>
          </w:tcPr>
          <w:p w:rsidR="00525604" w:rsidRPr="00A34388" w:rsidRDefault="00525604" w:rsidP="00853209">
            <w:pPr>
              <w:rPr>
                <w:rFonts w:cs="Arial"/>
                <w:sz w:val="16"/>
                <w:szCs w:val="16"/>
                <w:lang w:val="es-ES_tradnl"/>
              </w:rPr>
            </w:pPr>
            <w:r w:rsidRPr="00332758">
              <w:rPr>
                <w:sz w:val="16"/>
                <w:lang w:val="es-ES_tradnl"/>
              </w:rPr>
              <w:lastRenderedPageBreak/>
              <w:t>Porcentaje de peticiones presentadas mediante interfaces electrónicas.</w:t>
            </w:r>
          </w:p>
        </w:tc>
        <w:tc>
          <w:tcPr>
            <w:tcW w:w="984" w:type="pct"/>
            <w:shd w:val="clear" w:color="auto" w:fill="auto"/>
          </w:tcPr>
          <w:p w:rsidR="00525604" w:rsidRPr="00910203" w:rsidRDefault="00525604" w:rsidP="00853209">
            <w:pPr>
              <w:rPr>
                <w:rFonts w:cs="Arial"/>
                <w:i/>
                <w:color w:val="002060"/>
                <w:sz w:val="16"/>
                <w:szCs w:val="16"/>
                <w:lang w:val="es-ES_tradnl"/>
              </w:rPr>
            </w:pPr>
            <w:r w:rsidRPr="00910203">
              <w:rPr>
                <w:i/>
                <w:color w:val="002060"/>
                <w:sz w:val="16"/>
                <w:lang w:val="es-ES_tradnl"/>
              </w:rPr>
              <w:t xml:space="preserve">Referencia actualizada a fines de 2011:  </w:t>
            </w:r>
          </w:p>
          <w:p w:rsidR="00525604" w:rsidRPr="00910203" w:rsidRDefault="00525604" w:rsidP="00853209">
            <w:pPr>
              <w:rPr>
                <w:rFonts w:cs="Arial"/>
                <w:color w:val="002060"/>
                <w:sz w:val="16"/>
                <w:szCs w:val="16"/>
                <w:lang w:val="es-ES_tradnl"/>
              </w:rPr>
            </w:pPr>
            <w:r w:rsidRPr="00910203">
              <w:rPr>
                <w:color w:val="002060"/>
                <w:sz w:val="16"/>
                <w:lang w:val="es-ES_tradnl"/>
              </w:rPr>
              <w:t>80% de solicitudes</w:t>
            </w:r>
          </w:p>
          <w:p w:rsidR="00525604" w:rsidRPr="00910203" w:rsidRDefault="00525604" w:rsidP="00853209">
            <w:pPr>
              <w:rPr>
                <w:rFonts w:cs="Arial"/>
                <w:i/>
                <w:color w:val="002060"/>
                <w:sz w:val="16"/>
                <w:szCs w:val="16"/>
                <w:lang w:val="es-ES_tradnl"/>
              </w:rPr>
            </w:pPr>
            <w:r w:rsidRPr="00910203">
              <w:rPr>
                <w:i/>
                <w:color w:val="002060"/>
                <w:sz w:val="16"/>
                <w:lang w:val="es-ES_tradnl"/>
              </w:rPr>
              <w:t>60% de renovaciones</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color w:val="000000"/>
                <w:sz w:val="16"/>
                <w:lang w:val="es-ES_tradnl"/>
              </w:rPr>
              <w:t>En 2010, el 64% de las solicitudes internacionales se presentó mediante interfaces electrónicas, ninguna otra petición se transmite por medios electrónicos.</w:t>
            </w:r>
          </w:p>
        </w:tc>
        <w:tc>
          <w:tcPr>
            <w:tcW w:w="983" w:type="pct"/>
            <w:gridSpan w:val="3"/>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80% de solicitudes y peticiones de renovación se presentan por medios electrónicos</w:t>
            </w:r>
          </w:p>
        </w:tc>
        <w:tc>
          <w:tcPr>
            <w:tcW w:w="1290" w:type="pct"/>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83% de solicitudes (2012)</w:t>
            </w:r>
          </w:p>
          <w:p w:rsidR="00525604" w:rsidRPr="00332758" w:rsidRDefault="00525604" w:rsidP="00853209">
            <w:pPr>
              <w:rPr>
                <w:rFonts w:cs="Arial"/>
                <w:sz w:val="16"/>
                <w:szCs w:val="16"/>
                <w:lang w:val="es-ES_tradnl"/>
              </w:rPr>
            </w:pPr>
            <w:r w:rsidRPr="00332758">
              <w:rPr>
                <w:sz w:val="16"/>
                <w:lang w:val="es-ES_tradnl"/>
              </w:rPr>
              <w:t>86% de solicitudes (2013)</w:t>
            </w:r>
          </w:p>
          <w:p w:rsidR="00525604" w:rsidRPr="00332758" w:rsidRDefault="00525604" w:rsidP="00853209">
            <w:pPr>
              <w:rPr>
                <w:rFonts w:cs="Arial"/>
                <w:sz w:val="8"/>
                <w:szCs w:val="8"/>
                <w:lang w:val="es-ES_tradnl"/>
              </w:rPr>
            </w:pPr>
          </w:p>
          <w:p w:rsidR="00525604" w:rsidRPr="00332758" w:rsidRDefault="00525604" w:rsidP="00853209">
            <w:pPr>
              <w:rPr>
                <w:rFonts w:cs="Arial"/>
                <w:sz w:val="16"/>
                <w:szCs w:val="16"/>
                <w:lang w:val="es-ES_tradnl"/>
              </w:rPr>
            </w:pPr>
            <w:r w:rsidRPr="00332758">
              <w:rPr>
                <w:sz w:val="16"/>
                <w:lang w:val="es-ES_tradnl"/>
              </w:rPr>
              <w:t>54% de renovaciones (2012)</w:t>
            </w:r>
          </w:p>
          <w:p w:rsidR="00525604" w:rsidRPr="00A34388" w:rsidRDefault="00525604" w:rsidP="00853209">
            <w:pPr>
              <w:rPr>
                <w:rFonts w:cs="Arial"/>
                <w:sz w:val="16"/>
                <w:szCs w:val="16"/>
                <w:lang w:val="es-ES_tradnl"/>
              </w:rPr>
            </w:pPr>
            <w:r w:rsidRPr="00332758">
              <w:rPr>
                <w:sz w:val="16"/>
                <w:lang w:val="es-ES_tradnl"/>
              </w:rPr>
              <w:t>65% de renovaciones (2013)</w:t>
            </w: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0557C0">
        <w:trPr>
          <w:cantSplit/>
        </w:trPr>
        <w:tc>
          <w:tcPr>
            <w:tcW w:w="1063" w:type="pct"/>
            <w:gridSpan w:val="2"/>
            <w:shd w:val="clear" w:color="auto" w:fill="auto"/>
          </w:tcPr>
          <w:p w:rsidR="00525604" w:rsidRPr="00A34388" w:rsidRDefault="00525604" w:rsidP="00853209">
            <w:pPr>
              <w:rPr>
                <w:rFonts w:cs="Arial"/>
                <w:sz w:val="16"/>
                <w:szCs w:val="16"/>
                <w:lang w:val="es-ES_tradnl"/>
              </w:rPr>
            </w:pPr>
            <w:r w:rsidRPr="00332758">
              <w:rPr>
                <w:sz w:val="16"/>
                <w:lang w:val="es-ES_tradnl"/>
              </w:rPr>
              <w:t>Porcentaje de usuarios satisfechos con los servicios prestados por la Oficina Internacional.</w:t>
            </w:r>
            <w:r w:rsidRPr="00A34388">
              <w:rPr>
                <w:sz w:val="16"/>
                <w:lang w:val="es-ES_tradnl"/>
              </w:rPr>
              <w:t xml:space="preserve"> </w:t>
            </w:r>
          </w:p>
        </w:tc>
        <w:tc>
          <w:tcPr>
            <w:tcW w:w="984" w:type="pct"/>
            <w:shd w:val="clear" w:color="auto" w:fill="auto"/>
          </w:tcPr>
          <w:p w:rsidR="00525604" w:rsidRPr="00A34388" w:rsidRDefault="002B591B" w:rsidP="002B591B">
            <w:pPr>
              <w:rPr>
                <w:rFonts w:cs="Arial"/>
                <w:sz w:val="16"/>
                <w:szCs w:val="16"/>
                <w:lang w:val="es-ES_tradnl"/>
              </w:rPr>
            </w:pPr>
            <w:r w:rsidRPr="00332758">
              <w:rPr>
                <w:sz w:val="16"/>
                <w:lang w:val="es-ES_tradnl"/>
              </w:rPr>
              <w:t xml:space="preserve">Por </w:t>
            </w:r>
            <w:r w:rsidR="00525604" w:rsidRPr="00332758">
              <w:rPr>
                <w:sz w:val="16"/>
                <w:lang w:val="es-ES_tradnl"/>
              </w:rPr>
              <w:t>determinar a fines de 2011.</w:t>
            </w:r>
          </w:p>
        </w:tc>
        <w:tc>
          <w:tcPr>
            <w:tcW w:w="983" w:type="pct"/>
            <w:gridSpan w:val="3"/>
            <w:shd w:val="clear" w:color="auto" w:fill="auto"/>
            <w:tcMar>
              <w:top w:w="110" w:type="dxa"/>
            </w:tcMar>
          </w:tcPr>
          <w:p w:rsidR="00525604" w:rsidRPr="00A34388" w:rsidRDefault="002B591B" w:rsidP="002B591B">
            <w:pPr>
              <w:rPr>
                <w:rFonts w:cs="Arial"/>
                <w:sz w:val="16"/>
                <w:szCs w:val="16"/>
                <w:lang w:val="es-ES_tradnl"/>
              </w:rPr>
            </w:pPr>
            <w:r w:rsidRPr="00332758">
              <w:rPr>
                <w:sz w:val="16"/>
                <w:lang w:val="es-ES_tradnl"/>
              </w:rPr>
              <w:t xml:space="preserve">Por </w:t>
            </w:r>
            <w:r w:rsidR="00525604" w:rsidRPr="00332758">
              <w:rPr>
                <w:sz w:val="16"/>
                <w:lang w:val="es-ES_tradnl"/>
              </w:rPr>
              <w:t>determinar a fines de 2011.</w:t>
            </w:r>
          </w:p>
        </w:tc>
        <w:tc>
          <w:tcPr>
            <w:tcW w:w="1290" w:type="pct"/>
            <w:shd w:val="clear" w:color="auto" w:fill="FFFFFF"/>
            <w:tcMar>
              <w:top w:w="110" w:type="dxa"/>
            </w:tcMar>
          </w:tcPr>
          <w:p w:rsidR="00525604" w:rsidRPr="00332758" w:rsidRDefault="00525604" w:rsidP="00853209">
            <w:pPr>
              <w:pStyle w:val="CommentText"/>
              <w:rPr>
                <w:rFonts w:cs="Arial"/>
                <w:sz w:val="16"/>
                <w:szCs w:val="16"/>
                <w:lang w:val="es-ES_tradnl"/>
              </w:rPr>
            </w:pPr>
            <w:r w:rsidRPr="00332758">
              <w:rPr>
                <w:sz w:val="16"/>
                <w:lang w:val="es-ES_tradnl"/>
              </w:rPr>
              <w:t>10% de los usuarios manifestaron estar sumamente satisfechos, 42% muy satisfechos, 42% satisfechos y 5% bastante satisfechos (encuesta llevada a cabo el 22 de mayo de 2012).</w:t>
            </w:r>
          </w:p>
          <w:p w:rsidR="00525604" w:rsidRPr="00A34388" w:rsidRDefault="00525604" w:rsidP="00853209">
            <w:pPr>
              <w:rPr>
                <w:rFonts w:cs="Arial"/>
                <w:sz w:val="8"/>
                <w:szCs w:val="8"/>
                <w:lang w:val="es-ES_tradnl"/>
              </w:rPr>
            </w:pPr>
          </w:p>
          <w:p w:rsidR="00525604" w:rsidRPr="00A34388" w:rsidRDefault="00525604" w:rsidP="00853209">
            <w:pPr>
              <w:rPr>
                <w:rFonts w:cs="Arial"/>
                <w:sz w:val="16"/>
                <w:szCs w:val="16"/>
                <w:lang w:val="es-ES_tradnl"/>
              </w:rPr>
            </w:pPr>
            <w:r w:rsidRPr="00A34388">
              <w:rPr>
                <w:sz w:val="16"/>
                <w:lang w:val="es-ES_tradnl"/>
              </w:rPr>
              <w:t>En 2013 no se realizó ninguna encuesta.</w:t>
            </w:r>
          </w:p>
          <w:p w:rsidR="00525604" w:rsidRPr="00A34388" w:rsidRDefault="00525604" w:rsidP="00853209">
            <w:pPr>
              <w:rPr>
                <w:rFonts w:cs="Arial"/>
                <w:sz w:val="16"/>
                <w:szCs w:val="16"/>
                <w:lang w:val="es-ES_tradnl"/>
              </w:rPr>
            </w:pPr>
          </w:p>
        </w:tc>
        <w:tc>
          <w:tcPr>
            <w:tcW w:w="680"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332758">
              <w:rPr>
                <w:rStyle w:val="Style5"/>
                <w:rFonts w:ascii="Arial" w:hAnsi="Arial"/>
                <w:sz w:val="16"/>
                <w:lang w:val="es-ES_tradnl"/>
              </w:rPr>
              <w:t>No mensurable</w:t>
            </w:r>
          </w:p>
        </w:tc>
      </w:tr>
    </w:tbl>
    <w:p w:rsidR="00525604" w:rsidRPr="00A34388" w:rsidRDefault="00525604" w:rsidP="00525604">
      <w:pPr>
        <w:rPr>
          <w:rFonts w:cs="Arial"/>
          <w:lang w:val="es-ES_tradnl"/>
        </w:rPr>
      </w:pPr>
    </w:p>
    <w:p w:rsidR="00525604" w:rsidRPr="00A34388" w:rsidRDefault="00525604" w:rsidP="00525604">
      <w:pPr>
        <w:rPr>
          <w:rFonts w:cs="Arial"/>
          <w:lang w:val="es-ES_tradnl"/>
        </w:rPr>
      </w:pPr>
    </w:p>
    <w:p w:rsidR="00525604" w:rsidRPr="00A34388" w:rsidRDefault="00525604" w:rsidP="00525604">
      <w:pPr>
        <w:rPr>
          <w:rFonts w:cs="Arial"/>
          <w:sz w:val="22"/>
          <w:szCs w:val="22"/>
          <w:lang w:val="es-ES_tradnl"/>
        </w:rPr>
      </w:pPr>
      <w:r w:rsidRPr="00332758">
        <w:rPr>
          <w:sz w:val="22"/>
          <w:lang w:val="es-ES_tradnl"/>
        </w:rPr>
        <w:t>PRESUPUESTO Y GASTOS REALES</w:t>
      </w:r>
    </w:p>
    <w:p w:rsidR="00525604" w:rsidRPr="00A34388" w:rsidRDefault="00525604" w:rsidP="00525604">
      <w:pPr>
        <w:rPr>
          <w:rFonts w:cs="Arial"/>
          <w:szCs w:val="20"/>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i/>
          <w:iCs/>
          <w:sz w:val="20"/>
          <w:szCs w:val="20"/>
          <w:lang w:val="es-ES_tradnl"/>
        </w:rPr>
      </w:pPr>
      <w:r w:rsidRPr="00332758">
        <w:rPr>
          <w:i/>
          <w:sz w:val="20"/>
          <w:lang w:val="es-ES_tradnl"/>
        </w:rPr>
        <w:t>(en miles de francos suizos)</w:t>
      </w:r>
    </w:p>
    <w:p w:rsidR="00525604" w:rsidRPr="00A34388" w:rsidRDefault="00525604" w:rsidP="00525604">
      <w:pPr>
        <w:pStyle w:val="NormalWeb"/>
        <w:spacing w:before="0" w:beforeAutospacing="0" w:after="0" w:afterAutospacing="0"/>
        <w:jc w:val="center"/>
        <w:rPr>
          <w:lang w:val="es-ES_tradnl"/>
        </w:rPr>
      </w:pPr>
    </w:p>
    <w:tbl>
      <w:tblPr>
        <w:tblW w:w="0" w:type="auto"/>
        <w:tblInd w:w="103" w:type="dxa"/>
        <w:tblLook w:val="04A0" w:firstRow="1" w:lastRow="0" w:firstColumn="1" w:lastColumn="0" w:noHBand="0" w:noVBand="1"/>
      </w:tblPr>
      <w:tblGrid>
        <w:gridCol w:w="439"/>
        <w:gridCol w:w="4244"/>
        <w:gridCol w:w="1559"/>
        <w:gridCol w:w="1559"/>
        <w:gridCol w:w="1560"/>
      </w:tblGrid>
      <w:tr w:rsidR="00525604" w:rsidRPr="00A34388" w:rsidTr="00853209">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w:t>
            </w:r>
            <w:r w:rsidRPr="00332758">
              <w:rPr>
                <w:sz w:val="16"/>
                <w:lang w:val="es-ES_tradnl"/>
              </w:rPr>
              <w:br/>
              <w:t>2012/13</w:t>
            </w:r>
          </w:p>
        </w:tc>
      </w:tr>
      <w:tr w:rsidR="00525604" w:rsidRPr="00A34388" w:rsidTr="00853209">
        <w:tc>
          <w:tcPr>
            <w:tcW w:w="439"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II.5</w:t>
            </w:r>
          </w:p>
        </w:tc>
        <w:tc>
          <w:tcPr>
            <w:tcW w:w="4244"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Mayor sensibilización acerca del Sistema de La Haya.</w:t>
            </w:r>
          </w:p>
        </w:tc>
        <w:tc>
          <w:tcPr>
            <w:tcW w:w="1559"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2.185 </w:t>
            </w:r>
          </w:p>
        </w:tc>
        <w:tc>
          <w:tcPr>
            <w:tcW w:w="1559" w:type="dxa"/>
            <w:tcBorders>
              <w:top w:val="nil"/>
              <w:left w:val="nil"/>
              <w:bottom w:val="nil"/>
              <w:right w:val="nil"/>
            </w:tcBorders>
            <w:shd w:val="clear" w:color="000000" w:fill="FFFFFF"/>
            <w:vAlign w:val="bottom"/>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1.815</w:t>
            </w:r>
          </w:p>
        </w:tc>
        <w:tc>
          <w:tcPr>
            <w:tcW w:w="1560" w:type="dxa"/>
            <w:tcBorders>
              <w:top w:val="nil"/>
              <w:left w:val="nil"/>
              <w:bottom w:val="nil"/>
              <w:right w:val="single" w:sz="4" w:space="0" w:color="auto"/>
            </w:tcBorders>
            <w:shd w:val="clear" w:color="000000" w:fill="FFFFFF"/>
            <w:vAlign w:val="bottom"/>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1.752</w:t>
            </w:r>
          </w:p>
        </w:tc>
      </w:tr>
      <w:tr w:rsidR="00525604" w:rsidRPr="00A34388" w:rsidTr="00853209">
        <w:tc>
          <w:tcPr>
            <w:tcW w:w="439" w:type="dxa"/>
            <w:tcBorders>
              <w:top w:val="nil"/>
              <w:left w:val="single" w:sz="4" w:space="0" w:color="auto"/>
              <w:bottom w:val="nil"/>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II.6</w:t>
            </w:r>
          </w:p>
        </w:tc>
        <w:tc>
          <w:tcPr>
            <w:tcW w:w="4244" w:type="dxa"/>
            <w:tcBorders>
              <w:top w:val="nil"/>
              <w:left w:val="nil"/>
              <w:bottom w:val="nil"/>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Utilización más amplia y mejor del Sistema de La Haya.</w:t>
            </w:r>
          </w:p>
        </w:tc>
        <w:tc>
          <w:tcPr>
            <w:tcW w:w="1559" w:type="dxa"/>
            <w:tcBorders>
              <w:top w:val="nil"/>
              <w:left w:val="nil"/>
              <w:bottom w:val="nil"/>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2.153 </w:t>
            </w:r>
          </w:p>
        </w:tc>
        <w:tc>
          <w:tcPr>
            <w:tcW w:w="1559" w:type="dxa"/>
            <w:tcBorders>
              <w:top w:val="nil"/>
              <w:left w:val="nil"/>
              <w:bottom w:val="nil"/>
              <w:right w:val="nil"/>
            </w:tcBorders>
            <w:shd w:val="clear" w:color="000000" w:fill="FFFFFF"/>
            <w:vAlign w:val="bottom"/>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2.806</w:t>
            </w:r>
          </w:p>
        </w:tc>
        <w:tc>
          <w:tcPr>
            <w:tcW w:w="1560" w:type="dxa"/>
            <w:tcBorders>
              <w:top w:val="nil"/>
              <w:left w:val="nil"/>
              <w:bottom w:val="nil"/>
              <w:right w:val="single" w:sz="4" w:space="0" w:color="auto"/>
            </w:tcBorders>
            <w:shd w:val="clear" w:color="000000" w:fill="FFFFFF"/>
            <w:vAlign w:val="bottom"/>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2.784</w:t>
            </w:r>
          </w:p>
        </w:tc>
      </w:tr>
      <w:tr w:rsidR="00525604" w:rsidRPr="00A34388" w:rsidTr="00853209">
        <w:tc>
          <w:tcPr>
            <w:tcW w:w="439"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II.7</w:t>
            </w:r>
          </w:p>
        </w:tc>
        <w:tc>
          <w:tcPr>
            <w:tcW w:w="4244"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 administración del Sistema de La Haya.</w:t>
            </w:r>
          </w:p>
        </w:tc>
        <w:tc>
          <w:tcPr>
            <w:tcW w:w="1559"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2.633 </w:t>
            </w:r>
          </w:p>
        </w:tc>
        <w:tc>
          <w:tcPr>
            <w:tcW w:w="1559" w:type="dxa"/>
            <w:tcBorders>
              <w:top w:val="nil"/>
              <w:left w:val="nil"/>
              <w:bottom w:val="single" w:sz="4" w:space="0" w:color="auto"/>
              <w:right w:val="nil"/>
            </w:tcBorders>
            <w:shd w:val="clear" w:color="000000" w:fill="FFFFFF"/>
            <w:vAlign w:val="bottom"/>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2.630</w:t>
            </w:r>
          </w:p>
        </w:tc>
        <w:tc>
          <w:tcPr>
            <w:tcW w:w="1560" w:type="dxa"/>
            <w:tcBorders>
              <w:top w:val="nil"/>
              <w:left w:val="nil"/>
              <w:bottom w:val="single" w:sz="4" w:space="0" w:color="auto"/>
              <w:right w:val="single" w:sz="4" w:space="0" w:color="auto"/>
            </w:tcBorders>
            <w:shd w:val="clear" w:color="000000" w:fill="FFFFFF"/>
            <w:vAlign w:val="bottom"/>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2.413</w:t>
            </w:r>
          </w:p>
        </w:tc>
      </w:tr>
      <w:tr w:rsidR="00525604" w:rsidRPr="00A34388" w:rsidTr="00853209">
        <w:tc>
          <w:tcPr>
            <w:tcW w:w="439"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244"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6.970</w:t>
            </w:r>
          </w:p>
        </w:tc>
        <w:tc>
          <w:tcPr>
            <w:tcW w:w="1559"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7.251</w:t>
            </w:r>
          </w:p>
        </w:tc>
        <w:tc>
          <w:tcPr>
            <w:tcW w:w="1560"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6.950</w:t>
            </w:r>
          </w:p>
        </w:tc>
      </w:tr>
    </w:tbl>
    <w:p w:rsidR="00525604" w:rsidRPr="00A34388" w:rsidRDefault="00525604" w:rsidP="00525604">
      <w:pPr>
        <w:rPr>
          <w:rFonts w:cs="Arial"/>
          <w:szCs w:val="20"/>
          <w:lang w:val="es-ES_tradnl"/>
        </w:rPr>
      </w:pPr>
    </w:p>
    <w:p w:rsidR="00525604" w:rsidRPr="00A34388" w:rsidRDefault="00525604" w:rsidP="00525604">
      <w:pPr>
        <w:rPr>
          <w:rFonts w:cs="Arial"/>
          <w:szCs w:val="20"/>
          <w:lang w:val="es-ES_tradnl"/>
        </w:rPr>
      </w:pPr>
    </w:p>
    <w:p w:rsidR="00AC4B89" w:rsidRDefault="00AC4B89">
      <w:pPr>
        <w:rPr>
          <w:rFonts w:cs="Arial"/>
          <w:color w:val="000000"/>
          <w:szCs w:val="18"/>
          <w:lang w:val="es-ES_tradnl"/>
        </w:rPr>
      </w:pPr>
      <w:r>
        <w:rPr>
          <w:color w:val="000000"/>
          <w:lang w:val="es-ES_tradnl"/>
        </w:rPr>
        <w:br w:type="page"/>
      </w: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lastRenderedPageBreak/>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i/>
          <w:iCs/>
          <w:sz w:val="20"/>
          <w:szCs w:val="20"/>
          <w:lang w:val="es-ES_tradnl"/>
        </w:rPr>
      </w:pPr>
      <w:r w:rsidRPr="00332758">
        <w:rPr>
          <w:i/>
          <w:sz w:val="20"/>
          <w:lang w:val="es-ES_tradnl"/>
        </w:rPr>
        <w:t>(en miles de francos suizos)</w:t>
      </w:r>
    </w:p>
    <w:p w:rsidR="00525604" w:rsidRPr="00A34388" w:rsidRDefault="00525604" w:rsidP="00525604">
      <w:pPr>
        <w:pStyle w:val="NormalWeb"/>
        <w:spacing w:before="0" w:beforeAutospacing="0" w:after="0" w:afterAutospacing="0"/>
        <w:jc w:val="center"/>
        <w:rPr>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25604" w:rsidRPr="00A34388" w:rsidTr="00853209">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5.373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5.814</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5.814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1.597</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1.437</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1.136</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79%</w:t>
            </w:r>
          </w:p>
        </w:tc>
      </w:tr>
      <w:tr w:rsidR="00525604"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6.970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7.251</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6.950</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96%</w:t>
            </w:r>
          </w:p>
        </w:tc>
      </w:tr>
    </w:tbl>
    <w:p w:rsidR="00525604" w:rsidRPr="00A34388" w:rsidRDefault="00525604" w:rsidP="00525604">
      <w:pPr>
        <w:rPr>
          <w:rFonts w:cs="Arial"/>
          <w:szCs w:val="20"/>
          <w:lang w:val="es-ES_tradnl"/>
        </w:rPr>
      </w:pPr>
    </w:p>
    <w:p w:rsidR="00525604" w:rsidRPr="00A34388" w:rsidRDefault="00525604" w:rsidP="00525604">
      <w:pPr>
        <w:keepNext/>
        <w:autoSpaceDE w:val="0"/>
        <w:autoSpaceDN w:val="0"/>
        <w:rPr>
          <w:rFonts w:cs="Arial"/>
          <w:sz w:val="16"/>
          <w:szCs w:val="16"/>
          <w:lang w:val="es-ES_tradnl"/>
        </w:rPr>
      </w:pPr>
      <w:r w:rsidRPr="00332758">
        <w:rPr>
          <w:sz w:val="16"/>
          <w:lang w:val="es-ES_tradnl"/>
        </w:rPr>
        <w:t>NOTAS:</w:t>
      </w:r>
    </w:p>
    <w:p w:rsidR="00525604" w:rsidRPr="00A34388" w:rsidRDefault="00525604" w:rsidP="00525604">
      <w:pPr>
        <w:keepNext/>
        <w:autoSpaceDE w:val="0"/>
        <w:autoSpaceDN w:val="0"/>
        <w:rPr>
          <w:rFonts w:cs="Arial"/>
          <w:sz w:val="16"/>
          <w:szCs w:val="16"/>
          <w:lang w:val="es-ES_tradnl"/>
        </w:rPr>
      </w:pPr>
    </w:p>
    <w:p w:rsidR="00525604" w:rsidRPr="00A34388" w:rsidRDefault="00525604" w:rsidP="00525604">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autoSpaceDE w:val="0"/>
        <w:autoSpaceDN w:val="0"/>
        <w:rPr>
          <w:rFonts w:cs="Arial"/>
          <w:sz w:val="16"/>
          <w:szCs w:val="16"/>
          <w:lang w:val="es-ES_tradnl"/>
        </w:rPr>
      </w:pPr>
    </w:p>
    <w:p w:rsidR="00525604" w:rsidRPr="00A34388" w:rsidRDefault="00525604" w:rsidP="008372FC">
      <w:pPr>
        <w:keepNext/>
        <w:autoSpaceDE w:val="0"/>
        <w:autoSpaceDN w:val="0"/>
        <w:jc w:val="both"/>
        <w:rPr>
          <w:rFonts w:cs="Arial"/>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keepNext/>
        <w:autoSpaceDE w:val="0"/>
        <w:autoSpaceDN w:val="0"/>
        <w:rPr>
          <w:sz w:val="16"/>
          <w:szCs w:val="16"/>
          <w:lang w:val="es-ES_tradnl"/>
        </w:rPr>
      </w:pPr>
    </w:p>
    <w:p w:rsidR="00525604" w:rsidRPr="00A34388" w:rsidRDefault="00525604" w:rsidP="00525604">
      <w:pPr>
        <w:rPr>
          <w:rFonts w:cs="Arial"/>
          <w:szCs w:val="20"/>
          <w:lang w:val="es-ES_tradnl"/>
        </w:rPr>
      </w:pPr>
    </w:p>
    <w:p w:rsidR="00525604" w:rsidRPr="00332758" w:rsidRDefault="00525604" w:rsidP="00525604">
      <w:pPr>
        <w:tabs>
          <w:tab w:val="left" w:pos="709"/>
        </w:tabs>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tabs>
          <w:tab w:val="left" w:pos="709"/>
        </w:tabs>
        <w:rPr>
          <w:rFonts w:cs="Arial"/>
          <w:szCs w:val="20"/>
          <w:lang w:val="es-ES_tradnl"/>
        </w:rPr>
      </w:pPr>
    </w:p>
    <w:p w:rsidR="00525604" w:rsidRPr="00A34388" w:rsidRDefault="00525604" w:rsidP="00525604">
      <w:pPr>
        <w:tabs>
          <w:tab w:val="left" w:pos="709"/>
        </w:tabs>
        <w:jc w:val="both"/>
        <w:rPr>
          <w:rFonts w:cs="Arial"/>
          <w:iCs/>
          <w:szCs w:val="20"/>
          <w:lang w:val="es-ES_tradnl"/>
        </w:rPr>
      </w:pPr>
      <w:r w:rsidRPr="00A34388">
        <w:rPr>
          <w:lang w:val="es-ES_tradnl"/>
        </w:rPr>
        <w:t>31.6.</w:t>
      </w:r>
      <w:r w:rsidRPr="00A34388">
        <w:rPr>
          <w:lang w:val="es-ES_tradnl"/>
        </w:rPr>
        <w:tab/>
        <w:t xml:space="preserve">El presupuesto después de las transferencias refleja un ajuste al alza </w:t>
      </w:r>
      <w:r w:rsidR="00F86CB6" w:rsidRPr="00A34388">
        <w:rPr>
          <w:lang w:val="es-ES_tradnl"/>
        </w:rPr>
        <w:t>motivado por</w:t>
      </w:r>
      <w:r w:rsidRPr="00A34388">
        <w:rPr>
          <w:lang w:val="es-ES_tradnl"/>
        </w:rPr>
        <w:t xml:space="preserve">:  i) </w:t>
      </w:r>
      <w:r w:rsidR="002E726D" w:rsidRPr="00A34388">
        <w:rPr>
          <w:lang w:val="es-ES_tradnl"/>
        </w:rPr>
        <w:t xml:space="preserve">el </w:t>
      </w:r>
      <w:r w:rsidRPr="00A34388">
        <w:rPr>
          <w:lang w:val="es-ES_tradnl"/>
        </w:rPr>
        <w:t xml:space="preserve">aumento de los recursos de personal asignados a actividades de información y promoción en relación con el Sistema de La Haya. </w:t>
      </w:r>
      <w:r w:rsidR="00537926" w:rsidRPr="00A34388">
        <w:rPr>
          <w:lang w:val="es-ES_tradnl"/>
        </w:rPr>
        <w:t xml:space="preserve"> </w:t>
      </w:r>
      <w:r w:rsidRPr="00A34388">
        <w:rPr>
          <w:lang w:val="es-ES_tradnl"/>
        </w:rPr>
        <w:t xml:space="preserve">Esto se refleja </w:t>
      </w:r>
      <w:r w:rsidR="00F526D4" w:rsidRPr="00A34388">
        <w:rPr>
          <w:lang w:val="es-ES_tradnl"/>
        </w:rPr>
        <w:t xml:space="preserve">en </w:t>
      </w:r>
      <w:r w:rsidRPr="00A34388">
        <w:rPr>
          <w:lang w:val="es-ES_tradnl"/>
        </w:rPr>
        <w:t xml:space="preserve">el resultado II.6 (Utilización más amplia y mejor del sistema de La Haya);  y ii) el compromiso de la Organización, en caso de aumento de los niveles de ingresos previstos, de </w:t>
      </w:r>
      <w:r w:rsidR="00F526D4" w:rsidRPr="00A34388">
        <w:rPr>
          <w:lang w:val="es-ES_tradnl"/>
        </w:rPr>
        <w:t xml:space="preserve">restablecer </w:t>
      </w:r>
      <w:r w:rsidRPr="00A34388">
        <w:rPr>
          <w:lang w:val="es-ES_tradnl"/>
        </w:rPr>
        <w:t xml:space="preserve">la reserva para prestaciones pagaderas a los empleados después del servicio, inicialmente </w:t>
      </w:r>
      <w:r w:rsidR="00124EC3" w:rsidRPr="00A34388">
        <w:rPr>
          <w:lang w:val="es-ES_tradnl"/>
        </w:rPr>
        <w:t xml:space="preserve">dotada </w:t>
      </w:r>
      <w:r w:rsidR="00FB33B7" w:rsidRPr="00A34388">
        <w:rPr>
          <w:lang w:val="es-ES_tradnl"/>
        </w:rPr>
        <w:t xml:space="preserve">con un importe </w:t>
      </w:r>
      <w:r w:rsidR="008635F3" w:rsidRPr="00A34388">
        <w:rPr>
          <w:lang w:val="es-ES_tradnl"/>
        </w:rPr>
        <w:t xml:space="preserve">inferior al de </w:t>
      </w:r>
      <w:r w:rsidR="00FB33B7" w:rsidRPr="00A34388">
        <w:rPr>
          <w:lang w:val="es-ES_tradnl"/>
        </w:rPr>
        <w:t xml:space="preserve">los bienios </w:t>
      </w:r>
      <w:r w:rsidRPr="00A34388">
        <w:rPr>
          <w:lang w:val="es-ES_tradnl"/>
        </w:rPr>
        <w:t>anteriores.</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r w:rsidRPr="00332758">
        <w:rPr>
          <w:lang w:val="es-ES_tradnl"/>
        </w:rPr>
        <w:t>31.7.</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tabs>
          <w:tab w:val="left" w:pos="709"/>
        </w:tabs>
        <w:jc w:val="both"/>
        <w:rPr>
          <w:rFonts w:cs="Arial"/>
          <w:szCs w:val="20"/>
          <w:lang w:val="es-ES_tradnl"/>
        </w:rPr>
      </w:pPr>
    </w:p>
    <w:p w:rsidR="00525604" w:rsidRPr="00A34388" w:rsidRDefault="00525604" w:rsidP="00525604">
      <w:pPr>
        <w:keepNext/>
        <w:keepLines/>
        <w:tabs>
          <w:tab w:val="left" w:pos="709"/>
        </w:tabs>
        <w:jc w:val="both"/>
        <w:rPr>
          <w:rFonts w:eastAsia="Batang" w:cs="Arial"/>
          <w:szCs w:val="20"/>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keepNext/>
        <w:keepLines/>
        <w:tabs>
          <w:tab w:val="left" w:pos="709"/>
        </w:tabs>
        <w:jc w:val="both"/>
        <w:rPr>
          <w:rFonts w:eastAsia="Batang" w:cs="Arial"/>
          <w:szCs w:val="20"/>
          <w:u w:val="single"/>
          <w:lang w:val="es-ES_tradnl"/>
        </w:rPr>
      </w:pPr>
    </w:p>
    <w:p w:rsidR="00E924A6" w:rsidRDefault="00525604" w:rsidP="00525604">
      <w:pPr>
        <w:tabs>
          <w:tab w:val="left" w:pos="709"/>
        </w:tabs>
        <w:jc w:val="both"/>
        <w:rPr>
          <w:lang w:val="es-ES_tradnl"/>
        </w:rPr>
      </w:pPr>
      <w:r w:rsidRPr="00A34388">
        <w:rPr>
          <w:lang w:val="es-ES_tradnl"/>
        </w:rPr>
        <w:t>31.8.</w:t>
      </w:r>
      <w:r w:rsidRPr="00A34388">
        <w:rPr>
          <w:lang w:val="es-ES_tradnl"/>
        </w:rPr>
        <w:tab/>
        <w:t xml:space="preserve">El índice de utilización </w:t>
      </w:r>
      <w:r w:rsidR="002E726D" w:rsidRPr="00A34388">
        <w:rPr>
          <w:lang w:val="es-ES_tradnl"/>
        </w:rPr>
        <w:t xml:space="preserve">a cargo del programa </w:t>
      </w:r>
      <w:r w:rsidRPr="00A34388">
        <w:rPr>
          <w:lang w:val="es-ES_tradnl"/>
        </w:rPr>
        <w:t xml:space="preserve">del presupuesto no relativo al personal fue del 79% del presupuesto después de las transferencias.  Esto se debió principalmente al ahorro de costos de franqueo y al retraso de </w:t>
      </w:r>
      <w:r w:rsidR="00124EC3" w:rsidRPr="00A34388">
        <w:rPr>
          <w:lang w:val="es-ES_tradnl"/>
        </w:rPr>
        <w:t xml:space="preserve">la labor </w:t>
      </w:r>
      <w:r w:rsidRPr="00A34388">
        <w:rPr>
          <w:lang w:val="es-ES_tradnl"/>
        </w:rPr>
        <w:t xml:space="preserve">en materia de T.I. como consecuencia del aplazamiento de las adhesiones de determinadas Partes Contratantes, </w:t>
      </w:r>
      <w:r w:rsidR="002E726D" w:rsidRPr="00A34388">
        <w:rPr>
          <w:lang w:val="es-ES_tradnl"/>
        </w:rPr>
        <w:t xml:space="preserve">según se refleja en el </w:t>
      </w:r>
      <w:r w:rsidRPr="00A34388">
        <w:rPr>
          <w:lang w:val="es-ES_tradnl"/>
        </w:rPr>
        <w:t>resultado II.7 (Mejor administración del sistema de La Haya).</w:t>
      </w:r>
    </w:p>
    <w:p w:rsidR="00E924A6" w:rsidRDefault="00E924A6" w:rsidP="00525604">
      <w:pPr>
        <w:tabs>
          <w:tab w:val="left" w:pos="709"/>
        </w:tabs>
        <w:jc w:val="both"/>
        <w:rPr>
          <w:lang w:val="es-ES_tradnl"/>
        </w:rPr>
      </w:pPr>
    </w:p>
    <w:p w:rsidR="00525604" w:rsidRPr="00A34388" w:rsidRDefault="00525604" w:rsidP="00525604">
      <w:pPr>
        <w:tabs>
          <w:tab w:val="left" w:pos="709"/>
        </w:tabs>
        <w:jc w:val="both"/>
        <w:rPr>
          <w:rFonts w:ascii="Arial Bold" w:hAnsi="Arial Bold" w:cs="Arial"/>
          <w:b/>
          <w:bCs/>
          <w:iCs/>
          <w:sz w:val="22"/>
          <w:szCs w:val="28"/>
          <w:lang w:val="es-ES_tradnl"/>
        </w:rPr>
      </w:pPr>
      <w:r w:rsidRPr="00A34388">
        <w:rPr>
          <w:lang w:val="es-ES_tradnl"/>
        </w:rPr>
        <w:br w:type="page"/>
      </w:r>
    </w:p>
    <w:p w:rsidR="00391D6B" w:rsidRPr="003934C8" w:rsidRDefault="00391D6B" w:rsidP="00391D6B">
      <w:pPr>
        <w:pStyle w:val="Heading3"/>
        <w:rPr>
          <w:rFonts w:hint="eastAsia"/>
          <w:lang w:val="es-ES"/>
        </w:rPr>
      </w:pPr>
      <w:bookmarkStart w:id="34" w:name="_Toc395279660"/>
      <w:r w:rsidRPr="003934C8">
        <w:rPr>
          <w:lang w:val="es-ES"/>
        </w:rPr>
        <w:lastRenderedPageBreak/>
        <w:t>Programa 7</w:t>
      </w:r>
      <w:r w:rsidRPr="003934C8">
        <w:rPr>
          <w:lang w:val="es-ES"/>
        </w:rPr>
        <w:tab/>
        <w:t>Arbitraje, mediación y nombres de dominio</w:t>
      </w:r>
      <w:bookmarkEnd w:id="34"/>
    </w:p>
    <w:p w:rsidR="00525604" w:rsidRPr="00391D6B" w:rsidRDefault="00525604" w:rsidP="00525604">
      <w:pPr>
        <w:ind w:left="2268" w:hanging="2268"/>
        <w:rPr>
          <w:b/>
          <w:sz w:val="22"/>
          <w:szCs w:val="22"/>
          <w:lang w:val="es-ES"/>
        </w:rPr>
      </w:pPr>
    </w:p>
    <w:p w:rsidR="00525604" w:rsidRPr="00332758" w:rsidRDefault="00525604" w:rsidP="00525604">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J. C. Wichard</w:t>
      </w:r>
    </w:p>
    <w:p w:rsidR="00525604" w:rsidRPr="00A34388" w:rsidRDefault="00525604" w:rsidP="00525604">
      <w:pPr>
        <w:ind w:left="2268" w:hanging="2268"/>
        <w:rPr>
          <w:b/>
          <w:sz w:val="22"/>
          <w:szCs w:val="22"/>
          <w:lang w:val="es-ES_tradnl"/>
        </w:rPr>
      </w:pPr>
    </w:p>
    <w:p w:rsidR="00525604" w:rsidRPr="00A34388" w:rsidRDefault="00525604" w:rsidP="00525604">
      <w:pPr>
        <w:ind w:left="2268" w:hanging="2268"/>
        <w:rPr>
          <w:b/>
          <w:bCs/>
          <w:sz w:val="22"/>
          <w:szCs w:val="22"/>
          <w:lang w:val="es-ES_tradnl"/>
        </w:rPr>
      </w:pPr>
    </w:p>
    <w:p w:rsidR="00525604" w:rsidRPr="00A34388" w:rsidRDefault="003E3F45" w:rsidP="00525604">
      <w:pPr>
        <w:ind w:left="2268" w:hanging="2268"/>
        <w:rPr>
          <w:rFonts w:cs="Arial"/>
          <w:sz w:val="22"/>
          <w:szCs w:val="22"/>
          <w:lang w:val="es-ES_tradnl"/>
        </w:rPr>
      </w:pPr>
      <w:r>
        <w:rPr>
          <w:sz w:val="22"/>
          <w:lang w:val="es-ES_tradnl"/>
        </w:rPr>
        <w:t>AVANCES LOGRADOS EN EL BIENIO 2012/13</w:t>
      </w:r>
    </w:p>
    <w:p w:rsidR="00525604" w:rsidRPr="00A34388" w:rsidRDefault="00525604" w:rsidP="00525604">
      <w:pPr>
        <w:ind w:left="2268" w:hanging="2268"/>
        <w:rPr>
          <w:b/>
          <w:sz w:val="22"/>
          <w:szCs w:val="22"/>
          <w:lang w:val="es-ES_tradnl"/>
        </w:rPr>
      </w:pPr>
    </w:p>
    <w:p w:rsidR="00525604" w:rsidRPr="00A34388" w:rsidRDefault="00525604" w:rsidP="00525604">
      <w:pPr>
        <w:tabs>
          <w:tab w:val="left" w:pos="709"/>
        </w:tabs>
        <w:jc w:val="both"/>
        <w:rPr>
          <w:rFonts w:cs="Arial"/>
          <w:snapToGrid w:val="0"/>
          <w:lang w:val="es-ES_tradnl"/>
        </w:rPr>
      </w:pPr>
      <w:r w:rsidRPr="00332758">
        <w:rPr>
          <w:snapToGrid w:val="0"/>
          <w:lang w:val="es-ES_tradnl"/>
        </w:rPr>
        <w:t>7.1.</w:t>
      </w:r>
      <w:r w:rsidRPr="00A34388">
        <w:rPr>
          <w:lang w:val="es-ES_tradnl"/>
        </w:rPr>
        <w:tab/>
      </w:r>
      <w:r w:rsidRPr="00332758">
        <w:rPr>
          <w:snapToGrid w:val="0"/>
          <w:lang w:val="es-ES_tradnl"/>
        </w:rPr>
        <w:t>El Centro de Arbitraje y Mediación de la OMPI (“el Centro”) es hoy la principal institución internacional de solución puntual y rentable que sirve de alternativa a los procedimientos judiciales de controversias sobre P.I. y en esa calidad presta asesoramiento en cuestiones jurídicas y de organización y se ocupa de administrar las demandas.</w:t>
      </w:r>
      <w:r w:rsidRPr="00A34388">
        <w:rPr>
          <w:snapToGrid w:val="0"/>
          <w:lang w:val="es-ES_tradnl"/>
        </w:rPr>
        <w:t xml:space="preserve">  </w:t>
      </w:r>
      <w:r w:rsidRPr="00332758">
        <w:rPr>
          <w:snapToGrid w:val="0"/>
          <w:lang w:val="es-ES_tradnl"/>
        </w:rPr>
        <w:t>Ello incluye también la prestación de servicios en casos de controversias sobre nombres de dominio de Internet.</w:t>
      </w:r>
      <w:r w:rsidRPr="00A34388">
        <w:rPr>
          <w:snapToGrid w:val="0"/>
          <w:lang w:val="es-ES_tradnl"/>
        </w:rPr>
        <w:t xml:space="preserve">  </w:t>
      </w:r>
    </w:p>
    <w:p w:rsidR="00525604" w:rsidRPr="00A34388" w:rsidRDefault="00525604" w:rsidP="00525604">
      <w:pPr>
        <w:tabs>
          <w:tab w:val="left" w:pos="709"/>
        </w:tabs>
        <w:jc w:val="both"/>
        <w:rPr>
          <w:snapToGrid w:val="0"/>
          <w:lang w:val="es-ES_tradnl"/>
        </w:rPr>
      </w:pP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r w:rsidRPr="00A34388">
        <w:rPr>
          <w:lang w:val="es-ES_tradnl"/>
        </w:rPr>
        <w:t>7.2.</w:t>
      </w:r>
      <w:r w:rsidRPr="00A34388">
        <w:rPr>
          <w:lang w:val="es-ES_tradnl"/>
        </w:rPr>
        <w:tab/>
        <w:t>En 2012/13, el Centro trabajó para optimizar el potencial de sus procedimientos para satisfacer las necesidades de los titulares de derechos de P.I.</w:t>
      </w:r>
      <w:r w:rsidR="00956D28" w:rsidRPr="00956D28">
        <w:rPr>
          <w:lang w:val="es-ES_tradnl"/>
        </w:rPr>
        <w:t xml:space="preserve"> </w:t>
      </w:r>
      <w:r w:rsidR="00956D28" w:rsidRPr="00A34388">
        <w:rPr>
          <w:lang w:val="es-ES_tradnl"/>
        </w:rPr>
        <w:t>y los usuarios</w:t>
      </w:r>
      <w:r w:rsidR="00956D28">
        <w:rPr>
          <w:lang w:val="es-ES_tradnl"/>
        </w:rPr>
        <w:t>.</w:t>
      </w:r>
      <w:r w:rsidRPr="00A34388">
        <w:rPr>
          <w:lang w:val="es-ES_tradnl"/>
        </w:rPr>
        <w:t xml:space="preserve">  En este</w:t>
      </w:r>
      <w:r w:rsidR="00E924A6">
        <w:rPr>
          <w:lang w:val="es-ES_tradnl"/>
        </w:rPr>
        <w:t xml:space="preserve"> contexto, el Centro publicó en </w:t>
      </w:r>
      <w:r w:rsidRPr="00A34388">
        <w:rPr>
          <w:lang w:val="es-ES_tradnl"/>
        </w:rPr>
        <w:t>2013 un informe sobre los resultados de la Encuesta internacional del Centro de Arbitraje y Mediación de la OMPI sobre solución de controversias en el ámbito de las transacciones de tecnología</w:t>
      </w:r>
      <w:r w:rsidRPr="00A34388">
        <w:rPr>
          <w:rStyle w:val="FootnoteReference"/>
          <w:lang w:val="es-ES_tradnl"/>
        </w:rPr>
        <w:footnoteReference w:id="12"/>
      </w:r>
      <w:r w:rsidRPr="00A34388">
        <w:rPr>
          <w:lang w:val="es-ES_tradnl"/>
        </w:rPr>
        <w:t xml:space="preserve">.  El informe proporciona datos sobre las expectativas y experiencias de los usuarios, además del análisis de estos datos.  El Centro también celebró talleres sobre arbitraje y mediación, y gestionó de forma activa los casos de la OMPI utilizando una infraestructura actualizada de administración de los procedimientos, en particular el mecanismo de la OMPI para la gestión electrónica de las demandas (ECAF).  </w:t>
      </w: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r w:rsidRPr="00332758">
        <w:rPr>
          <w:lang w:val="es-ES_tradnl"/>
        </w:rPr>
        <w:t>7.3.</w:t>
      </w:r>
      <w:r w:rsidRPr="00A34388">
        <w:rPr>
          <w:lang w:val="es-ES_tradnl"/>
        </w:rPr>
        <w:tab/>
      </w:r>
      <w:r w:rsidRPr="00332758">
        <w:rPr>
          <w:lang w:val="es-ES_tradnl"/>
        </w:rPr>
        <w:t xml:space="preserve">El Centro apoyó a las partes interesadas en la P.I. en el establecimiento de procedimientos </w:t>
      </w:r>
      <w:r w:rsidR="00284400" w:rsidRPr="00332758">
        <w:rPr>
          <w:lang w:val="es-ES_tradnl"/>
        </w:rPr>
        <w:t>extrajudiciales</w:t>
      </w:r>
      <w:r w:rsidRPr="00332758">
        <w:rPr>
          <w:lang w:val="es-ES_tradnl"/>
        </w:rPr>
        <w:t xml:space="preserve"> de solución de controversias adaptados a las características específicas de las controversias más frecuentes en sus respectivos sectores de actividad.</w:t>
      </w:r>
      <w:r w:rsidRPr="00A34388">
        <w:rPr>
          <w:lang w:val="es-ES_tradnl"/>
        </w:rPr>
        <w:t xml:space="preserve">  </w:t>
      </w:r>
      <w:r w:rsidRPr="00332758">
        <w:rPr>
          <w:lang w:val="es-ES_tradnl"/>
        </w:rPr>
        <w:t xml:space="preserve">Durante 2012 se resolvieron satisfactoriamente los primeros casos tratados en el marco del nuevo procedimiento conjunto de solución de controversias destinado a facilitar la mediación en las controversias sobre derechos de marca en la Oficina de Propiedad Intelectual de Singapur (IPOS).  </w:t>
      </w:r>
      <w:r w:rsidRPr="00A34388">
        <w:rPr>
          <w:lang w:val="es-ES_tradnl"/>
        </w:rPr>
        <w:t>El Centro ayudó a desarrollar una opción de mediación similar respecto de los procedimientos sobre marcas ante el Instituto Nacional de Propiedad Industrial del Brasil (INPI</w:t>
      </w:r>
      <w:r w:rsidRPr="00A34388">
        <w:rPr>
          <w:lang w:val="es-ES_tradnl"/>
        </w:rPr>
        <w:noBreakHyphen/>
        <w:t xml:space="preserve">Brasil), que </w:t>
      </w:r>
      <w:r w:rsidR="00252F46" w:rsidRPr="00A34388">
        <w:rPr>
          <w:lang w:val="es-ES_tradnl"/>
        </w:rPr>
        <w:t xml:space="preserve">fue puesto </w:t>
      </w:r>
      <w:r w:rsidRPr="00A34388">
        <w:rPr>
          <w:lang w:val="es-ES_tradnl"/>
        </w:rPr>
        <w:t>a disposición de las partes en julio de 2013.</w:t>
      </w: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p>
    <w:p w:rsidR="00525604" w:rsidRPr="00332758" w:rsidRDefault="00525604" w:rsidP="00525604">
      <w:pPr>
        <w:tabs>
          <w:tab w:val="left" w:pos="709"/>
        </w:tabs>
        <w:jc w:val="both"/>
        <w:rPr>
          <w:lang w:val="es-ES_tradnl"/>
        </w:rPr>
      </w:pPr>
      <w:r w:rsidRPr="00332758">
        <w:rPr>
          <w:lang w:val="es-ES_tradnl"/>
        </w:rPr>
        <w:t>7.4.</w:t>
      </w:r>
      <w:r w:rsidRPr="00A34388">
        <w:rPr>
          <w:lang w:val="es-ES_tradnl"/>
        </w:rPr>
        <w:tab/>
      </w:r>
      <w:r w:rsidRPr="00332758">
        <w:rPr>
          <w:lang w:val="es-ES_tradnl"/>
        </w:rPr>
        <w:t xml:space="preserve">En cuanto a la solución de controversias en el ámbito de la cinematografía y los medios de comunicación, en 2012 se firmaron distintos memorandos de entendimiento entre la OMPI y la </w:t>
      </w:r>
      <w:r w:rsidRPr="00332758">
        <w:rPr>
          <w:i/>
          <w:lang w:val="es-ES_tradnl"/>
        </w:rPr>
        <w:t>Korea Creative Content Agency (KOCCA)</w:t>
      </w:r>
      <w:r w:rsidRPr="00332758">
        <w:rPr>
          <w:lang w:val="es-ES_tradnl"/>
        </w:rPr>
        <w:t xml:space="preserve"> y el Ministerio de Cultura, Deporte y Turismo de la República de Corea con el fin de promover servicios de solución extrajudicial de controversias en los sectores relacionados con sus respectivas actividades.</w:t>
      </w: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p>
    <w:p w:rsidR="00525604" w:rsidRPr="00A34388" w:rsidRDefault="00525604" w:rsidP="00525604">
      <w:pPr>
        <w:tabs>
          <w:tab w:val="left" w:pos="709"/>
        </w:tabs>
        <w:jc w:val="both"/>
        <w:rPr>
          <w:lang w:val="es-ES_tradnl"/>
        </w:rPr>
      </w:pPr>
      <w:r w:rsidRPr="00A34388">
        <w:rPr>
          <w:lang w:val="es-ES_tradnl"/>
        </w:rPr>
        <w:t>7.5.</w:t>
      </w:r>
      <w:r w:rsidRPr="00A34388">
        <w:rPr>
          <w:lang w:val="es-ES_tradnl"/>
        </w:rPr>
        <w:tab/>
        <w:t xml:space="preserve">En colaboración con la Secretaría del Instituto Europeo de Normas de Telecomunicación (ETSI), en diciembre de 2013 el Centro empezó a poner a disposición acuerdos tipo que las compañías de la industria de telecomunicaciones pueden utilizar como referencia en controversias relativas a la aplicación de condiciones justas, razonables y no discriminatorias que se sometan conforme al Reglamento de Mediación y Arbitraje (acelerado) de la OMPI, con la finalidad de fomentar una adjudicación rentable desde el punto de vista del costo y del tiempo en condiciones justas, razonables y no discriminatorias. </w:t>
      </w:r>
    </w:p>
    <w:p w:rsidR="00525604" w:rsidRPr="00A34388" w:rsidRDefault="00525604" w:rsidP="00525604">
      <w:pPr>
        <w:tabs>
          <w:tab w:val="left" w:pos="709"/>
        </w:tabs>
        <w:jc w:val="both"/>
        <w:rPr>
          <w:lang w:val="es-ES_tradnl"/>
        </w:rPr>
      </w:pPr>
    </w:p>
    <w:p w:rsidR="00525604" w:rsidRPr="00A34388" w:rsidRDefault="00525604" w:rsidP="00525604">
      <w:pPr>
        <w:tabs>
          <w:tab w:val="left" w:pos="709"/>
        </w:tabs>
        <w:jc w:val="both"/>
        <w:rPr>
          <w:lang w:val="es-ES_tradnl"/>
        </w:rPr>
      </w:pPr>
      <w:r w:rsidRPr="00A34388">
        <w:rPr>
          <w:lang w:val="es-ES_tradnl"/>
        </w:rPr>
        <w:t>7.6.</w:t>
      </w:r>
      <w:r w:rsidRPr="00A34388">
        <w:rPr>
          <w:lang w:val="es-ES_tradnl"/>
        </w:rPr>
        <w:tab/>
        <w:t xml:space="preserve">En el contexto de la colaboración normativa del Centro por lo que respecta a los conflictos en el ámbito de la investigación y el desarrollo, </w:t>
      </w:r>
      <w:r w:rsidR="00956D28">
        <w:rPr>
          <w:lang w:val="es-ES_tradnl"/>
        </w:rPr>
        <w:t xml:space="preserve">cabe señalar que en </w:t>
      </w:r>
      <w:r w:rsidRPr="00A34388">
        <w:rPr>
          <w:lang w:val="es-ES_tradnl"/>
        </w:rPr>
        <w:t xml:space="preserve">la </w:t>
      </w:r>
      <w:r w:rsidR="00956D28" w:rsidRPr="00A34388">
        <w:rPr>
          <w:lang w:val="es-ES_tradnl"/>
        </w:rPr>
        <w:t xml:space="preserve">Guía </w:t>
      </w:r>
      <w:r w:rsidRPr="00A34388">
        <w:rPr>
          <w:lang w:val="es-ES_tradnl"/>
        </w:rPr>
        <w:t>de 2013 de acuerdos de propiedad intelectual</w:t>
      </w:r>
      <w:r w:rsidR="00956D28">
        <w:rPr>
          <w:lang w:val="es-ES_tradnl"/>
        </w:rPr>
        <w:t>, de</w:t>
      </w:r>
      <w:r w:rsidRPr="00A34388">
        <w:rPr>
          <w:lang w:val="es-ES_tradnl"/>
        </w:rPr>
        <w:t xml:space="preserve"> Austria</w:t>
      </w:r>
      <w:r w:rsidR="00956D28">
        <w:rPr>
          <w:lang w:val="es-ES_tradnl"/>
        </w:rPr>
        <w:t>, consta</w:t>
      </w:r>
      <w:r w:rsidRPr="00A34388">
        <w:rPr>
          <w:lang w:val="es-ES_tradnl"/>
        </w:rPr>
        <w:t xml:space="preserve"> una serie de acuerdos tipo que incluyen cláusulas de la OMPI de solución extrajudicial de controversias.  </w:t>
      </w:r>
    </w:p>
    <w:p w:rsidR="00525604" w:rsidRPr="00A34388" w:rsidRDefault="00525604" w:rsidP="00525604">
      <w:pPr>
        <w:tabs>
          <w:tab w:val="left" w:pos="709"/>
        </w:tabs>
        <w:jc w:val="both"/>
        <w:rPr>
          <w:lang w:val="es-ES_tradnl"/>
        </w:rPr>
      </w:pPr>
    </w:p>
    <w:p w:rsidR="00252F46" w:rsidRPr="00A34388" w:rsidRDefault="00525604" w:rsidP="00525604">
      <w:pPr>
        <w:tabs>
          <w:tab w:val="left" w:pos="709"/>
        </w:tabs>
        <w:jc w:val="both"/>
        <w:rPr>
          <w:lang w:val="es-ES_tradnl"/>
        </w:rPr>
      </w:pPr>
      <w:r w:rsidRPr="00A34388">
        <w:rPr>
          <w:lang w:val="es-ES_tradnl"/>
        </w:rPr>
        <w:t>7.7.</w:t>
      </w:r>
      <w:r w:rsidRPr="00A34388">
        <w:rPr>
          <w:lang w:val="es-ES_tradnl"/>
        </w:rPr>
        <w:tab/>
      </w:r>
      <w:r w:rsidR="00252F46" w:rsidRPr="00A34388">
        <w:rPr>
          <w:lang w:val="es-ES_tradnl"/>
        </w:rPr>
        <w:t xml:space="preserve">En el ámbito de los nombres de dominio, en 2012/13 el Centro tramitó 5.469 demandas por ciberocupación respecto de 11.271 nombres de dominio en el marco de procedimientos basados en la Política Uniforme de Solución de Controversias en materia de Nombres de Dominio (Política Uniforme).  En 2012, el Centro desarrolló y puso en funcionamiento el mecanismo de gestión electrónica de demandas en materia de nombres de dominio (DECAF, </w:t>
      </w:r>
      <w:r w:rsidR="001C5AAB" w:rsidRPr="00A34388">
        <w:rPr>
          <w:lang w:val="es-ES_tradnl"/>
        </w:rPr>
        <w:t xml:space="preserve">de </w:t>
      </w:r>
      <w:r w:rsidR="00252F46" w:rsidRPr="00A34388">
        <w:rPr>
          <w:lang w:val="es-ES_tradnl"/>
        </w:rPr>
        <w:t xml:space="preserve">sus siglas en inglés), una plataforma segura de la OMPI para </w:t>
      </w:r>
      <w:r w:rsidR="00854440">
        <w:rPr>
          <w:lang w:val="es-ES_tradnl"/>
        </w:rPr>
        <w:t>la presentación de alegaciones</w:t>
      </w:r>
      <w:r w:rsidR="00252F46" w:rsidRPr="00A34388">
        <w:rPr>
          <w:lang w:val="es-ES_tradnl"/>
        </w:rPr>
        <w:t xml:space="preserve">.  El número total de nombres de dominio en demandas recibidas por la OMPI desde 1999 en virtud de la </w:t>
      </w:r>
      <w:r w:rsidR="00E924A6">
        <w:rPr>
          <w:lang w:val="es-ES_tradnl"/>
        </w:rPr>
        <w:t>Política Uniforme sobrepasa los </w:t>
      </w:r>
      <w:r w:rsidR="00252F46" w:rsidRPr="00A34388">
        <w:rPr>
          <w:lang w:val="es-ES_tradnl"/>
        </w:rPr>
        <w:t>50.000.</w:t>
      </w:r>
    </w:p>
    <w:p w:rsidR="00525604" w:rsidRPr="00A34388" w:rsidRDefault="00525604" w:rsidP="00525604">
      <w:pPr>
        <w:pStyle w:val="Header"/>
        <w:widowControl w:val="0"/>
        <w:tabs>
          <w:tab w:val="left" w:pos="709"/>
          <w:tab w:val="right" w:pos="9000"/>
        </w:tabs>
        <w:autoSpaceDE w:val="0"/>
        <w:autoSpaceDN w:val="0"/>
        <w:adjustRightInd w:val="0"/>
        <w:jc w:val="both"/>
        <w:rPr>
          <w:lang w:val="es-ES_tradnl"/>
        </w:rPr>
      </w:pPr>
    </w:p>
    <w:p w:rsidR="00525604" w:rsidRPr="00A34388" w:rsidRDefault="00525604" w:rsidP="00525604">
      <w:pPr>
        <w:tabs>
          <w:tab w:val="left" w:pos="709"/>
        </w:tabs>
        <w:jc w:val="both"/>
        <w:rPr>
          <w:lang w:val="es-ES_tradnl"/>
        </w:rPr>
      </w:pPr>
      <w:r w:rsidRPr="00332758">
        <w:rPr>
          <w:lang w:val="es-ES_tradnl"/>
        </w:rPr>
        <w:t>7.8.</w:t>
      </w:r>
      <w:r w:rsidRPr="00A34388">
        <w:rPr>
          <w:lang w:val="es-ES_tradnl"/>
        </w:rPr>
        <w:tab/>
      </w:r>
      <w:r w:rsidRPr="00332758">
        <w:rPr>
          <w:lang w:val="es-ES_tradnl"/>
        </w:rPr>
        <w:t xml:space="preserve">La OMPI, prestando especial atención a los nuevos Mecanismos de protección de derechos adoptados por la Corporación de Asignación de Nombres y Números de Internet (ICANN, </w:t>
      </w:r>
      <w:r w:rsidR="001C5AAB" w:rsidRPr="00332758">
        <w:rPr>
          <w:lang w:val="es-ES_tradnl"/>
        </w:rPr>
        <w:t xml:space="preserve">de </w:t>
      </w:r>
      <w:r w:rsidRPr="00332758">
        <w:rPr>
          <w:lang w:val="es-ES_tradnl"/>
        </w:rPr>
        <w:t xml:space="preserve">sus siglas en inglés), puso en marcha actividades significativas en materia de políticas en relación con la </w:t>
      </w:r>
      <w:r w:rsidRPr="00332758">
        <w:rPr>
          <w:lang w:val="es-ES_tradnl"/>
        </w:rPr>
        <w:lastRenderedPageBreak/>
        <w:t xml:space="preserve">introducción de hasta 1.400 nuevos dominios de nivel superior por la ICANN.  </w:t>
      </w:r>
      <w:r w:rsidRPr="00A34388">
        <w:rPr>
          <w:lang w:val="es-ES_tradnl"/>
        </w:rPr>
        <w:t xml:space="preserve">El Centro tramitó 69 demandas como </w:t>
      </w:r>
      <w:r w:rsidR="00854440">
        <w:rPr>
          <w:lang w:val="es-ES_tradnl"/>
        </w:rPr>
        <w:t>proveedor</w:t>
      </w:r>
      <w:r w:rsidRPr="00A34388">
        <w:rPr>
          <w:lang w:val="es-ES_tradnl"/>
        </w:rPr>
        <w:t xml:space="preserve"> de servicios de solución de controversias en el marco de un procedimiento de Objeciones relativas a derechos de terceros “en la fase previa a la adjudicación” elaborado por la OMPI y basado en marcas, cuyos límites se establecen en un informe de la OMPI publicado en diciembre de 2013</w:t>
      </w:r>
      <w:r w:rsidRPr="00A34388">
        <w:rPr>
          <w:rStyle w:val="FootnoteReference"/>
          <w:lang w:val="es-ES_tradnl"/>
        </w:rPr>
        <w:footnoteReference w:id="13"/>
      </w:r>
      <w:r w:rsidRPr="00A34388">
        <w:rPr>
          <w:lang w:val="es-ES_tradnl"/>
        </w:rPr>
        <w:t>.</w:t>
      </w:r>
    </w:p>
    <w:p w:rsidR="00525604" w:rsidRPr="00A34388" w:rsidRDefault="00525604" w:rsidP="00525604">
      <w:pPr>
        <w:pStyle w:val="BodyText"/>
        <w:widowControl w:val="0"/>
        <w:tabs>
          <w:tab w:val="left" w:pos="709"/>
        </w:tabs>
        <w:autoSpaceDE w:val="0"/>
        <w:autoSpaceDN w:val="0"/>
        <w:adjustRightInd w:val="0"/>
        <w:jc w:val="both"/>
        <w:rPr>
          <w:szCs w:val="24"/>
          <w:lang w:val="es-ES_tradnl"/>
        </w:rPr>
      </w:pPr>
    </w:p>
    <w:p w:rsidR="00525604" w:rsidRPr="00A34388" w:rsidRDefault="00525604" w:rsidP="00525604">
      <w:pPr>
        <w:keepNext/>
        <w:keepLines/>
        <w:tabs>
          <w:tab w:val="left" w:pos="709"/>
        </w:tabs>
        <w:jc w:val="both"/>
        <w:rPr>
          <w:rFonts w:cs="Arial"/>
          <w:sz w:val="22"/>
          <w:szCs w:val="22"/>
          <w:lang w:val="es-ES_tradnl"/>
        </w:rPr>
      </w:pPr>
      <w:r w:rsidRPr="00A34388">
        <w:rPr>
          <w:lang w:val="es-ES_tradnl"/>
        </w:rPr>
        <w:t>7.9.</w:t>
      </w:r>
      <w:r w:rsidRPr="00A34388">
        <w:rPr>
          <w:lang w:val="es-ES_tradnl"/>
        </w:rPr>
        <w:tab/>
      </w:r>
      <w:r w:rsidR="002745AE" w:rsidRPr="00A34388">
        <w:rPr>
          <w:lang w:val="es-ES_tradnl"/>
        </w:rPr>
        <w:t>El Centro estableció contactos con los administradores de dominios de nivel superior correspondientes a códigos de países (ccTLD) en diferentes regiones en relación con las políticas de resolución de controversias.  En el bienio 2012/13, el Centro pasó a ser proveedor de servicios para los espacios de dominios .FM (Micronesia (Estados Federados de)), .GD (Granada), .ML (Malí), .PW (Palau) y .TZ (</w:t>
      </w:r>
      <w:r w:rsidR="00246125" w:rsidRPr="00A34388">
        <w:rPr>
          <w:lang w:val="es-ES_tradnl"/>
        </w:rPr>
        <w:t xml:space="preserve">la </w:t>
      </w:r>
      <w:r w:rsidR="002745AE" w:rsidRPr="00A34388">
        <w:rPr>
          <w:lang w:val="es-ES_tradnl"/>
        </w:rPr>
        <w:t xml:space="preserve">República Unida de Tanzanía), con lo que el total de ccTLD que utilizan estos servicios de la OMPI asciende a 70.  </w:t>
      </w:r>
    </w:p>
    <w:p w:rsidR="00525604" w:rsidRPr="00A34388" w:rsidRDefault="00525604" w:rsidP="00525604">
      <w:pPr>
        <w:ind w:left="2268" w:hanging="2268"/>
        <w:rPr>
          <w:b/>
          <w:bCs/>
          <w:sz w:val="22"/>
          <w:szCs w:val="22"/>
          <w:lang w:val="es-ES_tradnl"/>
        </w:rPr>
      </w:pPr>
    </w:p>
    <w:p w:rsidR="00525604" w:rsidRPr="00A34388" w:rsidRDefault="00525604" w:rsidP="00525604">
      <w:pPr>
        <w:ind w:left="2268" w:hanging="2268"/>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A34388" w:rsidRDefault="00525604" w:rsidP="00525604">
      <w:pPr>
        <w:ind w:left="2268" w:hanging="2268"/>
        <w:rPr>
          <w:b/>
          <w:sz w:val="22"/>
          <w:szCs w:val="22"/>
          <w:lang w:val="es-ES_tradnl"/>
        </w:rPr>
      </w:pPr>
    </w:p>
    <w:p w:rsidR="00525604" w:rsidRPr="00A34388" w:rsidRDefault="00525604" w:rsidP="00525604">
      <w:pPr>
        <w:tabs>
          <w:tab w:val="left" w:pos="709"/>
        </w:tabs>
        <w:jc w:val="both"/>
        <w:rPr>
          <w:rFonts w:cs="Arial"/>
          <w:bCs/>
          <w:szCs w:val="20"/>
          <w:lang w:val="es-ES_tradnl"/>
        </w:rPr>
      </w:pPr>
      <w:r w:rsidRPr="00332758">
        <w:rPr>
          <w:lang w:val="es-ES_tradnl"/>
        </w:rPr>
        <w:t>7.10.</w:t>
      </w:r>
      <w:r w:rsidRPr="00A34388">
        <w:rPr>
          <w:lang w:val="es-ES_tradnl"/>
        </w:rPr>
        <w:tab/>
      </w:r>
      <w:r w:rsidRPr="00332758">
        <w:rPr>
          <w:lang w:val="es-ES_tradnl"/>
        </w:rPr>
        <w:t>El diseño, la planificación y la ejecución de las actividades del programa 7 se basaron y se guiaron por las recomendaciones pertinentes de la Agenda para el Desarrollo, en particular por las recomendaciones 1, 6 y 10.  A este respecto, el Centro organizó programas de arbitraje y mediación diseñados  específicamente para funcionarios y profesionales del ámbito de la P.I., brindó asistencia a las oficinas de P.I. para establecer marcos optativos de solución extrajudicial de controversias para casos de controversias pendientes, y también ayudó a las administraciones nacionales de nombres de dominio a establecer las mejores prácticas de registro y los mecanismos más eficaces de solución de controversias, aplicables a los países en desarrollo y países con economías en transición.</w:t>
      </w:r>
      <w:r w:rsidRPr="00A34388">
        <w:rPr>
          <w:lang w:val="es-ES_tradnl"/>
        </w:rPr>
        <w:t xml:space="preserve">  </w:t>
      </w:r>
    </w:p>
    <w:p w:rsidR="00525604" w:rsidRPr="00A34388" w:rsidRDefault="00525604" w:rsidP="00525604">
      <w:pPr>
        <w:rPr>
          <w:rFonts w:cs="Arial"/>
          <w:sz w:val="22"/>
          <w:szCs w:val="22"/>
          <w:lang w:val="es-ES_tradnl"/>
        </w:rPr>
      </w:pPr>
    </w:p>
    <w:p w:rsidR="00525604" w:rsidRPr="00A34388" w:rsidRDefault="00525604" w:rsidP="00525604">
      <w:pPr>
        <w:ind w:left="2268" w:hanging="2268"/>
        <w:rPr>
          <w:rFonts w:cs="Arial"/>
          <w:sz w:val="22"/>
          <w:szCs w:val="22"/>
          <w:lang w:val="es-ES_tradnl"/>
        </w:rPr>
      </w:pPr>
      <w:r w:rsidRPr="00332758">
        <w:rPr>
          <w:sz w:val="22"/>
          <w:lang w:val="es-ES_tradnl"/>
        </w:rPr>
        <w:t>DATOS SOBRE EL RENDIMIENTO</w:t>
      </w:r>
    </w:p>
    <w:p w:rsidR="00525604" w:rsidRPr="00A34388" w:rsidRDefault="00525604" w:rsidP="00525604">
      <w:pPr>
        <w:ind w:left="2268" w:hanging="2268"/>
        <w:rPr>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2047"/>
        <w:gridCol w:w="1606"/>
        <w:gridCol w:w="3073"/>
        <w:gridCol w:w="1276"/>
      </w:tblGrid>
      <w:tr w:rsidR="00525604" w:rsidRPr="00A9508D"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Las controversias nacionales e internacionales en materia de P.I. se evitan o resuelven cada vez con más frecuencia mediante procedimientos de mediación, arbitraje y demás métodos extrajudiciales.</w:t>
            </w:r>
          </w:p>
        </w:tc>
      </w:tr>
      <w:tr w:rsidR="00525604" w:rsidRPr="00A34388" w:rsidTr="00853209">
        <w:tc>
          <w:tcPr>
            <w:tcW w:w="72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94"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58"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42"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r w:rsidRPr="00332758">
              <w:rPr>
                <w:sz w:val="16"/>
                <w:lang w:val="es-ES_tradnl"/>
              </w:rPr>
              <w:t>Cada vez más se considera la posibilidad de utilizar servicios extrajudiciales de solución de controversias en las transacciones sobre P.I., entre otras cosas, valiéndose de los procedimientos de la OMPI.</w:t>
            </w: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269 controversias y 65 </w:t>
            </w:r>
            <w:r w:rsidR="001E7DB7" w:rsidRPr="00A34388">
              <w:rPr>
                <w:color w:val="002060"/>
                <w:sz w:val="16"/>
                <w:lang w:val="es-ES_tradnl"/>
              </w:rPr>
              <w:t xml:space="preserve">buenos oficios </w:t>
            </w:r>
            <w:r w:rsidRPr="00A34388">
              <w:rPr>
                <w:color w:val="002060"/>
                <w:sz w:val="16"/>
                <w:lang w:val="es-ES_tradnl"/>
              </w:rPr>
              <w:t>(fin</w:t>
            </w:r>
            <w:r w:rsidR="00124EC3" w:rsidRPr="00A34388">
              <w:rPr>
                <w:color w:val="002060"/>
                <w:sz w:val="16"/>
                <w:lang w:val="es-ES_tradnl"/>
              </w:rPr>
              <w:t>es</w:t>
            </w:r>
            <w:r w:rsidRPr="00A34388">
              <w:rPr>
                <w:color w:val="002060"/>
                <w:sz w:val="16"/>
                <w:lang w:val="es-ES_tradnl"/>
              </w:rPr>
              <w:t xml:space="preserve"> de 2011)</w:t>
            </w:r>
          </w:p>
          <w:p w:rsidR="00525604" w:rsidRPr="00A34388" w:rsidRDefault="00525604" w:rsidP="00853209">
            <w:pPr>
              <w:rPr>
                <w:rFonts w:cs="Arial"/>
                <w:color w:val="002060"/>
                <w:sz w:val="16"/>
                <w:szCs w:val="16"/>
                <w:lang w:val="es-ES_tradnl"/>
              </w:rPr>
            </w:pPr>
          </w:p>
          <w:p w:rsidR="00525604" w:rsidRPr="00A34388" w:rsidRDefault="00525604" w:rsidP="001E7DB7">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225 controversias y 50 </w:t>
            </w:r>
            <w:r w:rsidR="001E7DB7" w:rsidRPr="00A34388">
              <w:rPr>
                <w:sz w:val="16"/>
                <w:lang w:val="es-ES_tradnl"/>
              </w:rPr>
              <w:t xml:space="preserve">buenos oficios </w:t>
            </w:r>
            <w:r w:rsidRPr="00A34388">
              <w:rPr>
                <w:sz w:val="16"/>
                <w:lang w:val="es-ES_tradnl"/>
              </w:rPr>
              <w:t>(fin</w:t>
            </w:r>
            <w:r w:rsidR="00124EC3" w:rsidRPr="00A34388">
              <w:rPr>
                <w:sz w:val="16"/>
                <w:lang w:val="es-ES_tradnl"/>
              </w:rPr>
              <w:t>es</w:t>
            </w:r>
            <w:r w:rsidRPr="00A34388">
              <w:rPr>
                <w:sz w:val="16"/>
                <w:lang w:val="es-ES_tradnl"/>
              </w:rPr>
              <w:t xml:space="preserve"> de 2010)</w:t>
            </w:r>
          </w:p>
        </w:tc>
        <w:tc>
          <w:tcPr>
            <w:tcW w:w="858" w:type="pct"/>
            <w:shd w:val="clear" w:color="auto" w:fill="auto"/>
            <w:tcMar>
              <w:top w:w="110" w:type="dxa"/>
            </w:tcMar>
          </w:tcPr>
          <w:p w:rsidR="00525604" w:rsidRPr="00A34388" w:rsidRDefault="00525604" w:rsidP="001E7DB7">
            <w:pPr>
              <w:autoSpaceDE w:val="0"/>
              <w:autoSpaceDN w:val="0"/>
              <w:adjustRightInd w:val="0"/>
              <w:rPr>
                <w:rFonts w:cs="Arial"/>
                <w:sz w:val="16"/>
                <w:szCs w:val="16"/>
                <w:lang w:val="es-ES_tradnl"/>
              </w:rPr>
            </w:pPr>
            <w:r w:rsidRPr="00332758">
              <w:rPr>
                <w:sz w:val="16"/>
                <w:lang w:val="es-ES_tradnl"/>
              </w:rPr>
              <w:t xml:space="preserve">20 controversias y </w:t>
            </w:r>
            <w:r w:rsidR="001E7DB7" w:rsidRPr="00332758">
              <w:rPr>
                <w:sz w:val="16"/>
                <w:lang w:val="es-ES_tradnl"/>
              </w:rPr>
              <w:t xml:space="preserve">buenos oficios </w:t>
            </w:r>
            <w:r w:rsidRPr="00332758">
              <w:rPr>
                <w:sz w:val="16"/>
                <w:lang w:val="es-ES_tradnl"/>
              </w:rPr>
              <w:t>adicionales</w:t>
            </w:r>
            <w:r w:rsidRPr="00A34388">
              <w:rPr>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 xml:space="preserve">375 controversias y 95 </w:t>
            </w:r>
            <w:r w:rsidR="001E7DB7" w:rsidRPr="00332758">
              <w:rPr>
                <w:sz w:val="16"/>
                <w:lang w:val="es-ES_tradnl"/>
              </w:rPr>
              <w:t xml:space="preserve">buenos oficios </w:t>
            </w:r>
            <w:r w:rsidRPr="00332758">
              <w:rPr>
                <w:sz w:val="16"/>
                <w:lang w:val="es-ES_tradnl"/>
              </w:rPr>
              <w:t>(en total al final de 2013)</w:t>
            </w:r>
            <w:r w:rsidRPr="00A34388">
              <w:rPr>
                <w:sz w:val="16"/>
                <w:lang w:val="es-ES_tradnl"/>
              </w:rPr>
              <w:t xml:space="preserve"> </w:t>
            </w:r>
          </w:p>
          <w:p w:rsidR="00525604" w:rsidRPr="00A34388" w:rsidRDefault="00525604" w:rsidP="00853209">
            <w:pPr>
              <w:rPr>
                <w:rFonts w:cs="Arial"/>
                <w:sz w:val="16"/>
                <w:szCs w:val="16"/>
                <w:lang w:val="es-ES_tradnl"/>
              </w:rPr>
            </w:pPr>
          </w:p>
          <w:p w:rsidR="00525604" w:rsidRPr="00A34388" w:rsidRDefault="00525604" w:rsidP="001E7DB7">
            <w:pPr>
              <w:rPr>
                <w:rFonts w:cs="Arial"/>
                <w:sz w:val="16"/>
                <w:szCs w:val="16"/>
                <w:lang w:val="es-ES_tradnl"/>
              </w:rPr>
            </w:pPr>
            <w:r w:rsidRPr="00A34388">
              <w:rPr>
                <w:sz w:val="16"/>
                <w:lang w:val="es-ES_tradnl"/>
              </w:rPr>
              <w:t>136 controversias (mediaciones, arbitrajes y decisiones de expertos) y buenos oficios</w:t>
            </w:r>
            <w:r w:rsidR="001E7DB7" w:rsidRPr="00A34388">
              <w:rPr>
                <w:sz w:val="16"/>
                <w:lang w:val="es-ES_tradnl"/>
              </w:rPr>
              <w:t xml:space="preserve"> adicionales</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p>
        </w:tc>
        <w:tc>
          <w:tcPr>
            <w:tcW w:w="1094" w:type="pct"/>
            <w:shd w:val="clear" w:color="auto" w:fill="auto"/>
          </w:tcPr>
          <w:p w:rsidR="00525604" w:rsidRPr="00A34388" w:rsidRDefault="00525604" w:rsidP="00853209">
            <w:pPr>
              <w:rPr>
                <w:rFonts w:cs="Arial"/>
                <w:sz w:val="16"/>
                <w:szCs w:val="16"/>
                <w:lang w:val="es-ES_tradnl"/>
              </w:rPr>
            </w:pPr>
            <w:r w:rsidRPr="00332758">
              <w:rPr>
                <w:sz w:val="16"/>
                <w:lang w:val="es-ES_tradnl"/>
              </w:rPr>
              <w:t>Resultados de la encuesta del Centro</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Resultados de la encuesta del Centro</w:t>
            </w:r>
            <w:r w:rsidRPr="00A34388">
              <w:rPr>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Publicación del informe sobre los resultados de la Encuesta internacional del Centro de Arbitraje y Mediación de la OMPI sobre solución de controversias en el ámbito de las transacciones de tecnología</w:t>
            </w:r>
            <w:r w:rsidRPr="00A34388">
              <w:rPr>
                <w:rStyle w:val="FootnoteReference"/>
                <w:sz w:val="16"/>
                <w:lang w:val="es-ES_tradnl"/>
              </w:rPr>
              <w:footnoteReference w:id="14"/>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4.000 consultas recibidas (2010/11)</w:t>
            </w:r>
          </w:p>
          <w:p w:rsidR="00525604" w:rsidRPr="00A34388" w:rsidRDefault="00525604" w:rsidP="00853209">
            <w:pPr>
              <w:rPr>
                <w:rFonts w:cs="Arial"/>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2.000 consultas recibidas (2010)</w:t>
            </w:r>
          </w:p>
        </w:tc>
        <w:tc>
          <w:tcPr>
            <w:tcW w:w="85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4.000 consultas</w:t>
            </w:r>
          </w:p>
          <w:p w:rsidR="00525604" w:rsidRPr="00A34388" w:rsidRDefault="00525604" w:rsidP="00853209">
            <w:pPr>
              <w:rPr>
                <w:rFonts w:cs="Arial"/>
                <w:sz w:val="16"/>
                <w:szCs w:val="16"/>
                <w:lang w:val="es-ES_tradnl"/>
              </w:rPr>
            </w:pPr>
            <w:r w:rsidRPr="00A34388">
              <w:rPr>
                <w:sz w:val="16"/>
                <w:lang w:val="es-ES_tradnl"/>
              </w:rPr>
              <w:t xml:space="preserve">adicionales </w:t>
            </w:r>
          </w:p>
        </w:tc>
        <w:tc>
          <w:tcPr>
            <w:tcW w:w="1642" w:type="pct"/>
            <w:shd w:val="clear" w:color="auto" w:fill="FFFFFF"/>
            <w:tcMar>
              <w:top w:w="110" w:type="dxa"/>
            </w:tcMar>
          </w:tcPr>
          <w:p w:rsidR="00525604" w:rsidRPr="00A34388" w:rsidRDefault="00525604" w:rsidP="001E7DB7">
            <w:pPr>
              <w:rPr>
                <w:rFonts w:cs="Arial"/>
                <w:sz w:val="16"/>
                <w:szCs w:val="16"/>
                <w:lang w:val="es-ES_tradnl"/>
              </w:rPr>
            </w:pPr>
            <w:r w:rsidRPr="00A34388">
              <w:rPr>
                <w:sz w:val="16"/>
                <w:lang w:val="es-ES_tradnl"/>
              </w:rPr>
              <w:t>4.000 consultas</w:t>
            </w:r>
            <w:r w:rsidR="001E7DB7" w:rsidRPr="00A34388">
              <w:rPr>
                <w:sz w:val="16"/>
                <w:lang w:val="es-ES_tradnl"/>
              </w:rPr>
              <w:t xml:space="preserve"> adicionales </w:t>
            </w:r>
            <w:r w:rsidRPr="00A34388">
              <w:rPr>
                <w:sz w:val="16"/>
                <w:lang w:val="es-ES_tradnl"/>
              </w:rPr>
              <w:t xml:space="preserve">recibidas </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 xml:space="preserve">30 </w:t>
            </w:r>
            <w:r w:rsidRPr="00A34388">
              <w:rPr>
                <w:color w:val="002060"/>
                <w:sz w:val="16"/>
                <w:lang w:val="es-ES_tradnl"/>
              </w:rPr>
              <w:lastRenderedPageBreak/>
              <w:t>millones de visitas al sitio web (2010/11).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15 millones de visitas al sitio web (2010)</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lastRenderedPageBreak/>
              <w:t xml:space="preserve">30 millones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3,5 millones de visitas adicionales</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p>
        </w:tc>
        <w:tc>
          <w:tcPr>
            <w:tcW w:w="1094" w:type="pct"/>
            <w:shd w:val="clear" w:color="auto" w:fill="auto"/>
          </w:tcPr>
          <w:p w:rsidR="00525604" w:rsidRPr="00910203" w:rsidRDefault="00525604" w:rsidP="00853209">
            <w:pPr>
              <w:autoSpaceDE w:val="0"/>
              <w:autoSpaceDN w:val="0"/>
              <w:adjustRightInd w:val="0"/>
              <w:rPr>
                <w:rFonts w:cs="Arial"/>
                <w:i/>
                <w:color w:val="002060"/>
                <w:sz w:val="16"/>
                <w:szCs w:val="16"/>
                <w:lang w:val="es-ES_tradnl"/>
              </w:rPr>
            </w:pPr>
            <w:r w:rsidRPr="00910203">
              <w:rPr>
                <w:i/>
                <w:color w:val="002060"/>
                <w:sz w:val="16"/>
                <w:lang w:val="es-ES_tradnl"/>
              </w:rPr>
              <w:t>Referencia actualizada a fines de 2011:</w:t>
            </w:r>
            <w:r w:rsidRPr="00910203">
              <w:rPr>
                <w:color w:val="002060"/>
                <w:sz w:val="16"/>
                <w:lang w:val="es-ES_tradnl"/>
              </w:rPr>
              <w:t xml:space="preserve">  276 participantes en las actividades anuales del Centro (2010/11);   3.000 participantes en las actividades externas del Centro (2010/11)</w:t>
            </w:r>
          </w:p>
          <w:p w:rsidR="00525604" w:rsidRPr="00A34388" w:rsidRDefault="00525604" w:rsidP="00853209">
            <w:pPr>
              <w:rPr>
                <w:rFonts w:cs="Arial"/>
                <w:sz w:val="16"/>
                <w:szCs w:val="16"/>
                <w:lang w:val="es-ES_tradnl"/>
              </w:rPr>
            </w:pPr>
          </w:p>
        </w:tc>
        <w:tc>
          <w:tcPr>
            <w:tcW w:w="858" w:type="pct"/>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A34388">
              <w:rPr>
                <w:sz w:val="16"/>
                <w:lang w:val="es-ES_tradnl"/>
              </w:rPr>
              <w:t>250 participantes en las actividades anuales del Centro;  6.000 participantes</w:t>
            </w:r>
          </w:p>
          <w:p w:rsidR="00525604" w:rsidRPr="00A34388" w:rsidRDefault="00525604" w:rsidP="00853209">
            <w:pPr>
              <w:rPr>
                <w:rFonts w:cs="Arial"/>
                <w:sz w:val="16"/>
                <w:szCs w:val="16"/>
                <w:lang w:val="es-ES_tradnl"/>
              </w:rPr>
            </w:pPr>
            <w:r w:rsidRPr="00A34388">
              <w:rPr>
                <w:sz w:val="16"/>
                <w:lang w:val="es-ES_tradnl"/>
              </w:rPr>
              <w:t>en las actividades externas del Centro</w:t>
            </w:r>
          </w:p>
        </w:tc>
        <w:tc>
          <w:tcPr>
            <w:tcW w:w="1642" w:type="pct"/>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408 participantes en las actividades anuales del Centro.</w:t>
            </w:r>
          </w:p>
          <w:p w:rsidR="00525604" w:rsidRPr="0033275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4.000 participantes en las actividades externas del Centro.</w:t>
            </w:r>
          </w:p>
        </w:tc>
        <w:tc>
          <w:tcPr>
            <w:tcW w:w="682" w:type="pct"/>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E36C0A" w:themeColor="accent6" w:themeShade="BF"/>
                <w:sz w:val="16"/>
                <w:lang w:val="es-ES_tradnl"/>
              </w:rPr>
              <w:t>Parcialmente</w:t>
            </w:r>
            <w:r w:rsidRPr="00A34388">
              <w:rPr>
                <w:rFonts w:cs="Arial"/>
                <w:bCs/>
                <w:color w:val="E36C0A" w:themeColor="accent6" w:themeShade="BF"/>
                <w:sz w:val="16"/>
                <w:szCs w:val="16"/>
                <w:lang w:val="es-ES_tradnl"/>
              </w:rPr>
              <w:br/>
            </w:r>
            <w:r w:rsidRPr="00A34388">
              <w:rPr>
                <w:color w:val="E36C0A" w:themeColor="accent6" w:themeShade="BF"/>
                <w:sz w:val="16"/>
                <w:lang w:val="es-ES_tradnl"/>
              </w:rPr>
              <w:t>logrado</w:t>
            </w:r>
          </w:p>
        </w:tc>
      </w:tr>
      <w:tr w:rsidR="00525604" w:rsidRPr="00A9508D" w:rsidTr="00853209">
        <w:tc>
          <w:tcPr>
            <w:tcW w:w="724" w:type="pct"/>
            <w:shd w:val="clear" w:color="auto" w:fill="auto"/>
          </w:tcPr>
          <w:p w:rsidR="00525604" w:rsidRPr="00A34388" w:rsidRDefault="00525604" w:rsidP="00853209">
            <w:pPr>
              <w:keepNext/>
              <w:keepLines/>
              <w:rPr>
                <w:rFonts w:cs="Arial"/>
                <w:sz w:val="16"/>
                <w:szCs w:val="16"/>
                <w:lang w:val="es-ES_tradnl"/>
              </w:rPr>
            </w:pPr>
          </w:p>
        </w:tc>
        <w:tc>
          <w:tcPr>
            <w:tcW w:w="1094" w:type="pct"/>
            <w:shd w:val="clear" w:color="auto" w:fill="auto"/>
          </w:tcPr>
          <w:p w:rsidR="00525604" w:rsidRPr="00A34388" w:rsidRDefault="00525604" w:rsidP="00853209">
            <w:pPr>
              <w:keepNext/>
              <w:keepLines/>
              <w:autoSpaceDE w:val="0"/>
              <w:autoSpaceDN w:val="0"/>
              <w:adjustRightInd w:val="0"/>
              <w:rPr>
                <w:rFonts w:cs="Arial"/>
                <w:i/>
                <w:color w:val="002060"/>
                <w:sz w:val="16"/>
                <w:szCs w:val="16"/>
                <w:lang w:val="es-ES_tradnl"/>
              </w:rPr>
            </w:pPr>
            <w:r w:rsidRPr="00A34388">
              <w:rPr>
                <w:i/>
                <w:sz w:val="16"/>
                <w:lang w:val="es-ES_tradnl"/>
              </w:rPr>
              <w:t>Referencia original Presup. por prog. 2012/13:</w:t>
            </w:r>
            <w:r w:rsidRPr="00A34388">
              <w:rPr>
                <w:sz w:val="16"/>
                <w:lang w:val="es-ES_tradnl"/>
              </w:rPr>
              <w:t xml:space="preserve">  125 participantes en las actividades anuales del Centro (2010);  </w:t>
            </w:r>
            <w:r w:rsidRPr="00A34388">
              <w:rPr>
                <w:rFonts w:cs="Arial"/>
                <w:sz w:val="16"/>
                <w:szCs w:val="16"/>
                <w:lang w:val="es-ES_tradnl"/>
              </w:rPr>
              <w:br/>
            </w:r>
            <w:r w:rsidRPr="00A34388">
              <w:rPr>
                <w:sz w:val="16"/>
                <w:lang w:val="es-ES_tradnl"/>
              </w:rPr>
              <w:t>3.000 participantes en las actividades externas del Centro (2010)</w:t>
            </w:r>
          </w:p>
        </w:tc>
        <w:tc>
          <w:tcPr>
            <w:tcW w:w="858" w:type="pct"/>
            <w:shd w:val="clear" w:color="auto" w:fill="auto"/>
            <w:tcMar>
              <w:top w:w="110" w:type="dxa"/>
            </w:tcMar>
          </w:tcPr>
          <w:p w:rsidR="00525604" w:rsidRPr="00A34388" w:rsidRDefault="00525604" w:rsidP="00853209">
            <w:pPr>
              <w:keepNext/>
              <w:keepLines/>
              <w:autoSpaceDE w:val="0"/>
              <w:autoSpaceDN w:val="0"/>
              <w:adjustRightInd w:val="0"/>
              <w:rPr>
                <w:rFonts w:cs="Arial"/>
                <w:sz w:val="16"/>
                <w:szCs w:val="16"/>
                <w:lang w:val="es-ES_tradnl"/>
              </w:rPr>
            </w:pPr>
          </w:p>
        </w:tc>
        <w:tc>
          <w:tcPr>
            <w:tcW w:w="1642" w:type="pct"/>
            <w:shd w:val="clear" w:color="auto" w:fill="FFFFFF"/>
            <w:tcMar>
              <w:top w:w="110" w:type="dxa"/>
            </w:tcMar>
          </w:tcPr>
          <w:p w:rsidR="00525604" w:rsidRPr="00A34388" w:rsidRDefault="00525604" w:rsidP="00853209">
            <w:pPr>
              <w:keepNext/>
              <w:keepLines/>
              <w:rPr>
                <w:rFonts w:cs="Arial"/>
                <w:sz w:val="16"/>
                <w:szCs w:val="16"/>
                <w:lang w:val="es-ES_tradnl"/>
              </w:rPr>
            </w:pPr>
          </w:p>
        </w:tc>
        <w:tc>
          <w:tcPr>
            <w:tcW w:w="682" w:type="pct"/>
            <w:shd w:val="clear" w:color="auto" w:fill="auto"/>
            <w:tcMar>
              <w:top w:w="110" w:type="dxa"/>
            </w:tcMar>
          </w:tcPr>
          <w:p w:rsidR="00525604" w:rsidRPr="00A34388" w:rsidRDefault="00525604" w:rsidP="00853209">
            <w:pPr>
              <w:keepNext/>
              <w:keepLines/>
              <w:jc w:val="center"/>
              <w:rPr>
                <w:rFonts w:cs="Arial"/>
                <w:bCs/>
                <w:color w:val="E36C0A" w:themeColor="accent6" w:themeShade="BF"/>
                <w:sz w:val="16"/>
                <w:szCs w:val="16"/>
                <w:lang w:val="es-ES_tradnl"/>
              </w:rPr>
            </w:pPr>
          </w:p>
        </w:tc>
      </w:tr>
      <w:tr w:rsidR="00525604" w:rsidRPr="00A34388" w:rsidTr="00853209">
        <w:tc>
          <w:tcPr>
            <w:tcW w:w="72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 xml:space="preserve">Políticas de solución </w:t>
            </w:r>
            <w:r w:rsidR="00284400" w:rsidRPr="00332758">
              <w:rPr>
                <w:sz w:val="16"/>
                <w:lang w:val="es-ES_tradnl"/>
              </w:rPr>
              <w:t>extrajudicial</w:t>
            </w:r>
            <w:r w:rsidRPr="00332758">
              <w:rPr>
                <w:sz w:val="16"/>
                <w:lang w:val="es-ES_tradnl"/>
              </w:rPr>
              <w:t xml:space="preserve"> de controversias a cuyo desarrollo y aplicación ha contribuido el Centro de Arbitraje y Mediación de la OMPI.</w:t>
            </w:r>
          </w:p>
          <w:p w:rsidR="00525604" w:rsidRPr="00A34388" w:rsidRDefault="00525604" w:rsidP="00853209">
            <w:pPr>
              <w:rPr>
                <w:rFonts w:cs="Arial"/>
                <w:sz w:val="16"/>
                <w:szCs w:val="16"/>
                <w:lang w:val="es-ES_tradnl"/>
              </w:rPr>
            </w:pPr>
          </w:p>
        </w:tc>
        <w:tc>
          <w:tcPr>
            <w:tcW w:w="1094"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Adopción de regímenes especiales (AGICOA, cine y medios de comunicación, EGEDA).</w:t>
            </w:r>
          </w:p>
        </w:tc>
        <w:tc>
          <w:tcPr>
            <w:tcW w:w="858"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332758">
              <w:rPr>
                <w:sz w:val="16"/>
                <w:lang w:val="es-ES_tradnl"/>
              </w:rPr>
              <w:t>De uno a tres nuevos regímenes especiales.</w:t>
            </w:r>
          </w:p>
        </w:tc>
        <w:tc>
          <w:tcPr>
            <w:tcW w:w="1642" w:type="pct"/>
            <w:tcBorders>
              <w:bottom w:val="single" w:sz="4" w:space="0" w:color="auto"/>
            </w:tcBorders>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Cuatro regímenes adoptados (ETSI, INPI</w:t>
            </w:r>
            <w:r w:rsidRPr="00A34388">
              <w:rPr>
                <w:lang w:val="es-ES_tradnl"/>
              </w:rPr>
              <w:noBreakHyphen/>
            </w:r>
            <w:r w:rsidRPr="00A34388">
              <w:rPr>
                <w:sz w:val="16"/>
                <w:lang w:val="es-ES_tradnl"/>
              </w:rPr>
              <w:t>Brasil, IPAG, IPOS)</w:t>
            </w:r>
          </w:p>
        </w:tc>
        <w:tc>
          <w:tcPr>
            <w:tcW w:w="682" w:type="pct"/>
            <w:tcBorders>
              <w:bottom w:val="single" w:sz="4" w:space="0" w:color="auto"/>
            </w:tcBorders>
            <w:shd w:val="clear" w:color="auto" w:fill="auto"/>
            <w:tcMar>
              <w:top w:w="110" w:type="dxa"/>
            </w:tcMar>
          </w:tcPr>
          <w:p w:rsidR="00525604" w:rsidRPr="00332758" w:rsidRDefault="00525604"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9508D" w:rsidTr="00853209">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Protección eficaz de la propiedad intelectual en los gTLD y los ccTLD.</w:t>
            </w:r>
          </w:p>
        </w:tc>
      </w:tr>
      <w:tr w:rsidR="00525604" w:rsidRPr="00A34388" w:rsidTr="000557C0">
        <w:tc>
          <w:tcPr>
            <w:tcW w:w="724"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1094"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858"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42"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c>
          <w:tcPr>
            <w:tcW w:w="724" w:type="pct"/>
            <w:shd w:val="clear" w:color="auto" w:fill="FFFFFF"/>
          </w:tcPr>
          <w:p w:rsidR="00525604" w:rsidRPr="00A34388" w:rsidRDefault="00525604" w:rsidP="00853209">
            <w:pPr>
              <w:rPr>
                <w:rFonts w:cs="Arial"/>
                <w:sz w:val="16"/>
                <w:szCs w:val="16"/>
                <w:lang w:val="es-ES_tradnl"/>
              </w:rPr>
            </w:pPr>
            <w:r w:rsidRPr="00332758">
              <w:rPr>
                <w:sz w:val="16"/>
                <w:lang w:val="es-ES_tradnl"/>
              </w:rPr>
              <w:t>Número de demandas relativas a los gTLD tramitadas en virtud de la Política Uniforme.</w:t>
            </w: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20.095 demandas relativas a gTLD (fin</w:t>
            </w:r>
            <w:r w:rsidR="00293A53" w:rsidRPr="00A34388">
              <w:rPr>
                <w:color w:val="002060"/>
                <w:sz w:val="16"/>
                <w:lang w:val="es-ES_tradnl"/>
              </w:rPr>
              <w:t>es</w:t>
            </w:r>
            <w:r w:rsidRPr="00A34388">
              <w:rPr>
                <w:color w:val="002060"/>
                <w:sz w:val="16"/>
                <w:lang w:val="es-ES_tradnl"/>
              </w:rPr>
              <w:t xml:space="preserve">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17.772 demandas relativas a gTLD (fin</w:t>
            </w:r>
            <w:r w:rsidR="00293A53" w:rsidRPr="00A34388">
              <w:rPr>
                <w:sz w:val="16"/>
                <w:lang w:val="es-ES_tradnl"/>
              </w:rPr>
              <w:t>es</w:t>
            </w:r>
            <w:r w:rsidRPr="00A34388">
              <w:rPr>
                <w:sz w:val="16"/>
                <w:lang w:val="es-ES_tradnl"/>
              </w:rPr>
              <w:t xml:space="preserve"> de 2010)</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3.500 demandas adicionales</w:t>
            </w:r>
            <w:r w:rsidRPr="00A34388">
              <w:rPr>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24.901 demandas relativas a gTLD (en total al final de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332758">
              <w:rPr>
                <w:sz w:val="16"/>
                <w:lang w:val="es-ES_tradnl"/>
              </w:rPr>
              <w:t>4.806 demandas adicionales relativas a gTLD</w:t>
            </w:r>
          </w:p>
        </w:tc>
        <w:tc>
          <w:tcPr>
            <w:tcW w:w="682" w:type="pct"/>
            <w:shd w:val="clear" w:color="auto" w:fill="auto"/>
            <w:tcMar>
              <w:top w:w="110" w:type="dxa"/>
            </w:tcMar>
          </w:tcPr>
          <w:p w:rsidR="00525604" w:rsidRPr="00A34388" w:rsidRDefault="00525604"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demandas relativas a los ccTLD tramitadas en virtud de la Política Uniforme.</w:t>
            </w:r>
          </w:p>
        </w:tc>
        <w:tc>
          <w:tcPr>
            <w:tcW w:w="1094" w:type="pct"/>
            <w:shd w:val="clear" w:color="auto" w:fill="auto"/>
          </w:tcPr>
          <w:p w:rsidR="00525604" w:rsidRPr="00A34388" w:rsidRDefault="00525604" w:rsidP="00853209">
            <w:pPr>
              <w:autoSpaceDE w:val="0"/>
              <w:autoSpaceDN w:val="0"/>
              <w:adjustRightInd w:val="0"/>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2.135 demandas relacionadas únicamente con ccTLD administradas por el Centro de Arbitraje (fin</w:t>
            </w:r>
            <w:r w:rsidR="00293A53" w:rsidRPr="00A34388">
              <w:rPr>
                <w:color w:val="002060"/>
                <w:sz w:val="16"/>
                <w:lang w:val="es-ES_tradnl"/>
              </w:rPr>
              <w:t>es</w:t>
            </w:r>
            <w:r w:rsidRPr="00A34388">
              <w:rPr>
                <w:color w:val="002060"/>
                <w:sz w:val="16"/>
                <w:lang w:val="es-ES_tradnl"/>
              </w:rPr>
              <w:t xml:space="preserve">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p>
          <w:p w:rsidR="00525604" w:rsidRPr="00A34388" w:rsidRDefault="00525604" w:rsidP="00853209">
            <w:pPr>
              <w:rPr>
                <w:rFonts w:cs="Arial"/>
                <w:sz w:val="16"/>
                <w:szCs w:val="16"/>
                <w:lang w:val="es-ES_tradnl"/>
              </w:rPr>
            </w:pPr>
            <w:r w:rsidRPr="00332758">
              <w:rPr>
                <w:sz w:val="16"/>
                <w:lang w:val="es-ES_tradnl"/>
              </w:rPr>
              <w:t>1.694 demandas relacionadas únicamente con ccTLD administradas por el Centro de Arbitraje (fin</w:t>
            </w:r>
            <w:r w:rsidR="001E7DB7" w:rsidRPr="00332758">
              <w:rPr>
                <w:sz w:val="16"/>
                <w:lang w:val="es-ES_tradnl"/>
              </w:rPr>
              <w:t>es de</w:t>
            </w:r>
            <w:r w:rsidRPr="00332758">
              <w:rPr>
                <w:sz w:val="16"/>
                <w:lang w:val="es-ES_tradnl"/>
              </w:rPr>
              <w:t xml:space="preserve"> 2010).</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350 demandas adicionales</w:t>
            </w:r>
            <w:r w:rsidRPr="00A34388">
              <w:rPr>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t>2.788 demandas relacionadas únicamente con ccTLD (en total al final de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sz w:val="16"/>
                <w:lang w:val="es-ES_tradnl"/>
              </w:rPr>
              <w:t xml:space="preserve">663 demandas adicionales relacionadas únicamente con ccTLD </w:t>
            </w:r>
          </w:p>
        </w:tc>
        <w:tc>
          <w:tcPr>
            <w:tcW w:w="682"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r w:rsidRPr="00332758">
              <w:rPr>
                <w:sz w:val="16"/>
                <w:lang w:val="es-ES_tradnl"/>
              </w:rPr>
              <w:t xml:space="preserve">Políticas de solución de controversias en el sistema de nombres de dominio a cuyo desarrollo y </w:t>
            </w:r>
            <w:r w:rsidRPr="00332758">
              <w:rPr>
                <w:sz w:val="16"/>
                <w:lang w:val="es-ES_tradnl"/>
              </w:rPr>
              <w:lastRenderedPageBreak/>
              <w:t>aplicación ha contribuido el Centro de Arbitraje y Mediación de la OMPI.</w:t>
            </w:r>
          </w:p>
        </w:tc>
        <w:tc>
          <w:tcPr>
            <w:tcW w:w="1094" w:type="pct"/>
            <w:shd w:val="clear" w:color="auto" w:fill="auto"/>
          </w:tcPr>
          <w:p w:rsidR="00525604" w:rsidRPr="00910203" w:rsidRDefault="00525604" w:rsidP="00853209">
            <w:pPr>
              <w:autoSpaceDE w:val="0"/>
              <w:autoSpaceDN w:val="0"/>
              <w:adjustRightInd w:val="0"/>
              <w:rPr>
                <w:rFonts w:cs="Arial"/>
                <w:i/>
                <w:color w:val="002060"/>
                <w:sz w:val="16"/>
                <w:szCs w:val="16"/>
                <w:lang w:val="es-ES_tradnl"/>
              </w:rPr>
            </w:pPr>
            <w:r w:rsidRPr="00910203">
              <w:rPr>
                <w:i/>
                <w:color w:val="002060"/>
                <w:sz w:val="16"/>
                <w:lang w:val="es-ES_tradnl"/>
              </w:rPr>
              <w:lastRenderedPageBreak/>
              <w:t>Referencia actualizada a fines de 2011:</w:t>
            </w:r>
            <w:r w:rsidRPr="00910203">
              <w:rPr>
                <w:color w:val="002060"/>
                <w:sz w:val="16"/>
                <w:lang w:val="es-ES_tradnl"/>
              </w:rPr>
              <w:t xml:space="preserve">  Política Uniforme de solución de Controversias en materia de Nombres de Dominio (única adoptada hasta el fin de 2011, desde varios </w:t>
            </w:r>
            <w:r w:rsidRPr="00910203">
              <w:rPr>
                <w:color w:val="002060"/>
                <w:sz w:val="16"/>
                <w:lang w:val="es-ES_tradnl"/>
              </w:rPr>
              <w:lastRenderedPageBreak/>
              <w:t>años antes).</w:t>
            </w:r>
          </w:p>
          <w:p w:rsidR="00525604" w:rsidRPr="00332758" w:rsidRDefault="00525604" w:rsidP="00853209">
            <w:pPr>
              <w:rPr>
                <w:rFonts w:cs="Arial"/>
                <w:i/>
                <w:sz w:val="8"/>
                <w:szCs w:val="8"/>
                <w:lang w:val="es-ES_tradnl"/>
              </w:rPr>
            </w:pPr>
          </w:p>
          <w:p w:rsidR="00525604" w:rsidRPr="00332758" w:rsidRDefault="00525604" w:rsidP="00853209">
            <w:pPr>
              <w:rPr>
                <w:rFonts w:cs="Arial"/>
                <w:sz w:val="16"/>
                <w:szCs w:val="16"/>
                <w:lang w:val="es-ES_tradnl"/>
              </w:rPr>
            </w:pPr>
            <w:r w:rsidRPr="00332758">
              <w:rPr>
                <w:i/>
                <w:sz w:val="16"/>
                <w:lang w:val="es-ES_tradnl"/>
              </w:rPr>
              <w:t>Referencia original en el presupuesto por programas de 2012/13:</w:t>
            </w:r>
            <w:r w:rsidRPr="00332758">
              <w:rPr>
                <w:sz w:val="16"/>
                <w:lang w:val="es-ES_tradnl"/>
              </w:rPr>
              <w:t xml:space="preserve">  Política Uniforme de solución de Controversias en materia de Nombres de Dominio (única adoptada hasta el fin de 2010, desde varios años antes).</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lastRenderedPageBreak/>
              <w:t>Aplicación en el sistema de nombres de dominio</w:t>
            </w:r>
          </w:p>
          <w:p w:rsidR="00525604" w:rsidRPr="00A34388" w:rsidRDefault="00525604" w:rsidP="00853209">
            <w:pPr>
              <w:rPr>
                <w:rFonts w:cs="Arial"/>
                <w:sz w:val="16"/>
                <w:szCs w:val="16"/>
                <w:lang w:val="es-ES_tradnl"/>
              </w:rPr>
            </w:pPr>
            <w:r w:rsidRPr="00A34388">
              <w:rPr>
                <w:sz w:val="16"/>
                <w:lang w:val="es-ES_tradnl"/>
              </w:rPr>
              <w:t>de las recomendaciones de la OMPI</w:t>
            </w:r>
          </w:p>
          <w:p w:rsidR="00525604" w:rsidRPr="00A34388" w:rsidRDefault="00525604" w:rsidP="00853209">
            <w:pPr>
              <w:rPr>
                <w:rFonts w:cs="Arial"/>
                <w:sz w:val="16"/>
                <w:szCs w:val="16"/>
                <w:lang w:val="es-ES_tradnl"/>
              </w:rPr>
            </w:pPr>
            <w:r w:rsidRPr="00A34388">
              <w:rPr>
                <w:sz w:val="16"/>
                <w:lang w:val="es-ES_tradnl"/>
              </w:rPr>
              <w:lastRenderedPageBreak/>
              <w:t>sobre políticas y procedimientos</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A34388">
              <w:rPr>
                <w:sz w:val="16"/>
                <w:lang w:val="es-ES_tradnl"/>
              </w:rPr>
              <w:lastRenderedPageBreak/>
              <w:t>Acreditación del Centro de la OMPI por la ICANN en el marco del procedimiento de objeciones relativas a derechos de terceros “en la fase previa a la adjudicación”</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sz w:val="16"/>
                <w:lang w:val="es-ES_tradnl"/>
              </w:rPr>
              <w:t xml:space="preserve">Acreditación del Centro de la OMPI por </w:t>
            </w:r>
            <w:r w:rsidRPr="00A34388">
              <w:rPr>
                <w:sz w:val="16"/>
                <w:lang w:val="es-ES_tradnl"/>
              </w:rPr>
              <w:lastRenderedPageBreak/>
              <w:t>la ICANN en el marco del procedimiento de solución de controversias en relación con las marcas en la fase posterior a la adjudicación</w:t>
            </w:r>
          </w:p>
        </w:tc>
        <w:tc>
          <w:tcPr>
            <w:tcW w:w="682" w:type="pct"/>
            <w:shd w:val="clear" w:color="auto" w:fill="auto"/>
            <w:tcMar>
              <w:top w:w="110" w:type="dxa"/>
            </w:tcMar>
          </w:tcPr>
          <w:p w:rsidR="00525604" w:rsidRPr="00A34388" w:rsidRDefault="00525604" w:rsidP="00853209">
            <w:pPr>
              <w:keepNext/>
              <w:keepLines/>
              <w:spacing w:after="120"/>
              <w:jc w:val="center"/>
              <w:rPr>
                <w:rFonts w:cs="Arial"/>
                <w:bCs/>
                <w:color w:val="008000"/>
                <w:sz w:val="16"/>
                <w:szCs w:val="16"/>
                <w:lang w:val="es-ES_tradnl"/>
              </w:rPr>
            </w:pPr>
            <w:r w:rsidRPr="00A34388">
              <w:rPr>
                <w:color w:val="008000"/>
                <w:sz w:val="16"/>
                <w:lang w:val="es-ES_tradnl"/>
              </w:rPr>
              <w:lastRenderedPageBreak/>
              <w:t>Plenamente</w:t>
            </w:r>
            <w:r w:rsidRPr="00A34388">
              <w:rPr>
                <w:rFonts w:cs="Arial"/>
                <w:bCs/>
                <w:color w:val="008000"/>
                <w:sz w:val="16"/>
                <w:szCs w:val="16"/>
                <w:lang w:val="es-ES_tradnl"/>
              </w:rPr>
              <w:br/>
            </w:r>
            <w:r w:rsidRPr="00A34388">
              <w:rPr>
                <w:color w:val="008000"/>
                <w:sz w:val="16"/>
                <w:lang w:val="es-ES_tradnl"/>
              </w:rPr>
              <w:t>logrado</w:t>
            </w:r>
          </w:p>
        </w:tc>
      </w:tr>
      <w:tr w:rsidR="00525604" w:rsidRPr="00A34388" w:rsidTr="00853209">
        <w:tc>
          <w:tcPr>
            <w:tcW w:w="724" w:type="pct"/>
            <w:shd w:val="clear" w:color="auto" w:fill="auto"/>
          </w:tcPr>
          <w:p w:rsidR="00525604" w:rsidRPr="00A34388" w:rsidRDefault="00525604" w:rsidP="00853209">
            <w:pPr>
              <w:rPr>
                <w:rFonts w:cs="Arial"/>
                <w:sz w:val="16"/>
                <w:szCs w:val="16"/>
                <w:lang w:val="es-ES_tradnl"/>
              </w:rPr>
            </w:pPr>
            <w:r w:rsidRPr="00332758">
              <w:rPr>
                <w:sz w:val="16"/>
                <w:lang w:val="es-ES_tradnl"/>
              </w:rPr>
              <w:lastRenderedPageBreak/>
              <w:t>Número de administradores de ccTLD que disponen de mecanismos de protección de P.I. mejor concebidos o administrados, de conformidad con las normas internacionales.</w:t>
            </w:r>
          </w:p>
          <w:p w:rsidR="00525604" w:rsidRPr="00A34388" w:rsidRDefault="00525604" w:rsidP="00853209">
            <w:pPr>
              <w:rPr>
                <w:rFonts w:cs="Arial"/>
                <w:sz w:val="16"/>
                <w:szCs w:val="16"/>
                <w:lang w:val="es-ES_tradnl"/>
              </w:rPr>
            </w:pPr>
          </w:p>
        </w:tc>
        <w:tc>
          <w:tcPr>
            <w:tcW w:w="1094"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  </w:t>
            </w:r>
            <w:r w:rsidRPr="00A34388">
              <w:rPr>
                <w:color w:val="002060"/>
                <w:sz w:val="16"/>
                <w:lang w:val="es-ES_tradnl"/>
              </w:rPr>
              <w:t>65 administradores de ccTLD (fin</w:t>
            </w:r>
            <w:r w:rsidR="00727123" w:rsidRPr="00A34388">
              <w:rPr>
                <w:color w:val="002060"/>
                <w:sz w:val="16"/>
                <w:lang w:val="es-ES_tradnl"/>
              </w:rPr>
              <w:t>es</w:t>
            </w:r>
            <w:r w:rsidRPr="00A34388">
              <w:rPr>
                <w:color w:val="002060"/>
                <w:sz w:val="16"/>
                <w:lang w:val="es-ES_tradnl"/>
              </w:rPr>
              <w:t xml:space="preserve"> </w:t>
            </w:r>
            <w:r w:rsidR="00727123" w:rsidRPr="00A34388">
              <w:rPr>
                <w:color w:val="002060"/>
                <w:sz w:val="16"/>
                <w:lang w:val="es-ES_tradnl"/>
              </w:rPr>
              <w:t xml:space="preserve">de </w:t>
            </w:r>
            <w:r w:rsidRPr="00A34388">
              <w:rPr>
                <w:color w:val="002060"/>
                <w:sz w:val="16"/>
                <w:lang w:val="es-ES_tradnl"/>
              </w:rPr>
              <w:t>2011)</w:t>
            </w:r>
          </w:p>
          <w:p w:rsidR="00525604" w:rsidRPr="00A34388" w:rsidRDefault="00525604" w:rsidP="00853209">
            <w:pPr>
              <w:rPr>
                <w:rFonts w:cs="Arial"/>
                <w:i/>
                <w:color w:val="002060"/>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65 administradores de ccTLD (fin</w:t>
            </w:r>
            <w:r w:rsidR="00727123" w:rsidRPr="00A34388">
              <w:rPr>
                <w:sz w:val="16"/>
                <w:lang w:val="es-ES_tradnl"/>
              </w:rPr>
              <w:t>es</w:t>
            </w:r>
            <w:r w:rsidRPr="00A34388">
              <w:rPr>
                <w:sz w:val="16"/>
                <w:lang w:val="es-ES_tradnl"/>
              </w:rPr>
              <w:t xml:space="preserve"> </w:t>
            </w:r>
            <w:r w:rsidR="00727123" w:rsidRPr="00A34388">
              <w:rPr>
                <w:sz w:val="16"/>
                <w:lang w:val="es-ES_tradnl"/>
              </w:rPr>
              <w:t xml:space="preserve">de </w:t>
            </w:r>
            <w:r w:rsidRPr="00A34388">
              <w:rPr>
                <w:sz w:val="16"/>
                <w:lang w:val="es-ES_tradnl"/>
              </w:rPr>
              <w:t>2010)</w:t>
            </w:r>
          </w:p>
        </w:tc>
        <w:tc>
          <w:tcPr>
            <w:tcW w:w="858"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Seis administradores</w:t>
            </w:r>
          </w:p>
          <w:p w:rsidR="00525604" w:rsidRPr="00A34388" w:rsidRDefault="00525604" w:rsidP="00853209">
            <w:pPr>
              <w:rPr>
                <w:rFonts w:cs="Arial"/>
                <w:color w:val="993300"/>
                <w:sz w:val="16"/>
                <w:szCs w:val="16"/>
                <w:lang w:val="es-ES_tradnl"/>
              </w:rPr>
            </w:pPr>
            <w:r w:rsidRPr="00A34388">
              <w:rPr>
                <w:sz w:val="16"/>
                <w:lang w:val="es-ES_tradnl"/>
              </w:rPr>
              <w:t>adicionales</w:t>
            </w:r>
            <w:r w:rsidRPr="00A34388">
              <w:rPr>
                <w:color w:val="993300"/>
                <w:sz w:val="16"/>
                <w:lang w:val="es-ES_tradnl"/>
              </w:rPr>
              <w:t xml:space="preserve"> </w:t>
            </w:r>
          </w:p>
        </w:tc>
        <w:tc>
          <w:tcPr>
            <w:tcW w:w="1642"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70 administradores de ccTLD (en total al final de 2013).</w:t>
            </w:r>
          </w:p>
          <w:p w:rsidR="00525604" w:rsidRPr="00A34388" w:rsidRDefault="00525604" w:rsidP="00853209">
            <w:pPr>
              <w:rPr>
                <w:rFonts w:cs="Arial"/>
                <w:sz w:val="16"/>
                <w:szCs w:val="16"/>
                <w:lang w:val="es-ES_tradnl"/>
              </w:rPr>
            </w:pPr>
          </w:p>
          <w:p w:rsidR="00525604" w:rsidRPr="00A34388" w:rsidRDefault="00525604" w:rsidP="00853209">
            <w:pPr>
              <w:rPr>
                <w:rFonts w:cs="Arial"/>
                <w:sz w:val="16"/>
                <w:szCs w:val="16"/>
                <w:lang w:val="es-ES_tradnl"/>
              </w:rPr>
            </w:pPr>
            <w:r w:rsidRPr="00A34388">
              <w:rPr>
                <w:sz w:val="16"/>
                <w:lang w:val="es-ES_tradnl"/>
              </w:rPr>
              <w:t>Cinco administradores adicionales de ccTLD</w:t>
            </w:r>
          </w:p>
        </w:tc>
        <w:tc>
          <w:tcPr>
            <w:tcW w:w="682"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525604" w:rsidRPr="00A34388" w:rsidRDefault="00525604" w:rsidP="00525604">
      <w:pPr>
        <w:rPr>
          <w:rFonts w:cs="Arial"/>
          <w:sz w:val="22"/>
          <w:szCs w:val="22"/>
          <w:lang w:val="es-ES_tradnl"/>
        </w:rPr>
      </w:pPr>
    </w:p>
    <w:p w:rsidR="00525604" w:rsidRPr="00A34388" w:rsidRDefault="00525604" w:rsidP="00525604">
      <w:pPr>
        <w:rPr>
          <w:rFonts w:cs="Arial"/>
          <w:sz w:val="22"/>
          <w:szCs w:val="22"/>
          <w:lang w:val="es-ES_tradnl"/>
        </w:rPr>
      </w:pPr>
    </w:p>
    <w:p w:rsidR="00525604" w:rsidRPr="00A34388" w:rsidRDefault="00525604" w:rsidP="00525604">
      <w:pPr>
        <w:rPr>
          <w:rFonts w:cs="Arial"/>
          <w:sz w:val="22"/>
          <w:szCs w:val="22"/>
          <w:lang w:val="es-ES_tradnl"/>
        </w:rPr>
      </w:pPr>
      <w:r w:rsidRPr="00332758">
        <w:rPr>
          <w:sz w:val="22"/>
          <w:lang w:val="es-ES_tradnl"/>
        </w:rPr>
        <w:t>PRESUPUESTO Y GASTOS REALES</w:t>
      </w:r>
    </w:p>
    <w:p w:rsidR="00525604" w:rsidRPr="00A34388" w:rsidRDefault="00525604" w:rsidP="00525604">
      <w:pPr>
        <w:rPr>
          <w:rFonts w:cs="Arial"/>
          <w:sz w:val="22"/>
          <w:szCs w:val="22"/>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525604" w:rsidRPr="00A34388" w:rsidRDefault="00525604" w:rsidP="00525604">
      <w:pPr>
        <w:rPr>
          <w:rFonts w:cs="Arial"/>
          <w:sz w:val="22"/>
          <w:szCs w:val="22"/>
          <w:lang w:val="es-ES_tradnl"/>
        </w:rPr>
      </w:pPr>
    </w:p>
    <w:tbl>
      <w:tblPr>
        <w:tblW w:w="0" w:type="auto"/>
        <w:tblInd w:w="103" w:type="dxa"/>
        <w:tblLayout w:type="fixed"/>
        <w:tblLook w:val="04A0" w:firstRow="1" w:lastRow="0" w:firstColumn="1" w:lastColumn="0" w:noHBand="0" w:noVBand="1"/>
      </w:tblPr>
      <w:tblGrid>
        <w:gridCol w:w="567"/>
        <w:gridCol w:w="4258"/>
        <w:gridCol w:w="1512"/>
        <w:gridCol w:w="1512"/>
        <w:gridCol w:w="1512"/>
      </w:tblGrid>
      <w:tr w:rsidR="00525604" w:rsidRPr="00A34388" w:rsidTr="0085320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567"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II.11</w:t>
            </w:r>
          </w:p>
        </w:tc>
        <w:tc>
          <w:tcPr>
            <w:tcW w:w="4258"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Las controversias nacionales e internacionales en materia de P.I. se evitan o resuelven cada vez con más frecuencia mediante procedimientos de mediación, arbitraje y demás métodos extrajudiciales.</w:t>
            </w:r>
          </w:p>
        </w:tc>
        <w:tc>
          <w:tcPr>
            <w:tcW w:w="1512"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3.175 </w:t>
            </w:r>
          </w:p>
        </w:tc>
        <w:tc>
          <w:tcPr>
            <w:tcW w:w="1512"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3.541 </w:t>
            </w:r>
          </w:p>
        </w:tc>
        <w:tc>
          <w:tcPr>
            <w:tcW w:w="1512"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3.424 </w:t>
            </w:r>
          </w:p>
        </w:tc>
      </w:tr>
      <w:tr w:rsidR="00525604" w:rsidRPr="00A34388" w:rsidTr="00853209">
        <w:tc>
          <w:tcPr>
            <w:tcW w:w="567"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II.12</w:t>
            </w:r>
          </w:p>
        </w:tc>
        <w:tc>
          <w:tcPr>
            <w:tcW w:w="4258"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Protección eficaz de la propiedad intelectual en los gTLD y los ccTLD.</w:t>
            </w:r>
          </w:p>
        </w:tc>
        <w:tc>
          <w:tcPr>
            <w:tcW w:w="1512"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7.409 </w:t>
            </w:r>
          </w:p>
        </w:tc>
        <w:tc>
          <w:tcPr>
            <w:tcW w:w="1512"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6.623 </w:t>
            </w:r>
          </w:p>
        </w:tc>
        <w:tc>
          <w:tcPr>
            <w:tcW w:w="1512"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6.390</w:t>
            </w:r>
          </w:p>
        </w:tc>
      </w:tr>
      <w:tr w:rsidR="00525604" w:rsidRPr="00A34388" w:rsidTr="00853209">
        <w:tc>
          <w:tcPr>
            <w:tcW w:w="567"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258"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10.585 </w:t>
            </w:r>
          </w:p>
        </w:tc>
        <w:tc>
          <w:tcPr>
            <w:tcW w:w="1512"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10.164</w:t>
            </w:r>
          </w:p>
        </w:tc>
        <w:tc>
          <w:tcPr>
            <w:tcW w:w="1512"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9.814</w:t>
            </w:r>
          </w:p>
        </w:tc>
      </w:tr>
    </w:tbl>
    <w:p w:rsidR="00525604" w:rsidRPr="00A34388" w:rsidRDefault="00525604" w:rsidP="00525604">
      <w:pPr>
        <w:rPr>
          <w:rFonts w:cs="Arial"/>
          <w:sz w:val="22"/>
          <w:szCs w:val="22"/>
          <w:lang w:val="es-ES_tradnl"/>
        </w:rPr>
      </w:pPr>
    </w:p>
    <w:p w:rsidR="00525604" w:rsidRPr="00A34388" w:rsidRDefault="00525604" w:rsidP="00525604">
      <w:pPr>
        <w:rPr>
          <w:rFonts w:cs="Arial"/>
          <w:sz w:val="22"/>
          <w:szCs w:val="22"/>
          <w:lang w:val="es-ES_tradnl"/>
        </w:rPr>
      </w:pPr>
    </w:p>
    <w:p w:rsidR="00AC4B89" w:rsidRDefault="00AC4B89">
      <w:pPr>
        <w:rPr>
          <w:rFonts w:cs="Arial"/>
          <w:color w:val="000000"/>
          <w:szCs w:val="18"/>
          <w:lang w:val="es-ES_tradnl"/>
        </w:rPr>
      </w:pPr>
      <w:r>
        <w:rPr>
          <w:color w:val="000000"/>
          <w:lang w:val="es-ES_tradnl"/>
        </w:rPr>
        <w:br w:type="page"/>
      </w: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lastRenderedPageBreak/>
        <w:t>Presupuesto y gastos reales (de personal y no relativos al personal)</w:t>
      </w:r>
    </w:p>
    <w:p w:rsidR="00525604" w:rsidRPr="00332758" w:rsidRDefault="00525604" w:rsidP="00525604">
      <w:pPr>
        <w:jc w:val="center"/>
        <w:rPr>
          <w:rFonts w:cs="Arial"/>
          <w:szCs w:val="20"/>
          <w:lang w:val="es-ES_tradnl"/>
        </w:rPr>
      </w:pPr>
      <w:r w:rsidRPr="00332758">
        <w:rPr>
          <w:i/>
          <w:lang w:val="es-ES_tradnl"/>
        </w:rPr>
        <w:t>(en miles de francos suizos)</w:t>
      </w:r>
    </w:p>
    <w:p w:rsidR="00525604" w:rsidRPr="00A34388" w:rsidRDefault="00525604" w:rsidP="00525604">
      <w:pPr>
        <w:rPr>
          <w:rFonts w:cs="Arial"/>
          <w:sz w:val="22"/>
          <w:szCs w:val="22"/>
          <w:lang w:val="es-ES_tradnl"/>
        </w:rPr>
      </w:pPr>
    </w:p>
    <w:tbl>
      <w:tblPr>
        <w:tblW w:w="9371" w:type="dxa"/>
        <w:tblInd w:w="93" w:type="dxa"/>
        <w:tblLook w:val="04A0" w:firstRow="1" w:lastRow="0" w:firstColumn="1" w:lastColumn="0" w:noHBand="0" w:noVBand="1"/>
      </w:tblPr>
      <w:tblGrid>
        <w:gridCol w:w="2425"/>
        <w:gridCol w:w="1736"/>
        <w:gridCol w:w="1737"/>
        <w:gridCol w:w="1736"/>
        <w:gridCol w:w="1737"/>
      </w:tblGrid>
      <w:tr w:rsidR="00525604" w:rsidRPr="00A34388" w:rsidTr="00853209">
        <w:trPr>
          <w:trHeight w:val="53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jc w:val="center"/>
              <w:rPr>
                <w:rFonts w:cs="Arial"/>
                <w:bCs/>
                <w:color w:val="000000"/>
                <w:sz w:val="16"/>
                <w:szCs w:val="16"/>
                <w:lang w:val="es-ES_tradnl"/>
              </w:rPr>
            </w:pPr>
            <w:r w:rsidRPr="00332758">
              <w:rPr>
                <w:sz w:val="16"/>
                <w:lang w:val="es-ES_tradnl"/>
              </w:rPr>
              <w:t>Índice de utilización</w:t>
            </w:r>
          </w:p>
        </w:tc>
      </w:tr>
      <w:tr w:rsidR="00525604" w:rsidRPr="00A34388" w:rsidTr="0085320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9.634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8.686</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8.686</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sz w:val="16"/>
                <w:szCs w:val="16"/>
                <w:lang w:val="es-ES_tradnl"/>
              </w:rPr>
            </w:pPr>
            <w:r w:rsidRPr="00332758">
              <w:rPr>
                <w:sz w:val="16"/>
                <w:lang w:val="es-ES_tradnl"/>
              </w:rPr>
              <w:t>100%</w:t>
            </w:r>
          </w:p>
        </w:tc>
      </w:tr>
      <w:tr w:rsidR="00525604" w:rsidRPr="00A34388" w:rsidTr="0085320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951</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1.478</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color w:val="808080"/>
                <w:sz w:val="16"/>
                <w:szCs w:val="16"/>
                <w:lang w:val="es-ES_tradnl"/>
              </w:rPr>
            </w:pPr>
            <w:r w:rsidRPr="00332758">
              <w:rPr>
                <w:sz w:val="16"/>
                <w:lang w:val="es-ES_tradnl"/>
              </w:rPr>
              <w:t>1.128</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sz w:val="16"/>
                <w:szCs w:val="16"/>
                <w:lang w:val="es-ES_tradnl"/>
              </w:rPr>
            </w:pPr>
            <w:r w:rsidRPr="00332758">
              <w:rPr>
                <w:sz w:val="16"/>
                <w:lang w:val="es-ES_tradnl"/>
              </w:rPr>
              <w:t>76%</w:t>
            </w:r>
          </w:p>
        </w:tc>
      </w:tr>
      <w:tr w:rsidR="00525604" w:rsidRPr="00A34388" w:rsidTr="0085320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10.585</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10.164</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jc w:val="center"/>
              <w:rPr>
                <w:rFonts w:cs="Arial"/>
                <w:b/>
                <w:bCs/>
                <w:color w:val="808080"/>
                <w:sz w:val="16"/>
                <w:szCs w:val="16"/>
                <w:lang w:val="es-ES_tradnl"/>
              </w:rPr>
            </w:pPr>
            <w:r w:rsidRPr="00332758">
              <w:rPr>
                <w:b/>
                <w:sz w:val="16"/>
                <w:lang w:val="es-ES_tradnl"/>
              </w:rPr>
              <w:t>9.814</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jc w:val="center"/>
              <w:rPr>
                <w:rFonts w:cs="Arial"/>
                <w:b/>
                <w:bCs/>
                <w:sz w:val="16"/>
                <w:szCs w:val="16"/>
                <w:lang w:val="es-ES_tradnl"/>
              </w:rPr>
            </w:pPr>
            <w:r w:rsidRPr="00332758">
              <w:rPr>
                <w:b/>
                <w:sz w:val="16"/>
                <w:lang w:val="es-ES_tradnl"/>
              </w:rPr>
              <w:t>97%</w:t>
            </w:r>
          </w:p>
        </w:tc>
      </w:tr>
    </w:tbl>
    <w:p w:rsidR="00525604" w:rsidRPr="00A34388" w:rsidRDefault="00525604" w:rsidP="00525604">
      <w:pPr>
        <w:rPr>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NOTAS:</w:t>
      </w:r>
    </w:p>
    <w:p w:rsidR="00525604" w:rsidRPr="00A34388" w:rsidRDefault="00525604" w:rsidP="00525604">
      <w:pPr>
        <w:keepNext/>
        <w:autoSpaceDE w:val="0"/>
        <w:autoSpaceDN w:val="0"/>
        <w:rPr>
          <w:sz w:val="16"/>
          <w:szCs w:val="16"/>
          <w:lang w:val="es-ES_tradnl"/>
        </w:rPr>
      </w:pPr>
    </w:p>
    <w:p w:rsidR="00525604" w:rsidRPr="00A34388" w:rsidRDefault="00525604" w:rsidP="00525604">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autoSpaceDE w:val="0"/>
        <w:autoSpaceDN w:val="0"/>
        <w:rPr>
          <w:sz w:val="16"/>
          <w:szCs w:val="16"/>
          <w:lang w:val="es-ES_tradnl"/>
        </w:rPr>
      </w:pPr>
    </w:p>
    <w:p w:rsidR="00525604" w:rsidRPr="00A34388" w:rsidRDefault="00525604" w:rsidP="008372FC">
      <w:pPr>
        <w:keepNext/>
        <w:autoSpaceDE w:val="0"/>
        <w:autoSpaceDN w:val="0"/>
        <w:jc w:val="both"/>
        <w:rPr>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rPr>
          <w:lang w:val="es-ES_tradnl"/>
        </w:rPr>
      </w:pPr>
    </w:p>
    <w:p w:rsidR="00525604" w:rsidRPr="00A34388" w:rsidRDefault="00525604" w:rsidP="00525604">
      <w:pPr>
        <w:rPr>
          <w:lang w:val="es-ES_tradnl"/>
        </w:rPr>
      </w:pPr>
    </w:p>
    <w:p w:rsidR="00525604" w:rsidRPr="00332758" w:rsidRDefault="00525604" w:rsidP="00525604">
      <w:pPr>
        <w:pStyle w:val="ListParagraph"/>
        <w:ind w:left="0"/>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pStyle w:val="ListParagraph"/>
        <w:rPr>
          <w:lang w:val="es-ES_tradnl"/>
        </w:rPr>
      </w:pPr>
    </w:p>
    <w:p w:rsidR="00525604" w:rsidRPr="00A34388" w:rsidRDefault="00525604" w:rsidP="00525604">
      <w:pPr>
        <w:pStyle w:val="ListParagraph"/>
        <w:tabs>
          <w:tab w:val="left" w:pos="709"/>
        </w:tabs>
        <w:ind w:left="0"/>
        <w:jc w:val="both"/>
        <w:rPr>
          <w:lang w:val="es-ES_tradnl"/>
        </w:rPr>
      </w:pPr>
      <w:r w:rsidRPr="00332758">
        <w:rPr>
          <w:lang w:val="es-ES_tradnl"/>
        </w:rPr>
        <w:t>7.11.</w:t>
      </w:r>
      <w:r w:rsidRPr="00A34388">
        <w:rPr>
          <w:lang w:val="es-ES_tradnl"/>
        </w:rPr>
        <w:tab/>
      </w:r>
      <w:r w:rsidRPr="00332758">
        <w:rPr>
          <w:lang w:val="es-ES_tradnl"/>
        </w:rPr>
        <w:t xml:space="preserve">El presupuesto de 2012/13 después de las transferencias refleja el traspaso de recursos de personal a recursos no relativos al personal como consecuencia de la aplicación de la reforma de los contratos a partir de enero de 2013.  </w:t>
      </w:r>
      <w:r w:rsidRPr="00A34388">
        <w:rPr>
          <w:lang w:val="es-ES_tradnl"/>
        </w:rPr>
        <w:t xml:space="preserve">En el presupuesto aprobado para 2012/13, los costos de contratos de trabajo </w:t>
      </w:r>
      <w:r w:rsidR="00854440">
        <w:rPr>
          <w:lang w:val="es-ES_tradnl"/>
        </w:rPr>
        <w:t>especial</w:t>
      </w:r>
      <w:r w:rsidRPr="00A34388">
        <w:rPr>
          <w:lang w:val="es-ES_tradnl"/>
        </w:rPr>
        <w:t xml:space="preserve"> se consideraron parte de los costos de personal.  </w:t>
      </w:r>
      <w:r w:rsidRPr="00332758">
        <w:rPr>
          <w:lang w:val="es-ES_tradnl"/>
        </w:rPr>
        <w:t>En el marco de la reforma de los contratos de trabajo, se estableció un programa de becas de la OMPI en el Centro de Arbitraje y Mediación en 2013 con el propósito de formalizar el arreglo por conducto del cual la Organización proporciona a jóvenes profesionales experiencia en la administración de casos que refuerce sus conocimientos y su competencia profesional en las esferas comprendidas en los cometidos del Centro de Arbitraje y Mediación.</w:t>
      </w:r>
      <w:r w:rsidRPr="00A34388">
        <w:rPr>
          <w:lang w:val="es-ES_tradnl"/>
        </w:rPr>
        <w:t xml:space="preserve">  </w:t>
      </w:r>
      <w:r w:rsidRPr="00332758">
        <w:rPr>
          <w:lang w:val="es-ES_tradnl"/>
        </w:rPr>
        <w:t xml:space="preserve">Por consiguiente, el presupuesto de estas becas se ha transferido a los costos no relativos al personal de 2013. </w:t>
      </w:r>
    </w:p>
    <w:p w:rsidR="00525604" w:rsidRPr="00A34388" w:rsidRDefault="00525604" w:rsidP="00525604">
      <w:pPr>
        <w:pStyle w:val="ListParagraph"/>
        <w:ind w:left="0"/>
        <w:jc w:val="both"/>
        <w:rPr>
          <w:lang w:val="es-ES_tradnl"/>
        </w:rPr>
      </w:pPr>
    </w:p>
    <w:p w:rsidR="00525604" w:rsidRPr="00A34388" w:rsidRDefault="00525604" w:rsidP="00525604">
      <w:pPr>
        <w:pStyle w:val="ListParagraph"/>
        <w:tabs>
          <w:tab w:val="left" w:pos="709"/>
        </w:tabs>
        <w:ind w:left="0"/>
        <w:jc w:val="both"/>
        <w:rPr>
          <w:lang w:val="es-ES_tradnl"/>
        </w:rPr>
      </w:pPr>
      <w:r w:rsidRPr="00A34388">
        <w:rPr>
          <w:lang w:val="es-ES_tradnl"/>
        </w:rPr>
        <w:t>7.12.</w:t>
      </w:r>
      <w:r w:rsidRPr="00A34388">
        <w:rPr>
          <w:lang w:val="es-ES_tradnl"/>
        </w:rPr>
        <w:tab/>
        <w:t xml:space="preserve">El ajuste al alza </w:t>
      </w:r>
      <w:r w:rsidR="0028143B" w:rsidRPr="00A34388">
        <w:rPr>
          <w:lang w:val="es-ES_tradnl"/>
        </w:rPr>
        <w:t xml:space="preserve">reflejado en el </w:t>
      </w:r>
      <w:r w:rsidRPr="00A34388">
        <w:rPr>
          <w:lang w:val="es-ES_tradnl"/>
        </w:rPr>
        <w:t xml:space="preserve">resultado II.11 (Las controversias nacionales e internacionales en materia de P.I.) </w:t>
      </w:r>
      <w:r w:rsidR="009E0D38" w:rsidRPr="00A34388">
        <w:rPr>
          <w:lang w:val="es-ES_tradnl"/>
        </w:rPr>
        <w:t xml:space="preserve">responde al </w:t>
      </w:r>
      <w:r w:rsidRPr="00A34388">
        <w:rPr>
          <w:lang w:val="es-ES_tradnl"/>
        </w:rPr>
        <w:t xml:space="preserve">cambio </w:t>
      </w:r>
      <w:r w:rsidR="00AA52AB" w:rsidRPr="00A34388">
        <w:rPr>
          <w:lang w:val="es-ES_tradnl"/>
        </w:rPr>
        <w:t xml:space="preserve">producido </w:t>
      </w:r>
      <w:r w:rsidRPr="00A34388">
        <w:rPr>
          <w:lang w:val="es-ES_tradnl"/>
        </w:rPr>
        <w:t>en los recursos de personal del Centro a fin de gestionar mejor la demanda de servicios de solución extrajudicial de controversias de la OMPI.</w:t>
      </w:r>
    </w:p>
    <w:p w:rsidR="00525604" w:rsidRPr="00A34388" w:rsidRDefault="00525604" w:rsidP="00525604">
      <w:pPr>
        <w:jc w:val="both"/>
        <w:rPr>
          <w:szCs w:val="20"/>
          <w:lang w:val="es-ES_tradnl"/>
        </w:rPr>
      </w:pPr>
    </w:p>
    <w:p w:rsidR="00525604" w:rsidRPr="00A34388" w:rsidRDefault="00525604" w:rsidP="00525604">
      <w:pPr>
        <w:tabs>
          <w:tab w:val="left" w:pos="709"/>
        </w:tabs>
        <w:jc w:val="both"/>
        <w:rPr>
          <w:szCs w:val="20"/>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jc w:val="both"/>
        <w:rPr>
          <w:szCs w:val="20"/>
          <w:lang w:val="es-ES_tradnl"/>
        </w:rPr>
      </w:pPr>
    </w:p>
    <w:p w:rsidR="00525604" w:rsidRPr="00A34388" w:rsidRDefault="00525604" w:rsidP="00525604">
      <w:pPr>
        <w:tabs>
          <w:tab w:val="left" w:pos="709"/>
        </w:tabs>
        <w:jc w:val="both"/>
        <w:rPr>
          <w:szCs w:val="20"/>
          <w:lang w:val="es-ES_tradnl"/>
        </w:rPr>
      </w:pPr>
      <w:r w:rsidRPr="00A34388">
        <w:rPr>
          <w:lang w:val="es-ES_tradnl"/>
        </w:rPr>
        <w:t>7.13.</w:t>
      </w:r>
      <w:r w:rsidRPr="00A34388">
        <w:rPr>
          <w:lang w:val="es-ES_tradnl"/>
        </w:rPr>
        <w:tab/>
        <w:t xml:space="preserve">Una utilización del presupuesto ligeramente inferior </w:t>
      </w:r>
      <w:r w:rsidR="00AA52AB" w:rsidRPr="00A34388">
        <w:rPr>
          <w:lang w:val="es-ES_tradnl"/>
        </w:rPr>
        <w:t xml:space="preserve">a la esperada respecto de </w:t>
      </w:r>
      <w:r w:rsidRPr="00A34388">
        <w:rPr>
          <w:lang w:val="es-ES_tradnl"/>
        </w:rPr>
        <w:t xml:space="preserve">los recursos no relativos al personal refleja los ahorros de costos generados por:  i) </w:t>
      </w:r>
      <w:r w:rsidR="00AA52AB" w:rsidRPr="00A34388">
        <w:rPr>
          <w:lang w:val="es-ES_tradnl"/>
        </w:rPr>
        <w:t xml:space="preserve">la aplicación de </w:t>
      </w:r>
      <w:r w:rsidRPr="00A34388">
        <w:rPr>
          <w:lang w:val="es-ES_tradnl"/>
        </w:rPr>
        <w:t xml:space="preserve">un </w:t>
      </w:r>
      <w:r w:rsidR="00AA52AB" w:rsidRPr="00A34388">
        <w:rPr>
          <w:lang w:val="es-ES_tradnl"/>
        </w:rPr>
        <w:t xml:space="preserve">enfoque </w:t>
      </w:r>
      <w:r w:rsidRPr="00A34388">
        <w:rPr>
          <w:lang w:val="es-ES_tradnl"/>
        </w:rPr>
        <w:t xml:space="preserve">más estratégico </w:t>
      </w:r>
      <w:r w:rsidR="00AA52AB" w:rsidRPr="00A34388">
        <w:rPr>
          <w:lang w:val="es-ES_tradnl"/>
        </w:rPr>
        <w:t xml:space="preserve">en </w:t>
      </w:r>
      <w:r w:rsidRPr="00A34388">
        <w:rPr>
          <w:lang w:val="es-ES_tradnl"/>
        </w:rPr>
        <w:t>la contratación de becarios (</w:t>
      </w:r>
      <w:r w:rsidR="00054EC8">
        <w:rPr>
          <w:lang w:val="es-ES_tradnl"/>
        </w:rPr>
        <w:t>administradores</w:t>
      </w:r>
      <w:r w:rsidRPr="00A34388">
        <w:rPr>
          <w:lang w:val="es-ES_tradnl"/>
        </w:rPr>
        <w:t xml:space="preserve"> de demandas relacionadas con nombres de dominio);  y ii) una reducción de las misiones del personal y de los costos de viaje </w:t>
      </w:r>
      <w:r w:rsidR="00AA52AB" w:rsidRPr="00A34388">
        <w:rPr>
          <w:lang w:val="es-ES_tradnl"/>
        </w:rPr>
        <w:t xml:space="preserve">derivada del </w:t>
      </w:r>
      <w:r w:rsidRPr="00A34388">
        <w:rPr>
          <w:lang w:val="es-ES_tradnl"/>
        </w:rPr>
        <w:t>aplazamiento o la cancelación de determinadas actividades planificadas, como consecuencia de cambios de prioridades en el plano nacional.</w:t>
      </w:r>
    </w:p>
    <w:p w:rsidR="00525604" w:rsidRPr="00A34388" w:rsidRDefault="00525604" w:rsidP="00525604">
      <w:pPr>
        <w:rPr>
          <w:szCs w:val="20"/>
          <w:lang w:val="es-ES_tradnl"/>
        </w:rPr>
      </w:pPr>
      <w:r w:rsidRPr="00A34388">
        <w:rPr>
          <w:lang w:val="es-ES_tradnl"/>
        </w:rPr>
        <w:br w:type="page"/>
      </w:r>
    </w:p>
    <w:p w:rsidR="00391D6B" w:rsidRPr="00332758" w:rsidRDefault="00391D6B" w:rsidP="00391D6B">
      <w:pPr>
        <w:pStyle w:val="Heading2"/>
        <w:rPr>
          <w:lang w:val="es-ES_tradnl"/>
        </w:rPr>
      </w:pPr>
      <w:bookmarkStart w:id="35" w:name="_Toc395279661"/>
      <w:r w:rsidRPr="00332758">
        <w:rPr>
          <w:caps w:val="0"/>
          <w:lang w:val="es-ES_tradnl"/>
        </w:rPr>
        <w:lastRenderedPageBreak/>
        <w:t>META ESTRATÉGICA III</w:t>
      </w:r>
      <w:r w:rsidRPr="00332758">
        <w:rPr>
          <w:lang w:val="es-ES_tradnl"/>
        </w:rPr>
        <w:br/>
      </w:r>
      <w:r w:rsidRPr="00332758">
        <w:rPr>
          <w:lang w:val="es-ES_tradnl"/>
        </w:rPr>
        <w:br/>
        <w:t>Facilitar el uso de la P.I. en aras del desarrollo</w:t>
      </w:r>
      <w:bookmarkEnd w:id="35"/>
    </w:p>
    <w:p w:rsidR="00525604" w:rsidRPr="00A34388" w:rsidRDefault="00525604" w:rsidP="00525604">
      <w:pPr>
        <w:jc w:val="center"/>
        <w:rPr>
          <w:lang w:val="es-ES_tradnl"/>
        </w:rPr>
      </w:pPr>
    </w:p>
    <w:p w:rsidR="00525604" w:rsidRPr="00A34388" w:rsidRDefault="00525604" w:rsidP="00525604">
      <w:pPr>
        <w:jc w:val="center"/>
        <w:rPr>
          <w:lang w:val="es-ES_tradnl"/>
        </w:rPr>
      </w:pPr>
    </w:p>
    <w:p w:rsidR="00525604" w:rsidRPr="00A34388" w:rsidRDefault="00525604" w:rsidP="00525604">
      <w:pPr>
        <w:jc w:val="center"/>
        <w:rPr>
          <w:lang w:val="es-ES_tradnl"/>
        </w:rPr>
      </w:pPr>
      <w:r w:rsidRPr="00332758">
        <w:rPr>
          <w:lang w:val="es-ES_tradnl"/>
        </w:rPr>
        <w:t>CUADRO SOBRE EL RENDIMIENTO BIENAL</w:t>
      </w:r>
    </w:p>
    <w:p w:rsidR="00525604" w:rsidRPr="00A34388" w:rsidRDefault="00525604" w:rsidP="00525604">
      <w:pPr>
        <w:jc w:val="center"/>
        <w:rPr>
          <w:lang w:val="es-ES_tradnl"/>
        </w:rPr>
      </w:pPr>
    </w:p>
    <w:p w:rsidR="00525604" w:rsidRPr="00A34388" w:rsidRDefault="00525604" w:rsidP="00525604">
      <w:pPr>
        <w:autoSpaceDE w:val="0"/>
        <w:autoSpaceDN w:val="0"/>
        <w:adjustRightInd w:val="0"/>
        <w:jc w:val="both"/>
        <w:rPr>
          <w:rFonts w:cs="Arial"/>
          <w:lang w:val="es-ES_tradnl"/>
        </w:rPr>
      </w:pPr>
      <w:r w:rsidRPr="00A34388">
        <w:rPr>
          <w:lang w:val="es-ES_tradnl"/>
        </w:rPr>
        <w:t>E</w:t>
      </w:r>
      <w:r w:rsidR="009E0D38" w:rsidRPr="00A34388">
        <w:rPr>
          <w:lang w:val="es-ES_tradnl"/>
        </w:rPr>
        <w:t>n</w:t>
      </w:r>
      <w:r w:rsidRPr="00A34388">
        <w:rPr>
          <w:lang w:val="es-ES_tradnl"/>
        </w:rPr>
        <w:t xml:space="preserve"> </w:t>
      </w:r>
      <w:r w:rsidR="009E0D38" w:rsidRPr="00A34388">
        <w:rPr>
          <w:lang w:val="es-ES_tradnl"/>
        </w:rPr>
        <w:t xml:space="preserve">el siguiente </w:t>
      </w:r>
      <w:r w:rsidRPr="00A34388">
        <w:rPr>
          <w:lang w:val="es-ES_tradnl"/>
        </w:rPr>
        <w:t xml:space="preserve">cuadro </w:t>
      </w:r>
      <w:r w:rsidR="009E0D38" w:rsidRPr="00A34388">
        <w:rPr>
          <w:lang w:val="es-ES_tradnl"/>
        </w:rPr>
        <w:t xml:space="preserve">se incluye una reseña general de la consecución de los resultados </w:t>
      </w:r>
      <w:r w:rsidRPr="00A34388">
        <w:rPr>
          <w:lang w:val="es-ES_tradnl"/>
        </w:rPr>
        <w:t>previstos en el bienio 2012/13</w:t>
      </w:r>
      <w:r w:rsidR="009E0D38" w:rsidRPr="00A34388">
        <w:rPr>
          <w:lang w:val="es-ES_tradnl"/>
        </w:rPr>
        <w:t xml:space="preserve"> medidos por los indicadores relativos a </w:t>
      </w:r>
      <w:r w:rsidRPr="00A34388">
        <w:rPr>
          <w:lang w:val="es-ES_tradnl"/>
        </w:rPr>
        <w:t xml:space="preserve">los programas que contribuyen a esta meta estratégica.  </w:t>
      </w:r>
    </w:p>
    <w:p w:rsidR="00525604" w:rsidRDefault="00525604" w:rsidP="00525604">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0CB76322" wp14:editId="7262B88F">
            <wp:extent cx="4100176" cy="212140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0284" cy="2121464"/>
                    </a:xfrm>
                    <a:prstGeom prst="rect">
                      <a:avLst/>
                    </a:prstGeom>
                    <a:noFill/>
                  </pic:spPr>
                </pic:pic>
              </a:graphicData>
            </a:graphic>
          </wp:inline>
        </w:drawing>
      </w:r>
    </w:p>
    <w:p w:rsidR="00672C0F" w:rsidRPr="00A34388" w:rsidRDefault="00672C0F" w:rsidP="00525604">
      <w:pPr>
        <w:autoSpaceDE w:val="0"/>
        <w:autoSpaceDN w:val="0"/>
        <w:adjustRightInd w:val="0"/>
        <w:jc w:val="both"/>
        <w:rPr>
          <w:rFonts w:cs="Arial"/>
          <w:lang w:val="es-ES_tradnl"/>
        </w:rPr>
      </w:pPr>
    </w:p>
    <w:p w:rsidR="00525604" w:rsidRPr="00A34388" w:rsidRDefault="00525604" w:rsidP="00525604">
      <w:pPr>
        <w:autoSpaceDE w:val="0"/>
        <w:autoSpaceDN w:val="0"/>
        <w:adjustRightInd w:val="0"/>
        <w:jc w:val="center"/>
        <w:rPr>
          <w:rFonts w:cs="Arial"/>
          <w:lang w:val="es-ES_tradnl"/>
        </w:rPr>
      </w:pPr>
    </w:p>
    <w:p w:rsidR="00525604" w:rsidRPr="00A34388" w:rsidRDefault="00525604" w:rsidP="00525604">
      <w:pPr>
        <w:tabs>
          <w:tab w:val="left" w:pos="1701"/>
        </w:tabs>
        <w:ind w:left="1701" w:hanging="1701"/>
        <w:jc w:val="center"/>
        <w:rPr>
          <w:rFonts w:cs="Arial"/>
          <w:b/>
          <w:bCs/>
          <w:caps/>
          <w:lang w:val="es-ES_tradnl"/>
        </w:rPr>
      </w:pPr>
    </w:p>
    <w:tbl>
      <w:tblPr>
        <w:tblW w:w="0" w:type="auto"/>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6"/>
        <w:gridCol w:w="4091"/>
        <w:gridCol w:w="1218"/>
        <w:gridCol w:w="793"/>
      </w:tblGrid>
      <w:tr w:rsidR="00525604" w:rsidRPr="00A34388" w:rsidTr="00853209">
        <w:trPr>
          <w:tblHeader/>
        </w:trPr>
        <w:tc>
          <w:tcPr>
            <w:tcW w:w="0" w:type="auto"/>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b/>
                <w:bCs/>
                <w:color w:val="808080"/>
                <w:sz w:val="14"/>
                <w:szCs w:val="14"/>
                <w:lang w:val="es-ES_tradnl"/>
              </w:rPr>
            </w:pPr>
            <w:r w:rsidRPr="00332758">
              <w:rPr>
                <w:b/>
                <w:sz w:val="14"/>
                <w:lang w:val="es-ES_tradnl"/>
              </w:rPr>
              <w:t>Resultados previstos</w:t>
            </w:r>
          </w:p>
        </w:tc>
        <w:tc>
          <w:tcPr>
            <w:tcW w:w="0" w:type="auto"/>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b/>
                <w:bCs/>
                <w:color w:val="808080"/>
                <w:sz w:val="14"/>
                <w:szCs w:val="14"/>
                <w:lang w:val="es-ES_tradnl"/>
              </w:rPr>
            </w:pPr>
            <w:r w:rsidRPr="00332758">
              <w:rPr>
                <w:b/>
                <w:sz w:val="14"/>
                <w:lang w:val="es-ES_tradnl"/>
              </w:rPr>
              <w:t>Indicadores de rendimiento</w:t>
            </w:r>
          </w:p>
        </w:tc>
        <w:tc>
          <w:tcPr>
            <w:tcW w:w="0" w:type="auto"/>
            <w:tcBorders>
              <w:top w:val="single" w:sz="4" w:space="0" w:color="auto"/>
              <w:bottom w:val="single" w:sz="4" w:space="0" w:color="auto"/>
            </w:tcBorders>
            <w:shd w:val="clear" w:color="auto" w:fill="CCFFFF"/>
            <w:vAlign w:val="center"/>
          </w:tcPr>
          <w:p w:rsidR="00525604" w:rsidRPr="00A34388" w:rsidRDefault="00525604" w:rsidP="00853209">
            <w:pPr>
              <w:spacing w:before="120" w:after="120"/>
              <w:jc w:val="center"/>
              <w:rPr>
                <w:b/>
                <w:bCs/>
                <w:color w:val="808080"/>
                <w:sz w:val="14"/>
                <w:szCs w:val="14"/>
                <w:lang w:val="es-ES_tradnl"/>
              </w:rPr>
            </w:pPr>
            <w:r w:rsidRPr="00332758">
              <w:rPr>
                <w:b/>
                <w:sz w:val="14"/>
                <w:lang w:val="es-ES_tradnl"/>
              </w:rPr>
              <w:t>Programas responsables</w:t>
            </w:r>
          </w:p>
        </w:tc>
        <w:tc>
          <w:tcPr>
            <w:tcW w:w="0" w:type="auto"/>
            <w:tcBorders>
              <w:top w:val="single" w:sz="4" w:space="0" w:color="auto"/>
              <w:bottom w:val="single" w:sz="4" w:space="0" w:color="auto"/>
            </w:tcBorders>
            <w:shd w:val="clear" w:color="auto" w:fill="CCFFFF"/>
          </w:tcPr>
          <w:p w:rsidR="00525604" w:rsidRPr="00332758" w:rsidRDefault="00525604" w:rsidP="00853209">
            <w:pPr>
              <w:spacing w:before="120" w:after="120"/>
              <w:jc w:val="center"/>
              <w:rPr>
                <w:b/>
                <w:bCs/>
                <w:sz w:val="14"/>
                <w:szCs w:val="14"/>
                <w:lang w:val="es-ES_tradnl"/>
              </w:rPr>
            </w:pPr>
            <w:r w:rsidRPr="00332758">
              <w:rPr>
                <w:b/>
                <w:sz w:val="14"/>
                <w:lang w:val="es-ES_tradnl"/>
              </w:rPr>
              <w:t>Clave de colores</w:t>
            </w:r>
          </w:p>
        </w:tc>
      </w:tr>
      <w:tr w:rsidR="00525604" w:rsidRPr="00A34388" w:rsidTr="00853209">
        <w:tc>
          <w:tcPr>
            <w:tcW w:w="0" w:type="auto"/>
            <w:vMerge w:val="restart"/>
            <w:tcBorders>
              <w:top w:val="single" w:sz="4" w:space="0" w:color="auto"/>
            </w:tcBorders>
            <w:shd w:val="clear" w:color="auto" w:fill="auto"/>
          </w:tcPr>
          <w:p w:rsidR="00525604" w:rsidRPr="00A34388" w:rsidRDefault="00525604" w:rsidP="00853209">
            <w:pPr>
              <w:spacing w:before="80"/>
              <w:rPr>
                <w:sz w:val="14"/>
                <w:szCs w:val="14"/>
                <w:lang w:val="es-ES_tradnl"/>
              </w:rPr>
            </w:pPr>
            <w:r w:rsidRPr="00332758">
              <w:rPr>
                <w:sz w:val="14"/>
                <w:lang w:val="es-ES_tradnl"/>
              </w:rPr>
              <w:t>Políticas nacionales, estrategias y planes de desarrollo de innovación y de P.I. claramente definidos y coherentes que estén en sintonía con las metas y los objetivos nacionales de desarrollo</w:t>
            </w:r>
            <w:r w:rsidRPr="00A34388">
              <w:rPr>
                <w:color w:val="000000"/>
                <w:sz w:val="14"/>
                <w:lang w:val="es-ES_tradnl"/>
              </w:rPr>
              <w:t>.</w:t>
            </w:r>
            <w:r w:rsidRPr="00A34388">
              <w:rPr>
                <w:sz w:val="14"/>
                <w:lang w:val="es-ES_tradnl"/>
              </w:rPr>
              <w:t xml:space="preserve"> </w:t>
            </w:r>
          </w:p>
          <w:p w:rsidR="00525604" w:rsidRPr="00A34388" w:rsidRDefault="00525604" w:rsidP="00853209">
            <w:pPr>
              <w:spacing w:before="80"/>
              <w:rPr>
                <w:sz w:val="14"/>
                <w:szCs w:val="14"/>
                <w:lang w:val="es-ES_tradnl"/>
              </w:rPr>
            </w:pPr>
            <w:r w:rsidRPr="00A34388">
              <w:rPr>
                <w:sz w:val="14"/>
                <w:lang w:val="es-ES_tradnl"/>
              </w:rPr>
              <w:t> </w:t>
            </w:r>
          </w:p>
        </w:tc>
        <w:tc>
          <w:tcPr>
            <w:tcW w:w="0" w:type="auto"/>
            <w:tcBorders>
              <w:top w:val="single" w:sz="4" w:space="0" w:color="auto"/>
            </w:tcBorders>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cada año han formulado políticas, estrategias y/o planes de P.I., o los están aplicando (África).</w:t>
            </w:r>
          </w:p>
        </w:tc>
        <w:tc>
          <w:tcPr>
            <w:tcW w:w="0" w:type="auto"/>
            <w:tcBorders>
              <w:top w:val="single" w:sz="4" w:space="0" w:color="auto"/>
            </w:tcBorders>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Borders>
              <w:top w:val="single" w:sz="4" w:space="0" w:color="auto"/>
            </w:tcBorders>
          </w:tcPr>
          <w:p w:rsidR="00525604" w:rsidRPr="00A34388" w:rsidRDefault="00525604" w:rsidP="00853209">
            <w:pPr>
              <w:spacing w:before="40"/>
              <w:jc w:val="center"/>
              <w:rPr>
                <w:sz w:val="22"/>
                <w:szCs w:val="22"/>
                <w:lang w:val="es-ES_tradnl"/>
              </w:rPr>
            </w:pPr>
            <w:r w:rsidRPr="00A34388">
              <w:rPr>
                <w:rFonts w:cs="Arial"/>
                <w:color w:val="E36C0A" w:themeColor="accent6" w:themeShade="BF"/>
                <w:sz w:val="22"/>
                <w:szCs w:val="22"/>
                <w:lang w:val="es-ES_tradnl"/>
              </w:rPr>
              <w:sym w:font="Wingdings" w:char="F06C"/>
            </w:r>
            <w:r w:rsidRPr="00A34388">
              <w:rPr>
                <w:rFonts w:cs="Arial"/>
                <w:color w:val="FF0000"/>
                <w:sz w:val="22"/>
                <w:szCs w:val="22"/>
                <w:lang w:val="es-ES_tradnl"/>
              </w:rPr>
              <w:sym w:font="Wingdings" w:char="F06C"/>
            </w: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con mecanismos adecuados para el desarrollo y la aplicación de estrategias de P.I. (región de los países árabes)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con iniciativas vinculadas a los planes nacionales de P.I. (región de los países árabes)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con políticas y estrategias de P.I. en curso de aprobación (Asia y el Pacífico).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han adoptado políticas y estrategias de P.I. (Asia y el Pacífico).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000000"/>
                <w:sz w:val="14"/>
                <w:szCs w:val="14"/>
                <w:lang w:val="es-ES_tradnl"/>
              </w:rPr>
            </w:pPr>
            <w:r w:rsidRPr="00332758">
              <w:rPr>
                <w:sz w:val="14"/>
                <w:lang w:val="es-ES_tradnl"/>
              </w:rPr>
              <w:t>Número de países en los que se han realizado actividades/proyectos que hayan contribuido a la formulación de leyes/políticas de P.I. (América Latina y el Caribe).</w:t>
            </w:r>
            <w:r w:rsidRPr="00A34388">
              <w:rPr>
                <w:color w:val="000000"/>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000000"/>
                <w:sz w:val="14"/>
                <w:szCs w:val="14"/>
                <w:lang w:val="es-ES_tradnl"/>
              </w:rPr>
            </w:pPr>
            <w:r w:rsidRPr="00332758">
              <w:rPr>
                <w:sz w:val="14"/>
                <w:lang w:val="es-ES_tradnl"/>
              </w:rPr>
              <w:t>Número de países en los que se han realizado actividades/proyectos que hayan contribuido a la aplicación de estrategias/políticas de P.I. (América Latina y el Caribe).</w:t>
            </w:r>
            <w:r w:rsidRPr="00A34388">
              <w:rPr>
                <w:color w:val="000000"/>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PMA que han incluido consideraciones de P.I. propias de los PMA en sus estrategias y/o políticas nacionales de P.I. (PMA).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0641E0">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han elaborado estrategias o planes nacionales combinados con metas nacionales de desarrollo.</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10</w:t>
            </w:r>
          </w:p>
        </w:tc>
        <w:tc>
          <w:tcPr>
            <w:tcW w:w="0" w:type="auto"/>
            <w:tcBorders>
              <w:bottom w:val="nil"/>
            </w:tcBorders>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0641E0">
        <w:tc>
          <w:tcPr>
            <w:tcW w:w="0" w:type="auto"/>
            <w:vMerge w:val="restart"/>
            <w:shd w:val="clear" w:color="auto" w:fill="auto"/>
          </w:tcPr>
          <w:p w:rsidR="00525604" w:rsidRPr="00A34388" w:rsidRDefault="00525604" w:rsidP="00853209">
            <w:pPr>
              <w:spacing w:before="80"/>
              <w:rPr>
                <w:sz w:val="14"/>
                <w:szCs w:val="14"/>
                <w:lang w:val="es-ES_tradnl"/>
              </w:rPr>
            </w:pPr>
            <w:r w:rsidRPr="00332758">
              <w:rPr>
                <w:sz w:val="14"/>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estrategias nacionales de P.I. que tienen un componente dedicado a la innovación y a la tecnología.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Borders>
              <w:top w:val="nil"/>
              <w:bottom w:val="nil"/>
            </w:tcBorders>
            <w:shd w:val="clear" w:color="auto" w:fill="auto"/>
          </w:tcPr>
          <w:p w:rsidR="00525604" w:rsidRPr="000641E0" w:rsidRDefault="00525604" w:rsidP="00853209">
            <w:pPr>
              <w:spacing w:before="20"/>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525604" w:rsidRPr="00A34388" w:rsidTr="00800175">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encargados de la formulación de políticas, funcionarios gubernamentales, profesionales de la P.I. y examinadores, funcionarios encargados de hacer cumplir la ley y usuarios de la P.I. que entienden mejor las cuestiones de P.I. y cómo utilizarla en aras del desarrollo.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Borders>
              <w:top w:val="nil"/>
            </w:tcBorders>
          </w:tcPr>
          <w:p w:rsidR="00525604" w:rsidRPr="00A34388" w:rsidRDefault="00525604" w:rsidP="00853209">
            <w:pPr>
              <w:spacing w:before="20"/>
              <w:jc w:val="center"/>
              <w:rPr>
                <w:color w:val="00B05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cuentan con programas de formación en P.I. y oportunidades laborales relacionadas con la P.I. (región de los países árabes).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Mar>
              <w:top w:w="113" w:type="dxa"/>
            </w:tcMar>
          </w:tcPr>
          <w:p w:rsidR="00525604" w:rsidRPr="00A34388" w:rsidRDefault="00525604" w:rsidP="00853209">
            <w:pPr>
              <w:spacing w:before="80"/>
              <w:rPr>
                <w:sz w:val="14"/>
                <w:szCs w:val="14"/>
                <w:lang w:val="es-ES_tradnl"/>
              </w:rPr>
            </w:pPr>
            <w:r w:rsidRPr="00332758">
              <w:rPr>
                <w:sz w:val="14"/>
                <w:lang w:val="es-ES_tradnl"/>
              </w:rPr>
              <w:t>Porcentaje de examinadores que recibieron formación y que utilizan en su trabajo las nuevas aptitudes adquiridas (Asia y el Pacífico).</w:t>
            </w:r>
          </w:p>
        </w:tc>
        <w:tc>
          <w:tcPr>
            <w:tcW w:w="0" w:type="auto"/>
            <w:shd w:val="clear" w:color="auto" w:fill="auto"/>
            <w:tcMar>
              <w:top w:w="113" w:type="dxa"/>
            </w:tcMar>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 xml:space="preserve">Porcentaje de encargados de la formulación de políticas, funcionarios gubernamentales y profesionales de la P.I. que </w:t>
            </w:r>
            <w:r w:rsidRPr="00332758">
              <w:rPr>
                <w:sz w:val="14"/>
                <w:lang w:val="es-ES_tradnl"/>
              </w:rPr>
              <w:lastRenderedPageBreak/>
              <w:t>entienden mejor las cuestiones de P.I., entre otras cosas, cómo utilizarla con eficacia en aras del desarrollo (Asia y el Pacífico).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lastRenderedPageBreak/>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lastRenderedPageBreak/>
              <w:t> </w:t>
            </w:r>
          </w:p>
        </w:tc>
        <w:tc>
          <w:tcPr>
            <w:tcW w:w="0" w:type="auto"/>
            <w:shd w:val="clear" w:color="auto" w:fill="auto"/>
          </w:tcPr>
          <w:p w:rsidR="00525604" w:rsidRPr="00A34388" w:rsidRDefault="00525604" w:rsidP="00853209">
            <w:pPr>
              <w:spacing w:before="80"/>
              <w:rPr>
                <w:color w:val="000000"/>
                <w:sz w:val="14"/>
                <w:szCs w:val="14"/>
                <w:lang w:val="es-ES_tradnl"/>
              </w:rPr>
            </w:pPr>
            <w:r w:rsidRPr="00332758">
              <w:rPr>
                <w:sz w:val="14"/>
                <w:lang w:val="es-ES_tradnl"/>
              </w:rPr>
              <w:t>Número de formadores en P.I./expertos nacionales (América Latina y el Caribe).</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000000"/>
                <w:sz w:val="14"/>
                <w:szCs w:val="14"/>
                <w:lang w:val="es-ES_tradnl"/>
              </w:rPr>
            </w:pPr>
            <w:r w:rsidRPr="00332758">
              <w:rPr>
                <w:sz w:val="14"/>
                <w:lang w:val="es-ES_tradnl"/>
              </w:rPr>
              <w:t>Número de programas nacionales de formación estructurados (América Latina y el Caribe).</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en los que se han evaluado las necesidades de asistencia técnica y fortalecimiento de las capacidades (PMA).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estudiantes/participantes por año y distribución geográfica (PMA).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p w:rsidR="00525604" w:rsidRPr="00A34388" w:rsidRDefault="00525604" w:rsidP="00853209">
            <w:pPr>
              <w:spacing w:before="120"/>
              <w:jc w:val="center"/>
              <w:rPr>
                <w:sz w:val="14"/>
                <w:szCs w:val="14"/>
                <w:lang w:val="es-ES_tradnl"/>
              </w:rPr>
            </w:pPr>
            <w:r w:rsidRPr="00332758">
              <w:rPr>
                <w:sz w:val="14"/>
                <w:lang w:val="es-ES_tradnl"/>
              </w:rPr>
              <w:t>Programa 4</w:t>
            </w:r>
          </w:p>
        </w:tc>
        <w:tc>
          <w:tcPr>
            <w:tcW w:w="0" w:type="auto"/>
          </w:tcPr>
          <w:p w:rsidR="00525604" w:rsidRPr="00A34388" w:rsidRDefault="00525604"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p w:rsidR="00525604" w:rsidRPr="00A34388" w:rsidRDefault="00525604"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funcionarios de oficinas de P.I. formados que utilizan en su trabajo las nuevas aptitudes adquiridas.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profesionales de la P.I. que afirman entender mejor las cuestiones de P.I.</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10</w:t>
            </w:r>
          </w:p>
        </w:tc>
        <w:tc>
          <w:tcPr>
            <w:tcW w:w="0" w:type="auto"/>
          </w:tcPr>
          <w:p w:rsidR="00525604" w:rsidRPr="00A34388" w:rsidRDefault="00525604"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Inclusión de cuestiones relacionadas con el desarrollo en los programas de formación de la OMPI sobre observancia.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17</w:t>
            </w:r>
          </w:p>
        </w:tc>
        <w:tc>
          <w:tcPr>
            <w:tcW w:w="0" w:type="auto"/>
          </w:tcPr>
          <w:p w:rsidR="00525604" w:rsidRPr="00A34388" w:rsidRDefault="00525604"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funcionarios de observancia que recibieron formación y que están satisfechos con la formación recibida y su utilidad en la vida profesional.</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p w:rsidR="00525604" w:rsidRPr="00A34388" w:rsidRDefault="00525604" w:rsidP="00853209">
            <w:pPr>
              <w:spacing w:before="120"/>
              <w:jc w:val="center"/>
              <w:rPr>
                <w:sz w:val="14"/>
                <w:szCs w:val="14"/>
                <w:lang w:val="es-ES_tradnl"/>
              </w:rPr>
            </w:pPr>
            <w:r w:rsidRPr="00332758">
              <w:rPr>
                <w:sz w:val="14"/>
                <w:lang w:val="es-ES_tradnl"/>
              </w:rPr>
              <w:t>Programa 17</w:t>
            </w:r>
          </w:p>
        </w:tc>
        <w:tc>
          <w:tcPr>
            <w:tcW w:w="0" w:type="auto"/>
          </w:tcPr>
          <w:p w:rsidR="00525604" w:rsidRPr="00A34388" w:rsidRDefault="00525604"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525604" w:rsidRPr="00A34388" w:rsidRDefault="00525604" w:rsidP="00853209">
            <w:pPr>
              <w:spacing w:before="60"/>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participantes satisfechos con la calidad de los talleres y seminarios sobre la innovación y su comercialización.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p w:rsidR="00525604" w:rsidRPr="00A34388" w:rsidRDefault="00525604" w:rsidP="00853209">
            <w:pPr>
              <w:spacing w:before="160"/>
              <w:jc w:val="center"/>
              <w:rPr>
                <w:sz w:val="14"/>
                <w:szCs w:val="14"/>
                <w:lang w:val="es-ES_tradnl"/>
              </w:rPr>
            </w:pPr>
            <w:r w:rsidRPr="00332758">
              <w:rPr>
                <w:sz w:val="14"/>
                <w:lang w:val="es-ES_tradnl"/>
              </w:rPr>
              <w:t>Programa 10</w:t>
            </w:r>
          </w:p>
          <w:p w:rsidR="00525604" w:rsidRPr="00A34388" w:rsidRDefault="00525604" w:rsidP="00853209">
            <w:pPr>
              <w:spacing w:before="16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60"/>
              <w:jc w:val="center"/>
              <w:rPr>
                <w:rFonts w:cs="Arial"/>
                <w:color w:val="008000"/>
                <w:sz w:val="22"/>
                <w:szCs w:val="22"/>
                <w:lang w:val="es-ES_tradnl"/>
              </w:rPr>
            </w:pPr>
            <w:r w:rsidRPr="00A34388">
              <w:rPr>
                <w:rFonts w:cs="Arial"/>
                <w:color w:val="008000"/>
                <w:sz w:val="22"/>
                <w:szCs w:val="22"/>
                <w:lang w:val="es-ES_tradnl"/>
              </w:rPr>
              <w:sym w:font="Wingdings" w:char="F06C"/>
            </w:r>
          </w:p>
          <w:p w:rsidR="00525604" w:rsidRPr="00A34388" w:rsidRDefault="00525604" w:rsidP="00853209">
            <w:pPr>
              <w:spacing w:before="60"/>
              <w:jc w:val="center"/>
              <w:rPr>
                <w:rFonts w:cs="Arial"/>
                <w:color w:val="008000"/>
                <w:sz w:val="22"/>
                <w:szCs w:val="22"/>
                <w:lang w:val="es-ES_tradnl"/>
              </w:rPr>
            </w:pPr>
            <w:r w:rsidRPr="00A34388">
              <w:rPr>
                <w:rFonts w:cs="Arial"/>
                <w:color w:val="008000"/>
                <w:sz w:val="22"/>
                <w:szCs w:val="22"/>
                <w:lang w:val="es-ES_tradnl"/>
              </w:rPr>
              <w:sym w:font="Wingdings" w:char="F06C"/>
            </w:r>
          </w:p>
          <w:p w:rsidR="00525604" w:rsidRPr="00A34388" w:rsidRDefault="00525604" w:rsidP="00853209">
            <w:pPr>
              <w:spacing w:before="6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120"/>
              <w:rPr>
                <w:sz w:val="14"/>
                <w:szCs w:val="14"/>
                <w:lang w:val="es-ES_tradnl"/>
              </w:rPr>
            </w:pPr>
            <w:r w:rsidRPr="00332758">
              <w:rPr>
                <w:sz w:val="14"/>
                <w:lang w:val="es-ES_tradnl"/>
              </w:rPr>
              <w:t>Porcentaje de participantes en talleres de creación de capacidad sobre cuestiones de derecho de autor que expresaron satisfacción al respecto.</w:t>
            </w:r>
          </w:p>
        </w:tc>
        <w:tc>
          <w:tcPr>
            <w:tcW w:w="0" w:type="auto"/>
            <w:shd w:val="clear" w:color="auto" w:fill="auto"/>
          </w:tcPr>
          <w:p w:rsidR="00525604" w:rsidRPr="00A34388" w:rsidRDefault="00525604" w:rsidP="00853209">
            <w:pPr>
              <w:spacing w:before="120"/>
              <w:jc w:val="center"/>
              <w:rPr>
                <w:sz w:val="14"/>
                <w:szCs w:val="14"/>
                <w:lang w:val="es-ES_tradnl"/>
              </w:rPr>
            </w:pPr>
            <w:r w:rsidRPr="00332758">
              <w:rPr>
                <w:sz w:val="14"/>
                <w:lang w:val="es-ES_tradnl"/>
              </w:rPr>
              <w:t>Programa 3</w:t>
            </w:r>
          </w:p>
        </w:tc>
        <w:tc>
          <w:tcPr>
            <w:tcW w:w="0" w:type="auto"/>
          </w:tcPr>
          <w:p w:rsidR="00525604" w:rsidRPr="00A34388" w:rsidRDefault="00525604" w:rsidP="00853209">
            <w:pPr>
              <w:spacing w:before="6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Porcentaje de participantes en talleres sobre derecho de autor que manifestaron satisfacción al respecto además de la utilidad práctica de los conocimientos adquiridos seis meses después del taller.</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iniciativas nacionales en el ámbito del derecho de autor y los derechos conexos emprendidas y directamente relacionadas con los temas objeto de los talleres.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val="restart"/>
            <w:shd w:val="clear" w:color="auto" w:fill="auto"/>
            <w:vAlign w:val="center"/>
          </w:tcPr>
          <w:p w:rsidR="00525604" w:rsidRPr="00332758" w:rsidRDefault="00525604" w:rsidP="00853209">
            <w:pPr>
              <w:spacing w:before="80"/>
              <w:rPr>
                <w:sz w:val="14"/>
                <w:szCs w:val="14"/>
                <w:lang w:val="es-ES_tradnl"/>
              </w:rPr>
            </w:pPr>
            <w:r w:rsidRPr="00332758">
              <w:rPr>
                <w:sz w:val="14"/>
                <w:lang w:val="es-ES_tradnl"/>
              </w:rPr>
              <w:t> </w:t>
            </w:r>
          </w:p>
          <w:p w:rsidR="00525604" w:rsidRPr="00332758" w:rsidRDefault="00525604" w:rsidP="00853209">
            <w:pPr>
              <w:spacing w:before="80"/>
              <w:rPr>
                <w:sz w:val="14"/>
                <w:szCs w:val="14"/>
                <w:lang w:val="es-ES_tradnl"/>
              </w:rPr>
            </w:pPr>
          </w:p>
          <w:p w:rsidR="00525604" w:rsidRPr="00332758" w:rsidRDefault="00525604" w:rsidP="00853209">
            <w:pPr>
              <w:spacing w:before="80"/>
              <w:rPr>
                <w:sz w:val="14"/>
                <w:szCs w:val="14"/>
                <w:lang w:val="es-ES_tradnl"/>
              </w:rPr>
            </w:pPr>
            <w:r w:rsidRPr="00332758">
              <w:rPr>
                <w:sz w:val="14"/>
                <w:lang w:val="es-ES_tradnl"/>
              </w:rPr>
              <w:t>Mecanismos de cooperación, programas y asociaciones nuevos o consolidados en los PMA.</w:t>
            </w:r>
          </w:p>
          <w:p w:rsidR="00525604" w:rsidRPr="00A34388" w:rsidRDefault="00525604" w:rsidP="00853209">
            <w:pPr>
              <w:spacing w:before="80"/>
              <w:ind w:firstLineChars="100" w:firstLine="140"/>
              <w:rPr>
                <w:color w:val="808080"/>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usuarios de países en desarrollo de herramientas, modelos y material elaborado por la OMPI en materia de innovación y su comercialización.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asociaciones establecidas en los PMA entre organizaciones gubernamentales, sector privado, ONG y otros asociados en el desarrollo (PMA).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programas de P.I. aplicados conjuntamente con otros órganos de las Naciones Unidas y otras OIG (PMA).</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9</w:t>
            </w:r>
          </w:p>
        </w:tc>
        <w:tc>
          <w:tcPr>
            <w:tcW w:w="0" w:type="auto"/>
          </w:tcPr>
          <w:p w:rsidR="00525604" w:rsidRPr="00A34388" w:rsidRDefault="00525604"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estudiantes procedentes de oficinas de P.I. que se muestran satisfechos con la formación proporcionada.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estudiantes que utilizan en la práctica las capacidades adquiridas en la formación.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Mar>
              <w:top w:w="113" w:type="dxa"/>
            </w:tcMar>
          </w:tcPr>
          <w:p w:rsidR="00525604" w:rsidRPr="00A34388" w:rsidRDefault="00525604" w:rsidP="00853209">
            <w:pPr>
              <w:spacing w:before="80"/>
              <w:rPr>
                <w:sz w:val="14"/>
                <w:szCs w:val="14"/>
                <w:lang w:val="es-ES_tradnl"/>
              </w:rPr>
            </w:pPr>
            <w:r w:rsidRPr="00332758">
              <w:rPr>
                <w:sz w:val="14"/>
                <w:lang w:val="es-ES_tradnl"/>
              </w:rPr>
              <w:t>Porcentaje de supervisores que aplican satisfactoriamente las capacidades adquiridas un año después de la formación.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graduados de la Academia de la OMPI y de instituciones académicas asociadas (oferta conjunta).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participantes formados anualmente en los cursos de verano de la OMPI.</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Nº de profesores de P.I. que recibieron formación en la Academia.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 xml:space="preserve">Número de academias nacionales de P.I. establecidas.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nuevos acuerdos de cooperación interinstitucional.</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332758">
              <w:rPr>
                <w:sz w:val="14"/>
                <w:lang w:val="es-ES_tradnl"/>
              </w:rPr>
              <w:t>Mayor facilidad de acceso a la formación en P.I.</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inscripciones en línea en los cursos de enseñanza a distancia.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estudiantes que completan los cursos de enseñanza a distancia.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participantes en cursos de enseñanza a distancia que superan el examen.</w:t>
            </w:r>
            <w:r w:rsidRPr="00A34388">
              <w:rPr>
                <w:sz w:val="14"/>
                <w:lang w:val="es-ES_tradnl"/>
              </w:rPr>
              <w:t>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lastRenderedPageBreak/>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cursos de la Academia incorporados a los planes de estudios de instituciones docentes.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nuevos cursos en línea/a diferentes niveles de especialización.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idiomas en los que se imparten los cursos.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keepNext/>
              <w:keepLines/>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keepNext/>
              <w:keepLines/>
              <w:spacing w:before="80"/>
              <w:rPr>
                <w:sz w:val="14"/>
                <w:szCs w:val="14"/>
                <w:lang w:val="es-ES_tradnl"/>
              </w:rPr>
            </w:pPr>
            <w:r w:rsidRPr="00332758">
              <w:rPr>
                <w:sz w:val="14"/>
                <w:lang w:val="es-ES_tradnl"/>
              </w:rPr>
              <w:t>Número de becas para países en desarrollo, PMA y países con economías en transición.</w:t>
            </w:r>
          </w:p>
        </w:tc>
        <w:tc>
          <w:tcPr>
            <w:tcW w:w="0" w:type="auto"/>
            <w:shd w:val="clear" w:color="auto" w:fill="auto"/>
          </w:tcPr>
          <w:p w:rsidR="00525604" w:rsidRPr="00A34388" w:rsidRDefault="00525604" w:rsidP="00853209">
            <w:pPr>
              <w:keepNext/>
              <w:keepLines/>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keepNext/>
              <w:keepLines/>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Fomento de las capacidades de gestión de P.I. para las empresas</w:t>
            </w:r>
            <w:r w:rsidRPr="00A34388">
              <w:rPr>
                <w:b/>
                <w:color w:val="000000"/>
                <w:sz w:val="14"/>
                <w:lang w:val="es-ES_tradnl"/>
              </w:rPr>
              <w:t>.</w:t>
            </w: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participantes satisfechos con la formación recibida.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estudiantes que utilizan en la práctica las capacidades adquiridas en la formación.</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peticiones de cursos.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11</w:t>
            </w:r>
          </w:p>
        </w:tc>
        <w:tc>
          <w:tcPr>
            <w:tcW w:w="0" w:type="auto"/>
          </w:tcPr>
          <w:p w:rsidR="00525604" w:rsidRPr="00A34388" w:rsidRDefault="00525604" w:rsidP="00853209">
            <w:pPr>
              <w:spacing w:before="20"/>
              <w:jc w:val="center"/>
              <w:rPr>
                <w:color w:val="00B050"/>
                <w:sz w:val="22"/>
                <w:szCs w:val="22"/>
                <w:lang w:val="es-ES_tradnl"/>
              </w:rPr>
            </w:pPr>
            <w:r w:rsidRPr="00A34388">
              <w:rPr>
                <w:rFonts w:cs="Arial"/>
                <w:color w:val="FF0000"/>
                <w:sz w:val="22"/>
                <w:szCs w:val="22"/>
                <w:lang w:val="es-ES_tradnl"/>
              </w:rPr>
              <w:sym w:font="Wingdings" w:char="F06C"/>
            </w:r>
          </w:p>
        </w:tc>
      </w:tr>
      <w:tr w:rsidR="00525604" w:rsidRPr="00A34388" w:rsidTr="00853209">
        <w:tc>
          <w:tcPr>
            <w:tcW w:w="0" w:type="auto"/>
            <w:vMerge w:val="restart"/>
            <w:shd w:val="clear" w:color="auto" w:fill="auto"/>
          </w:tcPr>
          <w:p w:rsidR="00525604" w:rsidRPr="00A34388" w:rsidRDefault="00525604" w:rsidP="00853209">
            <w:pPr>
              <w:spacing w:before="80"/>
              <w:rPr>
                <w:sz w:val="14"/>
                <w:szCs w:val="14"/>
                <w:lang w:val="es-ES_tradnl"/>
              </w:rPr>
            </w:pPr>
            <w:r w:rsidRPr="00332758">
              <w:rPr>
                <w:sz w:val="14"/>
                <w:lang w:val="es-ES_tradnl"/>
              </w:rPr>
              <w:t>Mejor comprensión / capacidad de las pymes y las instituciones de apoyo a las pymes para utilizar con eficacia la P.I. en aras de la innovación y la comercialización.</w:t>
            </w:r>
            <w:r w:rsidRPr="00A34388">
              <w:rPr>
                <w:sz w:val="14"/>
                <w:lang w:val="es-ES_tradnl"/>
              </w:rPr>
              <w:t xml:space="preserve"> </w:t>
            </w: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 xml:space="preserve">Porcentaje de instituciones de respaldo a las pymes que recibieron asistencia y proporcionan información, respaldo y servicios de asesoramiento sobre la gestión de activos de P.I.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programas nacionales/regionales de formación en gestión de activos de P.I.</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instituciones de respaldo a las pymes satisfechas en la formación proporcionada en gestión de activos de P.I.</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30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val="restart"/>
            <w:shd w:val="clear" w:color="auto" w:fill="auto"/>
          </w:tcPr>
          <w:p w:rsidR="00525604" w:rsidRPr="00332758" w:rsidRDefault="00525604" w:rsidP="00853209">
            <w:pPr>
              <w:spacing w:before="80"/>
              <w:rPr>
                <w:sz w:val="14"/>
                <w:szCs w:val="14"/>
                <w:lang w:val="es-ES_tradnl"/>
              </w:rPr>
            </w:pPr>
            <w:r w:rsidRPr="00332758">
              <w:rPr>
                <w:sz w:val="14"/>
                <w:lang w:val="es-ES_tradnl"/>
              </w:rPr>
              <w:t>Los principios de la Agenda para el Desarrollo siguen incorporándose en los programas y actividades de la Organización.</w:t>
            </w:r>
          </w:p>
          <w:p w:rsidR="00525604" w:rsidRPr="00A34388" w:rsidRDefault="00525604" w:rsidP="00853209">
            <w:pPr>
              <w:spacing w:before="80"/>
              <w:ind w:firstLineChars="100" w:firstLine="140"/>
              <w:rPr>
                <w:color w:val="808080"/>
                <w:sz w:val="14"/>
                <w:szCs w:val="14"/>
                <w:lang w:val="es-ES_tradnl"/>
              </w:rPr>
            </w:pPr>
            <w:r w:rsidRPr="00332758">
              <w:rPr>
                <w:sz w:val="14"/>
                <w:lang w:val="es-ES_tradnl"/>
              </w:rPr>
              <w:t> </w:t>
            </w: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Número de recomendaciones de la Agenda para el Desarrollo vinculadas con los resultados previstos en el presupuesto por programas de 2010/11.</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recomendaciones de la Agenda para el Desarrollo vinculadas con los indicadores de rendimiento en el presupuesto por programas de 2010/11.</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Aplicación del mecanismo de coordinación aprobado por los Estados miembros.</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val="restart"/>
            <w:shd w:val="clear" w:color="auto" w:fill="auto"/>
          </w:tcPr>
          <w:p w:rsidR="00525604" w:rsidRPr="00A34388" w:rsidRDefault="00525604" w:rsidP="00853209">
            <w:pPr>
              <w:spacing w:before="80"/>
              <w:rPr>
                <w:sz w:val="14"/>
                <w:szCs w:val="14"/>
                <w:lang w:val="es-ES_tradnl"/>
              </w:rPr>
            </w:pPr>
            <w:r w:rsidRPr="00332758">
              <w:rPr>
                <w:sz w:val="14"/>
                <w:lang w:val="es-ES_tradnl"/>
              </w:rPr>
              <w:t>Eficacia en la planificación, aplicación, supervisión, evaluación y presentación de informes respecto de las recomendaciones de la Agenda para el Desarrollo</w:t>
            </w:r>
            <w:r w:rsidRPr="00A34388">
              <w:rPr>
                <w:color w:val="FF00FF"/>
                <w:sz w:val="14"/>
                <w:lang w:val="es-ES_tradnl"/>
              </w:rPr>
              <w:t>.</w:t>
            </w:r>
          </w:p>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recomendaciones de la Agenda para el Desarrollo que abordó el CDIP mediante proyectos, actividades y estudios.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proyectos aprobados por el CDIP.</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ind w:firstLineChars="100" w:firstLine="14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proyectos sometidos a examen del CDIP propuestos por los Estados miembros.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proyectos que son objeto de supervisión sistemática.</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Porcentaje de proyectos que han sido evaluados durante el bienio.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ind w:firstLineChars="100" w:firstLine="140"/>
              <w:rPr>
                <w:sz w:val="14"/>
                <w:szCs w:val="14"/>
                <w:lang w:val="es-ES_tradnl"/>
              </w:rPr>
            </w:pPr>
            <w:r w:rsidRPr="00A34388">
              <w:rPr>
                <w:sz w:val="14"/>
                <w:lang w:val="es-ES_tradnl"/>
              </w:rPr>
              <w:t> </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Información recibida acerca de la calidad de los informes presentados al CDIP sobre la aplicación de las recomendaciones de la Agenda para el Desarrollo.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Mejor comprensión de la Agenda para el Desarrollo por los Estados miembros, las OIG, la sociedad civil y demás sectores interesados.</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países que solicitan asistencia técnica mediante proyectos de la Agenda para el Desarrollo y que expresan interés en las actividades relacionadas con la Agenda para el Desarrollo.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8</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Reconocimiento por los Estados miembros, las comunidades, las organizaciones y otros sectores interesados de la utilidad y eficacia de los recursos, programas e instrumentos de la OMPI.</w:t>
            </w: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Número de solicitudes de asistencia recibidas por la OMPI.</w:t>
            </w:r>
            <w:r w:rsidRPr="00A34388">
              <w:rPr>
                <w:sz w:val="14"/>
                <w:lang w:val="es-ES_tradnl"/>
              </w:rPr>
              <w:t xml:space="preserve"> </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4</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val="restart"/>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Aumento de los recursos extrapresupuestarios disponibles para utilizar la P.I. en aras del desarrollo por medio de contribuciones directas a la OMPI o gracias al acceso a otros mecanismos de financiación externos.</w:t>
            </w: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Aumento de los fondos disponibles por medio de acuerdos de fondos fiduciarios.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20</w:t>
            </w:r>
          </w:p>
        </w:tc>
        <w:tc>
          <w:tcPr>
            <w:tcW w:w="0" w:type="auto"/>
          </w:tcPr>
          <w:p w:rsidR="00525604" w:rsidRPr="00A34388" w:rsidRDefault="00525604"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525604" w:rsidRPr="00A34388" w:rsidTr="00853209">
        <w:tc>
          <w:tcPr>
            <w:tcW w:w="0" w:type="auto"/>
            <w:vMerge/>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color w:val="808080"/>
                <w:sz w:val="14"/>
                <w:szCs w:val="14"/>
                <w:lang w:val="es-ES_tradnl"/>
              </w:rPr>
            </w:pPr>
            <w:r w:rsidRPr="00332758">
              <w:rPr>
                <w:sz w:val="14"/>
                <w:lang w:val="es-ES_tradnl"/>
              </w:rPr>
              <w:t>Número y valor financiero de los proyectos ejecutados por la OMPI con financiación proveniente de mecanismos externos existentes financiados por donantes.</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20</w:t>
            </w:r>
          </w:p>
        </w:tc>
        <w:tc>
          <w:tcPr>
            <w:tcW w:w="0" w:type="auto"/>
          </w:tcPr>
          <w:p w:rsidR="00525604" w:rsidRPr="00A34388" w:rsidRDefault="00525604" w:rsidP="00853209">
            <w:pPr>
              <w:spacing w:before="20"/>
              <w:jc w:val="center"/>
              <w:rPr>
                <w:sz w:val="22"/>
                <w:szCs w:val="22"/>
                <w:lang w:val="es-ES_tradnl"/>
              </w:rPr>
            </w:pPr>
            <w:r w:rsidRPr="00A34388">
              <w:rPr>
                <w:rFonts w:cs="Arial"/>
                <w:sz w:val="22"/>
                <w:szCs w:val="22"/>
                <w:lang w:val="es-ES_tradnl"/>
              </w:rPr>
              <w:sym w:font="Wingdings" w:char="F06C"/>
            </w:r>
          </w:p>
        </w:tc>
      </w:tr>
      <w:tr w:rsidR="00525604" w:rsidRPr="00A34388" w:rsidTr="00853209">
        <w:tc>
          <w:tcPr>
            <w:tcW w:w="0" w:type="auto"/>
            <w:shd w:val="clear" w:color="auto" w:fill="auto"/>
          </w:tcPr>
          <w:p w:rsidR="00525604" w:rsidRPr="00A34388" w:rsidRDefault="00525604" w:rsidP="00853209">
            <w:pPr>
              <w:spacing w:before="80"/>
              <w:rPr>
                <w:sz w:val="14"/>
                <w:szCs w:val="14"/>
                <w:lang w:val="es-ES_tradnl"/>
              </w:rPr>
            </w:pPr>
          </w:p>
        </w:tc>
        <w:tc>
          <w:tcPr>
            <w:tcW w:w="0" w:type="auto"/>
            <w:shd w:val="clear" w:color="auto" w:fill="auto"/>
          </w:tcPr>
          <w:p w:rsidR="00525604" w:rsidRPr="00A34388" w:rsidRDefault="00525604" w:rsidP="00853209">
            <w:pPr>
              <w:spacing w:before="80"/>
              <w:rPr>
                <w:sz w:val="14"/>
                <w:szCs w:val="14"/>
                <w:lang w:val="es-ES_tradnl"/>
              </w:rPr>
            </w:pPr>
            <w:r w:rsidRPr="00332758">
              <w:rPr>
                <w:sz w:val="14"/>
                <w:lang w:val="es-ES_tradnl"/>
              </w:rPr>
              <w:t>Elaboración de las Directrices de la OMPI para la Colaboración con el Sector Privado.</w:t>
            </w:r>
          </w:p>
        </w:tc>
        <w:tc>
          <w:tcPr>
            <w:tcW w:w="0" w:type="auto"/>
            <w:shd w:val="clear" w:color="auto" w:fill="auto"/>
          </w:tcPr>
          <w:p w:rsidR="00525604" w:rsidRPr="00A34388" w:rsidRDefault="00525604" w:rsidP="00853209">
            <w:pPr>
              <w:spacing w:before="80"/>
              <w:jc w:val="center"/>
              <w:rPr>
                <w:sz w:val="14"/>
                <w:szCs w:val="14"/>
                <w:lang w:val="es-ES_tradnl"/>
              </w:rPr>
            </w:pPr>
            <w:r w:rsidRPr="00332758">
              <w:rPr>
                <w:sz w:val="14"/>
                <w:lang w:val="es-ES_tradnl"/>
              </w:rPr>
              <w:t>Programa 20</w:t>
            </w:r>
          </w:p>
        </w:tc>
        <w:tc>
          <w:tcPr>
            <w:tcW w:w="0" w:type="auto"/>
          </w:tcPr>
          <w:p w:rsidR="00525604" w:rsidRPr="00A34388" w:rsidRDefault="00525604" w:rsidP="00853209">
            <w:pPr>
              <w:spacing w:before="20"/>
              <w:ind w:left="62" w:hanging="14"/>
              <w:jc w:val="center"/>
              <w:rPr>
                <w:sz w:val="22"/>
                <w:szCs w:val="22"/>
                <w:lang w:val="es-ES_tradnl"/>
              </w:rPr>
            </w:pPr>
            <w:r w:rsidRPr="00A34388">
              <w:rPr>
                <w:rFonts w:cs="Arial"/>
                <w:color w:val="FF0000"/>
                <w:sz w:val="22"/>
                <w:szCs w:val="22"/>
                <w:lang w:val="es-ES_tradnl"/>
              </w:rPr>
              <w:sym w:font="Wingdings" w:char="F06C"/>
            </w:r>
          </w:p>
        </w:tc>
      </w:tr>
    </w:tbl>
    <w:p w:rsidR="00525604" w:rsidRPr="00A34388" w:rsidRDefault="00525604" w:rsidP="00525604">
      <w:pPr>
        <w:rPr>
          <w:rFonts w:ascii="Arial Bold" w:eastAsiaTheme="majorEastAsia" w:hAnsi="Arial Bold" w:cstheme="majorBidi" w:hint="eastAsia"/>
          <w:b/>
          <w:bCs/>
          <w:sz w:val="22"/>
          <w:lang w:val="es-ES_tradnl"/>
        </w:rPr>
      </w:pPr>
      <w:r w:rsidRPr="00A34388">
        <w:rPr>
          <w:lang w:val="es-ES_tradnl"/>
        </w:rPr>
        <w:br w:type="page"/>
      </w:r>
    </w:p>
    <w:p w:rsidR="00391D6B" w:rsidRPr="003934C8" w:rsidRDefault="00391D6B" w:rsidP="00391D6B">
      <w:pPr>
        <w:pStyle w:val="Heading3"/>
        <w:rPr>
          <w:rFonts w:hint="eastAsia"/>
          <w:lang w:val="es-ES"/>
        </w:rPr>
      </w:pPr>
      <w:bookmarkStart w:id="36" w:name="_Toc395279662"/>
      <w:r w:rsidRPr="003934C8">
        <w:rPr>
          <w:lang w:val="es-ES"/>
        </w:rPr>
        <w:lastRenderedPageBreak/>
        <w:t>Programa 8</w:t>
      </w:r>
      <w:r w:rsidRPr="003934C8">
        <w:rPr>
          <w:lang w:val="es-ES"/>
        </w:rPr>
        <w:tab/>
        <w:t>Coordinación de la Agenda para el Desarrollo</w:t>
      </w:r>
      <w:bookmarkEnd w:id="36"/>
    </w:p>
    <w:p w:rsidR="00525604" w:rsidRPr="00391D6B" w:rsidRDefault="00525604" w:rsidP="00525604">
      <w:pPr>
        <w:ind w:left="2268" w:hanging="2268"/>
        <w:rPr>
          <w:rFonts w:cs="Arial"/>
          <w:b/>
          <w:sz w:val="22"/>
          <w:szCs w:val="22"/>
          <w:lang w:val="es-ES"/>
        </w:rPr>
      </w:pPr>
    </w:p>
    <w:p w:rsidR="00525604" w:rsidRPr="00332758" w:rsidRDefault="00525604" w:rsidP="00525604">
      <w:pPr>
        <w:ind w:left="2694" w:hanging="2694"/>
        <w:rPr>
          <w:rFonts w:cs="Arial"/>
          <w:b/>
          <w:sz w:val="22"/>
          <w:szCs w:val="22"/>
          <w:lang w:val="es-ES_tradnl"/>
        </w:rPr>
      </w:pPr>
      <w:r w:rsidRPr="00332758">
        <w:rPr>
          <w:b/>
          <w:sz w:val="22"/>
          <w:lang w:val="es-ES_tradnl"/>
        </w:rPr>
        <w:t>Director del Programa</w:t>
      </w:r>
      <w:r w:rsidRPr="00332758">
        <w:rPr>
          <w:sz w:val="22"/>
          <w:lang w:val="es-ES_tradnl"/>
        </w:rPr>
        <w:t xml:space="preserve"> </w:t>
      </w:r>
      <w:r w:rsidRPr="00A34388">
        <w:rPr>
          <w:lang w:val="es-ES_tradnl"/>
        </w:rPr>
        <w:tab/>
      </w:r>
      <w:r w:rsidRPr="00332758">
        <w:rPr>
          <w:b/>
          <w:sz w:val="22"/>
          <w:lang w:val="es-ES_tradnl"/>
        </w:rPr>
        <w:t>Sr. G. Onyeama</w:t>
      </w:r>
    </w:p>
    <w:p w:rsidR="00525604" w:rsidRPr="00A34388" w:rsidRDefault="00525604" w:rsidP="00525604">
      <w:pPr>
        <w:ind w:left="2268" w:hanging="2268"/>
        <w:rPr>
          <w:sz w:val="22"/>
          <w:szCs w:val="22"/>
          <w:lang w:val="es-ES_tradnl"/>
        </w:rPr>
      </w:pPr>
    </w:p>
    <w:p w:rsidR="00525604" w:rsidRPr="00A34388" w:rsidRDefault="00525604" w:rsidP="00525604">
      <w:pPr>
        <w:ind w:left="2268" w:hanging="2268"/>
        <w:rPr>
          <w:sz w:val="22"/>
          <w:szCs w:val="22"/>
          <w:lang w:val="es-ES_tradnl"/>
        </w:rPr>
      </w:pPr>
    </w:p>
    <w:p w:rsidR="00525604" w:rsidRPr="00A34388" w:rsidRDefault="003E3F45" w:rsidP="00525604">
      <w:pPr>
        <w:ind w:left="2268" w:hanging="2268"/>
        <w:rPr>
          <w:rFonts w:cs="Arial"/>
          <w:sz w:val="22"/>
          <w:szCs w:val="22"/>
          <w:lang w:val="es-ES_tradnl"/>
        </w:rPr>
      </w:pPr>
      <w:r>
        <w:rPr>
          <w:sz w:val="22"/>
          <w:lang w:val="es-ES_tradnl"/>
        </w:rPr>
        <w:t>AVANCES LOGRADOS EN EL BIENIO 2012/13</w:t>
      </w:r>
    </w:p>
    <w:p w:rsidR="00525604" w:rsidRPr="00A34388" w:rsidRDefault="00525604" w:rsidP="00525604">
      <w:pPr>
        <w:ind w:left="2268" w:hanging="2268"/>
        <w:jc w:val="both"/>
        <w:rPr>
          <w:sz w:val="22"/>
          <w:szCs w:val="22"/>
          <w:lang w:val="es-ES_tradnl"/>
        </w:rPr>
      </w:pPr>
    </w:p>
    <w:p w:rsidR="00525604" w:rsidRPr="00A34388" w:rsidRDefault="00525604" w:rsidP="00525604">
      <w:pPr>
        <w:tabs>
          <w:tab w:val="left" w:pos="709"/>
        </w:tabs>
        <w:jc w:val="both"/>
        <w:rPr>
          <w:bCs/>
          <w:color w:val="000000"/>
          <w:szCs w:val="20"/>
          <w:lang w:val="es-ES_tradnl"/>
        </w:rPr>
      </w:pPr>
      <w:r w:rsidRPr="00332758">
        <w:rPr>
          <w:lang w:val="es-ES_tradnl"/>
        </w:rPr>
        <w:t>8.1.</w:t>
      </w:r>
      <w:r w:rsidRPr="00A34388">
        <w:rPr>
          <w:lang w:val="es-ES_tradnl"/>
        </w:rPr>
        <w:tab/>
      </w:r>
      <w:r w:rsidRPr="00332758">
        <w:rPr>
          <w:lang w:val="es-ES_tradnl"/>
        </w:rPr>
        <w:t>El programa siguió coordinando la aplicación de la Agenda para el Desarrollo de la OMPI, en particular a través de una puesta en práctica de las recomendaciones de la Agenda para el Desarrollo basada en los proyectos y la incorporación efectiva de los principios de la misma en la labor de la Organización.</w:t>
      </w:r>
      <w:r w:rsidRPr="00A34388">
        <w:rPr>
          <w:color w:val="000000"/>
          <w:lang w:val="es-ES_tradnl"/>
        </w:rPr>
        <w:t xml:space="preserve">  Además, se llevaron a cabo numerosas actividades con el fin de ayudar a los Estados miembros a obtener beneficios de la aplicación de la Agenda para el Desarrollo.  La actividad principal del programa consistió en facilitar la labor del Comité de Desarrollo y Propiedad Intelectual (CDIP) durante </w:t>
      </w:r>
      <w:r w:rsidR="009E0D38" w:rsidRPr="00A34388">
        <w:rPr>
          <w:color w:val="000000"/>
          <w:lang w:val="es-ES_tradnl"/>
        </w:rPr>
        <w:t xml:space="preserve">las </w:t>
      </w:r>
      <w:r w:rsidRPr="00A34388">
        <w:rPr>
          <w:color w:val="000000"/>
          <w:lang w:val="es-ES_tradnl"/>
        </w:rPr>
        <w:t>cuatro sesiones del Comité celebradas en 2012/13.</w:t>
      </w:r>
    </w:p>
    <w:p w:rsidR="00525604" w:rsidRPr="00A34388" w:rsidRDefault="00525604" w:rsidP="00525604">
      <w:pPr>
        <w:tabs>
          <w:tab w:val="left" w:pos="709"/>
        </w:tabs>
        <w:jc w:val="both"/>
        <w:rPr>
          <w:bCs/>
          <w:color w:val="000000"/>
          <w:szCs w:val="20"/>
          <w:lang w:val="es-ES_tradnl"/>
        </w:rPr>
      </w:pPr>
    </w:p>
    <w:p w:rsidR="00525604" w:rsidRPr="00A34388" w:rsidRDefault="00525604" w:rsidP="00525604">
      <w:pPr>
        <w:tabs>
          <w:tab w:val="left" w:pos="709"/>
        </w:tabs>
        <w:jc w:val="both"/>
        <w:rPr>
          <w:bCs/>
          <w:color w:val="000000"/>
          <w:szCs w:val="20"/>
          <w:lang w:val="es-ES_tradnl"/>
        </w:rPr>
      </w:pPr>
      <w:r w:rsidRPr="00A34388">
        <w:rPr>
          <w:color w:val="000000"/>
          <w:lang w:val="es-ES_tradnl"/>
        </w:rPr>
        <w:t>8.2.</w:t>
      </w:r>
      <w:r w:rsidRPr="00A34388">
        <w:rPr>
          <w:lang w:val="es-ES_tradnl"/>
        </w:rPr>
        <w:tab/>
      </w:r>
      <w:r w:rsidRPr="00A34388">
        <w:rPr>
          <w:color w:val="000000"/>
          <w:lang w:val="es-ES_tradnl"/>
        </w:rPr>
        <w:t xml:space="preserve">En el bienio 2012/13 se logró un progreso considerable por lo que respecta a la puesta en práctica de las recomendaciones de la Agenda para el Desarrollo.  El CDIP aprobó dos nuevos proyectos propuestos por Burkina Faso y la República de Corea, examinó dos informes anuales del Director General sobre la aplicación de la Agenda para el Desarrollo, dos informes anuales sobre la marcha de la labor relativa a las recomendaciones que deben aplicarse inmediatamente y los proyectos en la Agenda para el Desarrollo, así como catorce informes de evaluación independiente de los proyectos.  </w:t>
      </w:r>
      <w:r w:rsidRPr="00332758">
        <w:rPr>
          <w:lang w:val="es-ES_tradnl"/>
        </w:rPr>
        <w:t xml:space="preserve">Además, el Comité aprobó ejecutar la segunda fase de cuatro proyectos finalizados y evaluados.  </w:t>
      </w:r>
      <w:r w:rsidRPr="00A34388">
        <w:rPr>
          <w:color w:val="000000"/>
          <w:lang w:val="es-ES_tradnl"/>
        </w:rPr>
        <w:t xml:space="preserve">Asimismo, debatió dos documentos presentados por la Asamblea General, en concreto la descripción de la contribución de los órganos pertinentes de la OMPI a la aplicación de las recomendaciones de la Agenda para el Desarrollo que les conciernen y una decisión sobre cuestiones relacionadas con el CDIP.  El Comité debatió también un informe sobre la evaluación de la contribución de la OMPI a la consecución de los Objetivos de Desarrollo del Milenio </w:t>
      </w:r>
      <w:r w:rsidR="00644168">
        <w:rPr>
          <w:color w:val="000000"/>
          <w:lang w:val="es-ES_tradnl"/>
        </w:rPr>
        <w:t xml:space="preserve">(ODM) </w:t>
      </w:r>
      <w:r w:rsidRPr="00A34388">
        <w:rPr>
          <w:color w:val="000000"/>
          <w:lang w:val="es-ES_tradnl"/>
        </w:rPr>
        <w:t xml:space="preserve">de las NN.UU. y tomó nota de:  i) un informe sobre la viabilidad de integrar las necesidades/resultados relativos a los ODM en el marco de resultados bienales de la OMPI;  y ii) un documento sobre la medición de los ODM en otros organismos de las Naciones Unidas y la contribución de la OMPI a estos objetivos.  El CDIP debatió asimismo una evaluación de viabilidad de posibles nuevas actividades de la OMPI relacionadas con la utilización del derecho de autor para promover el acceso a la información y al contenido creativo y consideró la propuesta de aplicación de posibles nuevas actividades de la OMPI.  </w:t>
      </w:r>
      <w:r w:rsidRPr="00332758">
        <w:rPr>
          <w:lang w:val="es-ES_tradnl"/>
        </w:rPr>
        <w:t>Además, el Comité siguió debatiendo sobre documentos relativos a las flexibilidades en materia de patente en el marco jurídico multilateral y su aplicación legislativa en los planos nacional y regional, y llegó a un acuerdo parcial respecto del programa de trabajo sobre flexibilidades en el sistema de propiedad intelectual.</w:t>
      </w:r>
      <w:r w:rsidRPr="00A34388">
        <w:rPr>
          <w:color w:val="000000"/>
          <w:lang w:val="es-ES_tradnl"/>
        </w:rPr>
        <w:t xml:space="preserve">  Además, continuó analizando el examen independiente sobre la asistencia técnica que presta la OMPI en el marco de la cooperación para el desarrollo, de forma paralela al debate sobre la respuesta de la Administración al examen independiente y la propuesta conjunta del Grupo de la Agenda para el Desarrollo y el Grupo Africano.  También con respecto a esta cuestión, tomó nota de un manual de la OMPI sobre prestación de asistencia técnica y de las presentaciones sobre la reestructuración de la base de datos de asistencia técnica de la OMPI   Según lo exigen el mecanismo de coordinación y las modalidades de supervisión, </w:t>
      </w:r>
      <w:r w:rsidR="00644168">
        <w:rPr>
          <w:color w:val="000000"/>
          <w:lang w:val="es-ES_tradnl"/>
        </w:rPr>
        <w:t>evaluación</w:t>
      </w:r>
      <w:r w:rsidRPr="00A34388">
        <w:rPr>
          <w:color w:val="000000"/>
          <w:lang w:val="es-ES_tradnl"/>
        </w:rPr>
        <w:t xml:space="preserve"> y presentación de informes, el Comité comenzó el debate sobre el examen independiente de la aplicación de las recomendaciones de la Agenda para el Desarrollo.  Con respecto a los resultados de los proyectos de la Agenda para el Desarrollo, el CDIP debatió y tomó nota de catorce estudios realizados en el contexto de los proyectos sobre la P.I. y el dominio público, las patentes y el dominio público, la P.I. y las políticas en materia de competencia, y la P.I. y las tecnologías de la información y la comunicación (TIC), la brecha digital y el acceso a los conocimientos, la P.I. y el desarrollo socioeconómico, la </w:t>
      </w:r>
      <w:r w:rsidR="007761B5" w:rsidRPr="00A34388">
        <w:rPr>
          <w:color w:val="000000"/>
          <w:lang w:val="es-ES_tradnl"/>
        </w:rPr>
        <w:t>P</w:t>
      </w:r>
      <w:r w:rsidRPr="00A34388">
        <w:rPr>
          <w:color w:val="000000"/>
          <w:lang w:val="es-ES_tradnl"/>
        </w:rPr>
        <w:t>.</w:t>
      </w:r>
      <w:r w:rsidR="007761B5" w:rsidRPr="00A34388">
        <w:rPr>
          <w:color w:val="000000"/>
          <w:lang w:val="es-ES_tradnl"/>
        </w:rPr>
        <w:t>I</w:t>
      </w:r>
      <w:r w:rsidRPr="00A34388">
        <w:rPr>
          <w:color w:val="000000"/>
          <w:lang w:val="es-ES_tradnl"/>
        </w:rPr>
        <w:t xml:space="preserve">. y la fuga de cerebros, y el proyecto sobre fortalecimiento y desarrollo del sector audiovisual en Burkina Faso y en determinados países de África.  </w:t>
      </w:r>
      <w:r w:rsidRPr="00332758">
        <w:rPr>
          <w:lang w:val="es-ES_tradnl"/>
        </w:rPr>
        <w:t xml:space="preserve">Antes del fin del bienio, </w:t>
      </w:r>
      <w:r w:rsidR="00A364D2" w:rsidRPr="00332758">
        <w:rPr>
          <w:lang w:val="es-ES_tradnl"/>
        </w:rPr>
        <w:t>72</w:t>
      </w:r>
      <w:r w:rsidRPr="00332758">
        <w:rPr>
          <w:lang w:val="es-ES_tradnl"/>
        </w:rPr>
        <w:t xml:space="preserve"> observadores habían participado en la labor del Comité.</w:t>
      </w:r>
    </w:p>
    <w:p w:rsidR="00525604" w:rsidRPr="00332758" w:rsidRDefault="00525604" w:rsidP="00525604">
      <w:pPr>
        <w:tabs>
          <w:tab w:val="left" w:pos="709"/>
        </w:tabs>
        <w:jc w:val="both"/>
        <w:rPr>
          <w:bCs/>
          <w:szCs w:val="20"/>
          <w:lang w:val="es-ES_tradnl"/>
        </w:rPr>
      </w:pPr>
    </w:p>
    <w:p w:rsidR="00525604" w:rsidRPr="00332758" w:rsidRDefault="00525604" w:rsidP="00525604">
      <w:pPr>
        <w:tabs>
          <w:tab w:val="left" w:pos="709"/>
        </w:tabs>
        <w:jc w:val="both"/>
        <w:rPr>
          <w:bCs/>
          <w:szCs w:val="20"/>
          <w:lang w:val="es-ES_tradnl"/>
        </w:rPr>
      </w:pPr>
      <w:r w:rsidRPr="00332758">
        <w:rPr>
          <w:lang w:val="es-ES_tradnl"/>
        </w:rPr>
        <w:t>8.3.</w:t>
      </w:r>
      <w:r w:rsidRPr="00A34388">
        <w:rPr>
          <w:lang w:val="es-ES_tradnl"/>
        </w:rPr>
        <w:tab/>
      </w:r>
      <w:r w:rsidRPr="00332758">
        <w:rPr>
          <w:lang w:val="es-ES_tradnl"/>
        </w:rPr>
        <w:t xml:space="preserve">El programa sigue velando por la correcta aplicación, supervisión, evaluación y presentación de informes de las actividades y proyectos relacionados con la Agenda para el Desarrollo.  A este respecto, se han seguido llevando a cabo esfuerzos para asegurar una aplicación efectiva de las 19 recomendaciones que deben aplicarse inmediatamente.  </w:t>
      </w:r>
    </w:p>
    <w:p w:rsidR="00525604" w:rsidRPr="00A34388" w:rsidRDefault="00525604" w:rsidP="00525604">
      <w:pPr>
        <w:tabs>
          <w:tab w:val="left" w:pos="709"/>
        </w:tabs>
        <w:ind w:left="720" w:hanging="720"/>
        <w:jc w:val="both"/>
        <w:rPr>
          <w:bCs/>
          <w:color w:val="000000"/>
          <w:sz w:val="22"/>
          <w:szCs w:val="22"/>
          <w:lang w:val="es-ES_tradnl"/>
        </w:rPr>
      </w:pPr>
    </w:p>
    <w:p w:rsidR="00525604" w:rsidRPr="00A34388" w:rsidRDefault="00525604" w:rsidP="00525604">
      <w:pPr>
        <w:tabs>
          <w:tab w:val="left" w:pos="709"/>
        </w:tabs>
        <w:ind w:left="2268" w:hanging="2268"/>
        <w:jc w:val="both"/>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525604" w:rsidRPr="00332758" w:rsidRDefault="00525604" w:rsidP="00525604">
      <w:pPr>
        <w:tabs>
          <w:tab w:val="left" w:pos="709"/>
        </w:tabs>
        <w:ind w:left="2268" w:hanging="2268"/>
        <w:jc w:val="both"/>
        <w:rPr>
          <w:sz w:val="22"/>
          <w:szCs w:val="22"/>
          <w:lang w:val="es-ES_tradnl"/>
        </w:rPr>
      </w:pPr>
    </w:p>
    <w:p w:rsidR="00525604" w:rsidRPr="00332758" w:rsidRDefault="00525604" w:rsidP="00525604">
      <w:pPr>
        <w:tabs>
          <w:tab w:val="left" w:pos="709"/>
        </w:tabs>
        <w:autoSpaceDE w:val="0"/>
        <w:autoSpaceDN w:val="0"/>
        <w:adjustRightInd w:val="0"/>
        <w:jc w:val="both"/>
        <w:rPr>
          <w:rFonts w:eastAsia="MS Mincho"/>
          <w:lang w:val="es-ES_tradnl"/>
        </w:rPr>
      </w:pPr>
      <w:r w:rsidRPr="00332758">
        <w:rPr>
          <w:lang w:val="es-ES_tradnl"/>
        </w:rPr>
        <w:t>8.4.</w:t>
      </w:r>
      <w:r w:rsidRPr="00A34388">
        <w:rPr>
          <w:lang w:val="es-ES_tradnl"/>
        </w:rPr>
        <w:tab/>
      </w:r>
      <w:r w:rsidRPr="00332758">
        <w:rPr>
          <w:lang w:val="es-ES_tradnl"/>
        </w:rPr>
        <w:t xml:space="preserve">El programa 8 se encarga de la coordinación de la aplicación de las 45 recomendaciones de la Agenda de la OMPI para el Desarrollo. </w:t>
      </w:r>
    </w:p>
    <w:p w:rsidR="00525604" w:rsidRPr="00A34388" w:rsidRDefault="00525604" w:rsidP="00525604">
      <w:pPr>
        <w:rPr>
          <w:rFonts w:cs="Arial"/>
          <w:sz w:val="22"/>
          <w:szCs w:val="22"/>
          <w:lang w:val="es-ES_tradnl"/>
        </w:rPr>
      </w:pPr>
    </w:p>
    <w:p w:rsidR="00525604" w:rsidRPr="00A34388" w:rsidRDefault="00525604" w:rsidP="00525604">
      <w:pPr>
        <w:autoSpaceDE w:val="0"/>
        <w:autoSpaceDN w:val="0"/>
        <w:adjustRightInd w:val="0"/>
        <w:jc w:val="both"/>
        <w:rPr>
          <w:rFonts w:cs="Arial"/>
          <w:sz w:val="22"/>
          <w:szCs w:val="22"/>
          <w:lang w:val="es-ES_tradnl"/>
        </w:rPr>
      </w:pPr>
      <w:r w:rsidRPr="00332758">
        <w:rPr>
          <w:sz w:val="22"/>
          <w:lang w:val="es-ES_tradnl"/>
        </w:rPr>
        <w:t>DATOS SOBRE EL RENDIMIENTO</w:t>
      </w:r>
    </w:p>
    <w:p w:rsidR="00525604" w:rsidRPr="00A34388" w:rsidRDefault="00525604" w:rsidP="00525604">
      <w:pPr>
        <w:ind w:left="2268" w:hanging="2268"/>
        <w:rPr>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8"/>
        <w:gridCol w:w="1705"/>
        <w:gridCol w:w="1705"/>
        <w:gridCol w:w="3011"/>
        <w:gridCol w:w="1308"/>
      </w:tblGrid>
      <w:tr w:rsidR="00525604"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Los principios de la Agenda para el Desarrollo siguen incorporándose en los programas y actividades de la Organización.</w:t>
            </w:r>
          </w:p>
        </w:tc>
      </w:tr>
      <w:tr w:rsidR="00525604" w:rsidRPr="00A34388" w:rsidTr="00853209">
        <w:trPr>
          <w:cantSplit/>
        </w:trPr>
        <w:tc>
          <w:tcPr>
            <w:tcW w:w="870" w:type="pct"/>
            <w:tcBorders>
              <w:top w:val="single" w:sz="4" w:space="0" w:color="auto"/>
            </w:tcBorders>
            <w:shd w:val="clear" w:color="auto" w:fill="auto"/>
            <w:vAlign w:val="center"/>
          </w:tcPr>
          <w:p w:rsidR="00525604" w:rsidRPr="00A34388" w:rsidRDefault="00525604" w:rsidP="00853209">
            <w:pPr>
              <w:rPr>
                <w:rFonts w:cs="Arial"/>
                <w:color w:val="808080"/>
                <w:sz w:val="16"/>
                <w:szCs w:val="16"/>
                <w:lang w:val="es-ES_tradnl"/>
              </w:rPr>
            </w:pPr>
            <w:r w:rsidRPr="00332758">
              <w:rPr>
                <w:b/>
                <w:sz w:val="16"/>
                <w:lang w:val="es-ES_tradnl"/>
              </w:rPr>
              <w:t>Indicadores de rendimiento</w:t>
            </w:r>
          </w:p>
        </w:tc>
        <w:tc>
          <w:tcPr>
            <w:tcW w:w="911" w:type="pct"/>
            <w:tcBorders>
              <w:top w:val="single" w:sz="4" w:space="0" w:color="auto"/>
            </w:tcBorders>
            <w:shd w:val="clear" w:color="auto" w:fill="auto"/>
            <w:vAlign w:val="center"/>
          </w:tcPr>
          <w:p w:rsidR="00525604" w:rsidRPr="00A34388" w:rsidRDefault="00525604" w:rsidP="00853209">
            <w:pPr>
              <w:rPr>
                <w:rFonts w:cs="Arial"/>
                <w:b/>
                <w:bCs/>
                <w:color w:val="808080"/>
                <w:sz w:val="16"/>
                <w:szCs w:val="16"/>
                <w:lang w:val="es-ES_tradnl"/>
              </w:rPr>
            </w:pPr>
            <w:r w:rsidRPr="00332758">
              <w:rPr>
                <w:b/>
                <w:sz w:val="16"/>
                <w:lang w:val="es-ES_tradnl"/>
              </w:rPr>
              <w:t>Referencia</w:t>
            </w:r>
          </w:p>
        </w:tc>
        <w:tc>
          <w:tcPr>
            <w:tcW w:w="911" w:type="pct"/>
            <w:tcBorders>
              <w:top w:val="single" w:sz="4" w:space="0" w:color="auto"/>
            </w:tcBorders>
            <w:shd w:val="clear" w:color="auto" w:fill="auto"/>
            <w:tcMar>
              <w:top w:w="110" w:type="dxa"/>
            </w:tcMar>
            <w:vAlign w:val="center"/>
          </w:tcPr>
          <w:p w:rsidR="00525604" w:rsidRPr="00A34388" w:rsidRDefault="00525604" w:rsidP="00853209">
            <w:pPr>
              <w:rPr>
                <w:rFonts w:cs="Arial"/>
                <w:b/>
                <w:color w:val="808080"/>
                <w:sz w:val="16"/>
                <w:szCs w:val="16"/>
                <w:lang w:val="es-ES_tradnl"/>
              </w:rPr>
            </w:pPr>
            <w:r w:rsidRPr="00332758">
              <w:rPr>
                <w:b/>
                <w:sz w:val="16"/>
                <w:lang w:val="es-ES_tradnl"/>
              </w:rPr>
              <w:t>Objetivos</w:t>
            </w:r>
          </w:p>
        </w:tc>
        <w:tc>
          <w:tcPr>
            <w:tcW w:w="1609" w:type="pct"/>
            <w:tcBorders>
              <w:top w:val="single" w:sz="4" w:space="0" w:color="auto"/>
            </w:tcBorders>
            <w:shd w:val="clear" w:color="auto" w:fill="FFFFFF"/>
            <w:tcMar>
              <w:top w:w="110" w:type="dxa"/>
            </w:tcMar>
            <w:vAlign w:val="center"/>
          </w:tcPr>
          <w:p w:rsidR="00525604" w:rsidRPr="00A34388" w:rsidRDefault="00525604" w:rsidP="00853209">
            <w:pPr>
              <w:rPr>
                <w:rFonts w:cs="Arial"/>
                <w:color w:val="808080"/>
                <w:sz w:val="16"/>
                <w:szCs w:val="16"/>
                <w:lang w:val="es-ES_tradnl"/>
              </w:rPr>
            </w:pPr>
            <w:r w:rsidRPr="00332758">
              <w:rPr>
                <w:b/>
                <w:sz w:val="16"/>
                <w:lang w:val="es-ES_tradnl"/>
              </w:rPr>
              <w:t>Datos sobre el rendimiento</w:t>
            </w:r>
          </w:p>
        </w:tc>
        <w:tc>
          <w:tcPr>
            <w:tcW w:w="698" w:type="pct"/>
            <w:tcBorders>
              <w:top w:val="single" w:sz="4" w:space="0" w:color="auto"/>
            </w:tcBorders>
            <w:shd w:val="clear" w:color="auto" w:fill="auto"/>
            <w:tcMar>
              <w:top w:w="110" w:type="dxa"/>
            </w:tcMar>
            <w:vAlign w:val="center"/>
          </w:tcPr>
          <w:p w:rsidR="00525604" w:rsidRPr="00332758" w:rsidRDefault="00525604" w:rsidP="00853209">
            <w:pPr>
              <w:keepNext/>
              <w:keepLines/>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recomendaciones de la Agenda para el Desarrollo vinculadas con los resultados previstos en el presupuesto por programas de 2010/11.</w:t>
            </w:r>
          </w:p>
        </w:tc>
        <w:tc>
          <w:tcPr>
            <w:tcW w:w="911" w:type="pct"/>
            <w:shd w:val="clear" w:color="auto" w:fill="auto"/>
          </w:tcPr>
          <w:p w:rsidR="00525604" w:rsidRPr="00A34388" w:rsidRDefault="00525604" w:rsidP="00853209">
            <w:pPr>
              <w:rPr>
                <w:rFonts w:cs="Arial"/>
                <w:sz w:val="16"/>
                <w:szCs w:val="16"/>
                <w:lang w:val="es-ES_tradnl"/>
              </w:rPr>
            </w:pPr>
            <w:r w:rsidRPr="00332758">
              <w:rPr>
                <w:sz w:val="16"/>
                <w:lang w:val="es-ES_tradnl"/>
              </w:rPr>
              <w:t>26 recomendaciones de la Agenda para el Desarrollo vinculadas con un resultado previsto, como mínimo.</w:t>
            </w:r>
          </w:p>
        </w:tc>
        <w:tc>
          <w:tcPr>
            <w:tcW w:w="911" w:type="pct"/>
            <w:shd w:val="clear" w:color="auto" w:fill="auto"/>
            <w:tcMar>
              <w:top w:w="110" w:type="dxa"/>
            </w:tcMar>
          </w:tcPr>
          <w:p w:rsidR="00525604" w:rsidRPr="00A34388" w:rsidRDefault="00525604" w:rsidP="00A65074">
            <w:pPr>
              <w:autoSpaceDE w:val="0"/>
              <w:autoSpaceDN w:val="0"/>
              <w:adjustRightInd w:val="0"/>
              <w:rPr>
                <w:rFonts w:cs="Arial"/>
                <w:sz w:val="16"/>
                <w:szCs w:val="16"/>
                <w:lang w:val="es-ES_tradnl"/>
              </w:rPr>
            </w:pPr>
            <w:r w:rsidRPr="00A34388">
              <w:rPr>
                <w:sz w:val="16"/>
                <w:lang w:val="es-ES_tradnl"/>
              </w:rPr>
              <w:t>45 recomendaciones de la Agenda para el Desarrollo</w:t>
            </w:r>
            <w:r w:rsidR="00A65074" w:rsidRPr="00A34388">
              <w:rPr>
                <w:sz w:val="16"/>
                <w:lang w:val="es-ES_tradnl"/>
              </w:rPr>
              <w:t xml:space="preserve"> </w:t>
            </w:r>
            <w:r w:rsidRPr="00A34388">
              <w:rPr>
                <w:sz w:val="16"/>
                <w:lang w:val="es-ES_tradnl"/>
              </w:rPr>
              <w:t>vinculadas</w:t>
            </w:r>
            <w:r w:rsidR="00A65074" w:rsidRPr="00A34388">
              <w:rPr>
                <w:sz w:val="16"/>
                <w:lang w:val="es-ES_tradnl"/>
              </w:rPr>
              <w:t xml:space="preserve"> </w:t>
            </w:r>
            <w:r w:rsidRPr="00A34388">
              <w:rPr>
                <w:sz w:val="16"/>
                <w:lang w:val="es-ES_tradnl"/>
              </w:rPr>
              <w:t>con un resultado previsto en el presupuesto por programas de 2014/15</w:t>
            </w:r>
            <w:r w:rsidR="00A65074" w:rsidRPr="00A34388">
              <w:rPr>
                <w:sz w:val="16"/>
                <w:lang w:val="es-ES_tradnl"/>
              </w:rPr>
              <w:t>, como mínimo</w:t>
            </w:r>
            <w:r w:rsidRPr="00A34388">
              <w:rPr>
                <w:sz w:val="16"/>
                <w:lang w:val="es-ES_tradnl"/>
              </w:rPr>
              <w:t xml:space="preserve">. </w:t>
            </w:r>
          </w:p>
        </w:tc>
        <w:tc>
          <w:tcPr>
            <w:tcW w:w="1609" w:type="pct"/>
            <w:shd w:val="clear" w:color="auto" w:fill="FFFFFF"/>
            <w:tcMar>
              <w:top w:w="110" w:type="dxa"/>
            </w:tcMar>
          </w:tcPr>
          <w:p w:rsidR="00525604" w:rsidRPr="00A34388" w:rsidRDefault="00525604" w:rsidP="00A65074">
            <w:pPr>
              <w:rPr>
                <w:rFonts w:cs="Arial"/>
                <w:sz w:val="16"/>
                <w:szCs w:val="16"/>
                <w:lang w:val="es-ES_tradnl"/>
              </w:rPr>
            </w:pPr>
            <w:r w:rsidRPr="00332758">
              <w:rPr>
                <w:sz w:val="16"/>
                <w:lang w:val="es-ES_tradnl"/>
              </w:rPr>
              <w:t>45 recomendaciones de la Agenda para el Desarrollo vinculadas con un resultado previsto</w:t>
            </w:r>
            <w:r w:rsidR="00A65074" w:rsidRPr="00332758">
              <w:rPr>
                <w:sz w:val="16"/>
                <w:lang w:val="es-ES_tradnl"/>
              </w:rPr>
              <w:t>,</w:t>
            </w:r>
            <w:r w:rsidRPr="00332758">
              <w:rPr>
                <w:sz w:val="16"/>
                <w:lang w:val="es-ES_tradnl"/>
              </w:rPr>
              <w:t xml:space="preserve"> como mínimo.</w:t>
            </w:r>
          </w:p>
        </w:tc>
        <w:tc>
          <w:tcPr>
            <w:tcW w:w="698" w:type="pct"/>
            <w:shd w:val="clear" w:color="auto" w:fill="auto"/>
            <w:tcMar>
              <w:top w:w="110" w:type="dxa"/>
            </w:tcMar>
          </w:tcPr>
          <w:p w:rsidR="00525604" w:rsidRPr="00A34388" w:rsidRDefault="00525604" w:rsidP="00853209">
            <w:pPr>
              <w:keepNext/>
              <w:keepLines/>
              <w:jc w:val="center"/>
              <w:rPr>
                <w:rFonts w:cs="Arial"/>
                <w:bCs/>
                <w:color w:val="10862C"/>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10862C"/>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recomendaciones de la Agenda para el Desarrollo vinculadas con los indicadores de rendimiento en el presupuesto por programas de 2010/11.</w:t>
            </w:r>
          </w:p>
        </w:tc>
        <w:tc>
          <w:tcPr>
            <w:tcW w:w="911" w:type="pct"/>
            <w:shd w:val="clear" w:color="auto" w:fill="auto"/>
          </w:tcPr>
          <w:p w:rsidR="00525604" w:rsidRPr="00A34388" w:rsidRDefault="00525604" w:rsidP="00853209">
            <w:pPr>
              <w:rPr>
                <w:rFonts w:cs="Arial"/>
                <w:sz w:val="16"/>
                <w:szCs w:val="16"/>
                <w:lang w:val="es-ES_tradnl"/>
              </w:rPr>
            </w:pPr>
            <w:r w:rsidRPr="00332758">
              <w:rPr>
                <w:sz w:val="16"/>
                <w:lang w:val="es-ES_tradnl"/>
              </w:rPr>
              <w:t>16 recomendaciones de la Agenda para el Desarrollo.</w:t>
            </w:r>
          </w:p>
        </w:tc>
        <w:tc>
          <w:tcPr>
            <w:tcW w:w="911" w:type="pct"/>
            <w:shd w:val="clear" w:color="auto" w:fill="auto"/>
            <w:tcMar>
              <w:top w:w="110" w:type="dxa"/>
            </w:tcMar>
          </w:tcPr>
          <w:p w:rsidR="00525604" w:rsidRPr="00A34388" w:rsidRDefault="00525604" w:rsidP="00853209">
            <w:pPr>
              <w:autoSpaceDE w:val="0"/>
              <w:autoSpaceDN w:val="0"/>
              <w:adjustRightInd w:val="0"/>
              <w:rPr>
                <w:rFonts w:cs="Arial"/>
                <w:color w:val="808080"/>
                <w:sz w:val="16"/>
                <w:szCs w:val="16"/>
                <w:lang w:val="es-ES_tradnl"/>
              </w:rPr>
            </w:pPr>
            <w:r w:rsidRPr="00332758">
              <w:rPr>
                <w:sz w:val="16"/>
                <w:lang w:val="es-ES_tradnl"/>
              </w:rPr>
              <w:t xml:space="preserve">45 recomendaciones de la Agenda para el Desarrollo vinculadas con los indicadores de rendimiento en el presupuesto por programas de 2014/15. </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45 recomendaciones de la Agenda para el Desarrollo.</w:t>
            </w:r>
          </w:p>
        </w:tc>
        <w:tc>
          <w:tcPr>
            <w:tcW w:w="698" w:type="pct"/>
            <w:shd w:val="clear" w:color="auto" w:fill="auto"/>
            <w:tcMar>
              <w:top w:w="110" w:type="dxa"/>
            </w:tcMar>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Aplicación del mecanismo de coordinación aprobado por los Estados miembros.</w:t>
            </w:r>
            <w:r w:rsidRPr="00A34388">
              <w:rPr>
                <w:sz w:val="16"/>
                <w:lang w:val="es-ES_tradnl"/>
              </w:rPr>
              <w:t xml:space="preserve"> </w:t>
            </w:r>
          </w:p>
        </w:tc>
        <w:tc>
          <w:tcPr>
            <w:tcW w:w="911" w:type="pct"/>
            <w:tcBorders>
              <w:bottom w:val="single" w:sz="4" w:space="0" w:color="auto"/>
            </w:tcBorders>
            <w:shd w:val="clear" w:color="auto" w:fill="auto"/>
          </w:tcPr>
          <w:p w:rsidR="00525604" w:rsidRPr="00A34388" w:rsidRDefault="00525604" w:rsidP="00853209">
            <w:pPr>
              <w:rPr>
                <w:rFonts w:cs="Arial"/>
                <w:sz w:val="16"/>
                <w:szCs w:val="16"/>
                <w:lang w:val="es-ES_tradnl"/>
              </w:rPr>
            </w:pPr>
            <w:r w:rsidRPr="00332758">
              <w:rPr>
                <w:sz w:val="16"/>
                <w:lang w:val="es-ES_tradnl"/>
              </w:rPr>
              <w:t>En abril de 2010, el CDIP aprobó los mecanismos de coordinación y las modalidades de supervisión, evaluación y presentación de informes.</w:t>
            </w:r>
          </w:p>
          <w:p w:rsidR="00525604" w:rsidRPr="00A34388" w:rsidRDefault="00525604" w:rsidP="00853209">
            <w:pPr>
              <w:rPr>
                <w:rFonts w:cs="Arial"/>
                <w:sz w:val="16"/>
                <w:szCs w:val="16"/>
                <w:lang w:val="es-ES_tradnl"/>
              </w:rPr>
            </w:pPr>
          </w:p>
        </w:tc>
        <w:tc>
          <w:tcPr>
            <w:tcW w:w="911" w:type="pct"/>
            <w:tcBorders>
              <w:bottom w:val="single" w:sz="4" w:space="0" w:color="auto"/>
            </w:tcBorders>
            <w:shd w:val="clear" w:color="auto" w:fill="auto"/>
            <w:tcMar>
              <w:top w:w="110" w:type="dxa"/>
            </w:tcMar>
          </w:tcPr>
          <w:p w:rsidR="00525604" w:rsidRPr="00A34388" w:rsidRDefault="00525604" w:rsidP="00853209">
            <w:pPr>
              <w:autoSpaceDE w:val="0"/>
              <w:autoSpaceDN w:val="0"/>
              <w:adjustRightInd w:val="0"/>
              <w:rPr>
                <w:rFonts w:cs="Arial"/>
                <w:sz w:val="16"/>
                <w:szCs w:val="16"/>
                <w:lang w:val="es-ES_tradnl"/>
              </w:rPr>
            </w:pPr>
            <w:r w:rsidRPr="00332758">
              <w:rPr>
                <w:sz w:val="16"/>
                <w:lang w:val="es-ES_tradnl"/>
              </w:rPr>
              <w:t>Mecanismos de coordinación aplicados conforme a la decisión de los Estados miembros.</w:t>
            </w:r>
          </w:p>
        </w:tc>
        <w:tc>
          <w:tcPr>
            <w:tcW w:w="1609" w:type="pct"/>
            <w:tcBorders>
              <w:bottom w:val="single" w:sz="4" w:space="0" w:color="auto"/>
            </w:tcBorders>
            <w:shd w:val="clear" w:color="auto" w:fill="FFFFFF"/>
            <w:tcMar>
              <w:top w:w="110" w:type="dxa"/>
            </w:tcMar>
          </w:tcPr>
          <w:p w:rsidR="00525604" w:rsidRPr="00332758" w:rsidRDefault="00525604" w:rsidP="00853209">
            <w:pPr>
              <w:rPr>
                <w:rFonts w:cs="Arial"/>
                <w:sz w:val="16"/>
                <w:szCs w:val="16"/>
                <w:lang w:val="es-ES_tradnl"/>
              </w:rPr>
            </w:pPr>
            <w:r w:rsidRPr="00332758">
              <w:rPr>
                <w:sz w:val="16"/>
                <w:lang w:val="es-ES_tradnl"/>
              </w:rPr>
              <w:t>Dos informes anuales presentados a las Asambleas, con una descripción de la contribución de los órganos pertinentes de la OMPI a la aplicación de las recomendaciones de la Agenda para el Desarrollo que les conciernen, fueron examinados por el CDIP (WO/GA/43/10)</w:t>
            </w:r>
            <w:r w:rsidRPr="00332758">
              <w:rPr>
                <w:rStyle w:val="FootnoteReference"/>
                <w:sz w:val="16"/>
                <w:lang w:val="es-ES_tradnl"/>
              </w:rPr>
              <w:footnoteReference w:id="15"/>
            </w:r>
            <w:r w:rsidRPr="00332758">
              <w:rPr>
                <w:sz w:val="16"/>
                <w:lang w:val="es-ES_tradnl"/>
              </w:rPr>
              <w:t>.</w:t>
            </w:r>
          </w:p>
        </w:tc>
        <w:tc>
          <w:tcPr>
            <w:tcW w:w="698" w:type="pct"/>
            <w:tcBorders>
              <w:bottom w:val="single" w:sz="4" w:space="0" w:color="auto"/>
            </w:tcBorders>
            <w:shd w:val="clear" w:color="auto" w:fill="auto"/>
            <w:tcMar>
              <w:top w:w="110" w:type="dxa"/>
            </w:tcMar>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Eficacia en la planificación, aplicación, supervisión, evaluación y presentación de informes respecto de las recomendaciones de la Agenda para el Desarrollo.</w:t>
            </w:r>
          </w:p>
        </w:tc>
      </w:tr>
      <w:tr w:rsidR="00525604" w:rsidRPr="00A34388" w:rsidTr="00853209">
        <w:trPr>
          <w:cantSplit/>
        </w:trPr>
        <w:tc>
          <w:tcPr>
            <w:tcW w:w="870" w:type="pct"/>
            <w:tcBorders>
              <w:top w:val="single" w:sz="4" w:space="0" w:color="auto"/>
            </w:tcBorders>
            <w:shd w:val="clear" w:color="auto" w:fill="auto"/>
            <w:vAlign w:val="center"/>
          </w:tcPr>
          <w:p w:rsidR="00525604" w:rsidRPr="00A34388" w:rsidRDefault="00525604" w:rsidP="00853209">
            <w:pPr>
              <w:spacing w:after="40"/>
              <w:rPr>
                <w:rFonts w:cs="Arial"/>
                <w:color w:val="808080"/>
                <w:sz w:val="16"/>
                <w:szCs w:val="16"/>
                <w:lang w:val="es-ES_tradnl"/>
              </w:rPr>
            </w:pPr>
            <w:r w:rsidRPr="00332758">
              <w:rPr>
                <w:b/>
                <w:sz w:val="16"/>
                <w:lang w:val="es-ES_tradnl"/>
              </w:rPr>
              <w:t>Indicadores de rendimiento</w:t>
            </w:r>
          </w:p>
        </w:tc>
        <w:tc>
          <w:tcPr>
            <w:tcW w:w="911" w:type="pct"/>
            <w:tcBorders>
              <w:top w:val="single" w:sz="4" w:space="0" w:color="auto"/>
            </w:tcBorders>
            <w:shd w:val="clear" w:color="auto" w:fill="auto"/>
            <w:vAlign w:val="center"/>
          </w:tcPr>
          <w:p w:rsidR="00525604" w:rsidRPr="00A34388" w:rsidRDefault="00525604" w:rsidP="00853209">
            <w:pPr>
              <w:spacing w:after="40"/>
              <w:rPr>
                <w:rFonts w:cs="Arial"/>
                <w:b/>
                <w:bCs/>
                <w:color w:val="808080"/>
                <w:sz w:val="16"/>
                <w:szCs w:val="16"/>
                <w:lang w:val="es-ES_tradnl"/>
              </w:rPr>
            </w:pPr>
            <w:r w:rsidRPr="00332758">
              <w:rPr>
                <w:b/>
                <w:sz w:val="16"/>
                <w:lang w:val="es-ES_tradnl"/>
              </w:rPr>
              <w:t>Referencia</w:t>
            </w:r>
          </w:p>
        </w:tc>
        <w:tc>
          <w:tcPr>
            <w:tcW w:w="911" w:type="pct"/>
            <w:tcBorders>
              <w:top w:val="single" w:sz="4" w:space="0" w:color="auto"/>
            </w:tcBorders>
            <w:shd w:val="clear" w:color="auto" w:fill="auto"/>
            <w:tcMar>
              <w:top w:w="110" w:type="dxa"/>
            </w:tcMar>
            <w:vAlign w:val="center"/>
          </w:tcPr>
          <w:p w:rsidR="00525604" w:rsidRPr="00A34388" w:rsidRDefault="00525604" w:rsidP="00853209">
            <w:pPr>
              <w:spacing w:after="40"/>
              <w:rPr>
                <w:rFonts w:cs="Arial"/>
                <w:b/>
                <w:color w:val="808080"/>
                <w:sz w:val="16"/>
                <w:szCs w:val="16"/>
                <w:lang w:val="es-ES_tradnl"/>
              </w:rPr>
            </w:pPr>
            <w:r w:rsidRPr="00332758">
              <w:rPr>
                <w:b/>
                <w:sz w:val="16"/>
                <w:lang w:val="es-ES_tradnl"/>
              </w:rPr>
              <w:t>Objetivos</w:t>
            </w:r>
          </w:p>
        </w:tc>
        <w:tc>
          <w:tcPr>
            <w:tcW w:w="1609" w:type="pct"/>
            <w:tcBorders>
              <w:top w:val="single" w:sz="4" w:space="0" w:color="auto"/>
            </w:tcBorders>
            <w:shd w:val="clear" w:color="auto" w:fill="FFFFFF"/>
            <w:tcMar>
              <w:top w:w="110" w:type="dxa"/>
            </w:tcMar>
            <w:vAlign w:val="center"/>
          </w:tcPr>
          <w:p w:rsidR="00525604" w:rsidRPr="00A34388" w:rsidRDefault="00525604" w:rsidP="00853209">
            <w:pPr>
              <w:spacing w:after="40"/>
              <w:rPr>
                <w:rFonts w:cs="Arial"/>
                <w:color w:val="808080"/>
                <w:sz w:val="16"/>
                <w:szCs w:val="16"/>
                <w:lang w:val="es-ES_tradnl"/>
              </w:rPr>
            </w:pPr>
            <w:r w:rsidRPr="00332758">
              <w:rPr>
                <w:b/>
                <w:sz w:val="16"/>
                <w:lang w:val="es-ES_tradnl"/>
              </w:rPr>
              <w:t>Datos sobre el rendimiento</w:t>
            </w:r>
          </w:p>
        </w:tc>
        <w:tc>
          <w:tcPr>
            <w:tcW w:w="698" w:type="pct"/>
            <w:tcBorders>
              <w:top w:val="single" w:sz="4" w:space="0" w:color="auto"/>
            </w:tcBorders>
            <w:shd w:val="clear" w:color="auto" w:fill="auto"/>
            <w:tcMar>
              <w:top w:w="110" w:type="dxa"/>
            </w:tcMar>
            <w:vAlign w:val="center"/>
          </w:tcPr>
          <w:p w:rsidR="00525604" w:rsidRPr="00332758" w:rsidRDefault="00525604" w:rsidP="00853209">
            <w:pPr>
              <w:keepNext/>
              <w:keepLines/>
              <w:spacing w:after="40"/>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70" w:type="pct"/>
            <w:shd w:val="clear" w:color="auto" w:fill="FFFFFF"/>
          </w:tcPr>
          <w:p w:rsidR="00525604" w:rsidRPr="00A34388" w:rsidRDefault="00525604" w:rsidP="00853209">
            <w:pPr>
              <w:rPr>
                <w:rFonts w:cs="Arial"/>
                <w:sz w:val="16"/>
                <w:szCs w:val="16"/>
                <w:lang w:val="es-ES_tradnl"/>
              </w:rPr>
            </w:pPr>
            <w:r w:rsidRPr="00332758">
              <w:rPr>
                <w:sz w:val="16"/>
                <w:lang w:val="es-ES_tradnl"/>
              </w:rPr>
              <w:t>Número de recomendaciones de la Agenda para el Desarrollo que abordó el CDIP mediante proyectos, actividades y estudios.</w:t>
            </w:r>
          </w:p>
        </w:tc>
        <w:tc>
          <w:tcPr>
            <w:tcW w:w="911"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 xml:space="preserve">42 recomendaciones </w:t>
            </w:r>
          </w:p>
          <w:p w:rsidR="00525604" w:rsidRPr="00A34388" w:rsidRDefault="00525604" w:rsidP="00853209">
            <w:pPr>
              <w:rPr>
                <w:rFonts w:cs="Arial"/>
                <w:color w:val="002060"/>
                <w:sz w:val="16"/>
                <w:szCs w:val="16"/>
                <w:lang w:val="es-ES_tradnl"/>
              </w:rPr>
            </w:pPr>
            <w:r w:rsidRPr="00A34388">
              <w:rPr>
                <w:color w:val="002060"/>
                <w:sz w:val="16"/>
                <w:lang w:val="es-ES_tradnl"/>
              </w:rPr>
              <w:t>(que no se han aplicado en su totalidad)</w:t>
            </w:r>
          </w:p>
          <w:p w:rsidR="00525604" w:rsidRPr="00A34388" w:rsidRDefault="00525604" w:rsidP="00853209">
            <w:pPr>
              <w:rPr>
                <w:rFonts w:cs="Arial"/>
                <w:i/>
                <w:color w:val="002060"/>
                <w:sz w:val="16"/>
                <w:szCs w:val="16"/>
                <w:lang w:val="es-ES_tradnl"/>
              </w:rPr>
            </w:pPr>
            <w:r w:rsidRPr="00332758">
              <w:rPr>
                <w:i/>
                <w:sz w:val="16"/>
                <w:lang w:val="es-ES_tradnl"/>
              </w:rPr>
              <w:t>(dic. de 2011)</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Presup. por prog. 2012/13:</w:t>
            </w:r>
          </w:p>
          <w:p w:rsidR="00525604" w:rsidRPr="00A34388" w:rsidRDefault="00525604" w:rsidP="00853209">
            <w:pPr>
              <w:rPr>
                <w:rFonts w:cs="Arial"/>
                <w:sz w:val="16"/>
                <w:szCs w:val="16"/>
                <w:lang w:val="es-ES_tradnl"/>
              </w:rPr>
            </w:pPr>
            <w:r w:rsidRPr="00A34388">
              <w:rPr>
                <w:sz w:val="16"/>
                <w:lang w:val="es-ES_tradnl"/>
              </w:rPr>
              <w:t xml:space="preserve">42 recomendaciones </w:t>
            </w:r>
          </w:p>
          <w:p w:rsidR="00525604" w:rsidRPr="00A34388" w:rsidRDefault="00525604" w:rsidP="00853209">
            <w:pPr>
              <w:rPr>
                <w:rFonts w:cs="Arial"/>
                <w:sz w:val="16"/>
                <w:szCs w:val="16"/>
                <w:lang w:val="es-ES_tradnl"/>
              </w:rPr>
            </w:pPr>
            <w:r w:rsidRPr="00A34388">
              <w:rPr>
                <w:sz w:val="16"/>
                <w:lang w:val="es-ES_tradnl"/>
              </w:rPr>
              <w:t>(que no se han aplicado en su totalidad)</w:t>
            </w:r>
          </w:p>
          <w:p w:rsidR="00525604" w:rsidRPr="00A34388" w:rsidRDefault="00525604" w:rsidP="00853209">
            <w:pPr>
              <w:rPr>
                <w:rFonts w:cs="Arial"/>
                <w:sz w:val="16"/>
                <w:szCs w:val="16"/>
                <w:lang w:val="es-ES_tradnl"/>
              </w:rPr>
            </w:pPr>
            <w:r w:rsidRPr="00332758">
              <w:rPr>
                <w:sz w:val="16"/>
                <w:lang w:val="es-ES_tradnl"/>
              </w:rPr>
              <w:t>(dic. de 2010)</w:t>
            </w: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 xml:space="preserve">45 recomendaciones </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45 recomendaciones de la Agenda para el Desarrollo.</w:t>
            </w:r>
          </w:p>
        </w:tc>
        <w:tc>
          <w:tcPr>
            <w:tcW w:w="698" w:type="pct"/>
            <w:shd w:val="clear" w:color="auto" w:fill="auto"/>
            <w:tcMar>
              <w:top w:w="110" w:type="dxa"/>
            </w:tcMar>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lastRenderedPageBreak/>
              <w:t>Número de proyectos aprobados por el CDIP.</w:t>
            </w:r>
          </w:p>
        </w:tc>
        <w:tc>
          <w:tcPr>
            <w:tcW w:w="911"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23 proyectos (fin</w:t>
            </w:r>
            <w:r w:rsidR="00A65074" w:rsidRPr="00A34388">
              <w:rPr>
                <w:color w:val="002060"/>
                <w:sz w:val="16"/>
                <w:lang w:val="es-ES_tradnl"/>
              </w:rPr>
              <w:t>es</w:t>
            </w:r>
            <w:r w:rsidRPr="00A34388">
              <w:rPr>
                <w:color w:val="002060"/>
                <w:sz w:val="16"/>
                <w:lang w:val="es-ES_tradnl"/>
              </w:rPr>
              <w:t xml:space="preserve"> de 2011)</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Presup. por prog. 2012/13:</w:t>
            </w:r>
          </w:p>
          <w:p w:rsidR="00525604" w:rsidRPr="00A34388" w:rsidRDefault="00525604" w:rsidP="00853209">
            <w:pPr>
              <w:rPr>
                <w:rFonts w:cs="Arial"/>
                <w:sz w:val="16"/>
                <w:szCs w:val="16"/>
                <w:lang w:val="es-ES_tradnl"/>
              </w:rPr>
            </w:pPr>
            <w:r w:rsidRPr="00A34388">
              <w:rPr>
                <w:sz w:val="16"/>
                <w:lang w:val="es-ES_tradnl"/>
              </w:rPr>
              <w:t>19 proyectos (fin</w:t>
            </w:r>
            <w:r w:rsidR="00A65074" w:rsidRPr="00A34388">
              <w:rPr>
                <w:sz w:val="16"/>
                <w:lang w:val="es-ES_tradnl"/>
              </w:rPr>
              <w:t>es</w:t>
            </w:r>
            <w:r w:rsidRPr="00A34388">
              <w:rPr>
                <w:sz w:val="16"/>
                <w:lang w:val="es-ES_tradnl"/>
              </w:rPr>
              <w:t xml:space="preserve"> de 2010)</w:t>
            </w: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n.d.</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Se aprobaron 6 proyectos adicionales (en total 29 proyectos, mediante los que se aplican 33 de las recomendaciones de la Agenda para el Desarrollo adoptadas por el CDIP).</w:t>
            </w:r>
          </w:p>
        </w:tc>
        <w:tc>
          <w:tcPr>
            <w:tcW w:w="698" w:type="pct"/>
            <w:shd w:val="clear" w:color="auto" w:fill="auto"/>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Número de proyectos sometidos a examen del CDIP propuestos por los Estados miembros.</w:t>
            </w:r>
          </w:p>
        </w:tc>
        <w:tc>
          <w:tcPr>
            <w:tcW w:w="911" w:type="pct"/>
            <w:shd w:val="clear" w:color="auto" w:fill="auto"/>
          </w:tcPr>
          <w:p w:rsidR="00525604" w:rsidRPr="00A34388" w:rsidRDefault="00525604" w:rsidP="00853209">
            <w:pPr>
              <w:rPr>
                <w:rFonts w:cs="Arial"/>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1 proyecto (fin</w:t>
            </w:r>
            <w:r w:rsidR="00A65074" w:rsidRPr="00A34388">
              <w:rPr>
                <w:color w:val="002060"/>
                <w:sz w:val="16"/>
                <w:lang w:val="es-ES_tradnl"/>
              </w:rPr>
              <w:t>es</w:t>
            </w:r>
            <w:r w:rsidRPr="00A34388">
              <w:rPr>
                <w:color w:val="002060"/>
                <w:sz w:val="16"/>
                <w:lang w:val="es-ES_tradnl"/>
              </w:rPr>
              <w:t xml:space="preserve"> </w:t>
            </w:r>
            <w:r w:rsidR="00A65074" w:rsidRPr="00A34388">
              <w:rPr>
                <w:color w:val="002060"/>
                <w:sz w:val="16"/>
                <w:lang w:val="es-ES_tradnl"/>
              </w:rPr>
              <w:t xml:space="preserve">de </w:t>
            </w:r>
            <w:r w:rsidRPr="00A34388">
              <w:rPr>
                <w:color w:val="002060"/>
                <w:sz w:val="16"/>
                <w:lang w:val="es-ES_tradnl"/>
              </w:rPr>
              <w:t>2011)</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Referencia original</w:t>
            </w:r>
          </w:p>
          <w:p w:rsidR="00525604" w:rsidRPr="00A34388" w:rsidRDefault="00525604" w:rsidP="00853209">
            <w:pPr>
              <w:rPr>
                <w:rFonts w:cs="Arial"/>
                <w:i/>
                <w:sz w:val="16"/>
                <w:szCs w:val="16"/>
                <w:lang w:val="es-ES_tradnl"/>
              </w:rPr>
            </w:pPr>
            <w:r w:rsidRPr="00A34388">
              <w:rPr>
                <w:i/>
                <w:sz w:val="16"/>
                <w:lang w:val="es-ES_tradnl"/>
              </w:rPr>
              <w:t>Presup. por prog. 2012/13:</w:t>
            </w:r>
          </w:p>
          <w:p w:rsidR="00525604" w:rsidRPr="00A34388" w:rsidRDefault="00525604" w:rsidP="00853209">
            <w:pPr>
              <w:rPr>
                <w:rFonts w:cs="Arial"/>
                <w:sz w:val="16"/>
                <w:szCs w:val="16"/>
                <w:lang w:val="es-ES_tradnl"/>
              </w:rPr>
            </w:pPr>
            <w:r w:rsidRPr="00A34388">
              <w:rPr>
                <w:i/>
                <w:sz w:val="16"/>
                <w:lang w:val="es-ES_tradnl"/>
              </w:rPr>
              <w:t>Por determinar.</w:t>
            </w: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Al menos un</w:t>
            </w:r>
          </w:p>
          <w:p w:rsidR="00525604" w:rsidRPr="00A34388" w:rsidRDefault="00525604" w:rsidP="00853209">
            <w:pPr>
              <w:rPr>
                <w:rFonts w:cs="Arial"/>
                <w:sz w:val="16"/>
                <w:szCs w:val="16"/>
                <w:lang w:val="es-ES_tradnl"/>
              </w:rPr>
            </w:pPr>
            <w:r w:rsidRPr="00A34388">
              <w:rPr>
                <w:sz w:val="16"/>
                <w:lang w:val="es-ES_tradnl"/>
              </w:rPr>
              <w:t>proyecto/región</w:t>
            </w:r>
          </w:p>
          <w:p w:rsidR="00525604" w:rsidRPr="00A34388" w:rsidRDefault="00525604" w:rsidP="00853209">
            <w:pPr>
              <w:rPr>
                <w:rFonts w:cs="Arial"/>
                <w:sz w:val="16"/>
                <w:szCs w:val="16"/>
                <w:lang w:val="es-ES_tradnl"/>
              </w:rPr>
            </w:pPr>
            <w:r w:rsidRPr="00A34388">
              <w:rPr>
                <w:sz w:val="16"/>
                <w:lang w:val="es-ES_tradnl"/>
              </w:rPr>
              <w:t>(en 2012/13)</w:t>
            </w:r>
          </w:p>
        </w:tc>
        <w:tc>
          <w:tcPr>
            <w:tcW w:w="1609" w:type="pct"/>
            <w:shd w:val="clear" w:color="auto" w:fill="FFFFFF"/>
            <w:tcMar>
              <w:top w:w="110" w:type="dxa"/>
            </w:tcMar>
          </w:tcPr>
          <w:p w:rsidR="00525604" w:rsidRPr="00A34388" w:rsidRDefault="00A65074" w:rsidP="00A65074">
            <w:pPr>
              <w:rPr>
                <w:rFonts w:cs="Arial"/>
                <w:sz w:val="16"/>
                <w:szCs w:val="16"/>
                <w:lang w:val="es-ES_tradnl"/>
              </w:rPr>
            </w:pPr>
            <w:r w:rsidRPr="00A34388">
              <w:rPr>
                <w:sz w:val="16"/>
                <w:lang w:val="es-ES_tradnl"/>
              </w:rPr>
              <w:t xml:space="preserve">Dos </w:t>
            </w:r>
            <w:r w:rsidR="00525604" w:rsidRPr="00A34388">
              <w:rPr>
                <w:sz w:val="16"/>
                <w:lang w:val="es-ES_tradnl"/>
              </w:rPr>
              <w:t>proyectos propuestos por Burkina Faso y la República de Corea</w:t>
            </w:r>
          </w:p>
        </w:tc>
        <w:tc>
          <w:tcPr>
            <w:tcW w:w="698" w:type="pct"/>
            <w:shd w:val="clear" w:color="auto" w:fill="auto"/>
            <w:tcMar>
              <w:top w:w="110" w:type="dxa"/>
            </w:tcMar>
          </w:tcPr>
          <w:p w:rsidR="00525604" w:rsidRPr="00A34388" w:rsidRDefault="00525604" w:rsidP="00853209">
            <w:pPr>
              <w:keepNext/>
              <w:keepLines/>
              <w:spacing w:after="120"/>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proyectos que son objeto de supervisión sistemática.</w:t>
            </w:r>
          </w:p>
        </w:tc>
        <w:tc>
          <w:tcPr>
            <w:tcW w:w="911" w:type="pct"/>
            <w:shd w:val="clear" w:color="auto" w:fill="auto"/>
          </w:tcPr>
          <w:p w:rsidR="00525604" w:rsidRPr="00A34388" w:rsidRDefault="00525604" w:rsidP="00853209">
            <w:pPr>
              <w:rPr>
                <w:rFonts w:cs="Arial"/>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sz w:val="16"/>
                <w:lang w:val="es-ES_tradnl"/>
              </w:rPr>
              <w:t xml:space="preserve">100% (23 proyectos) </w:t>
            </w:r>
          </w:p>
          <w:p w:rsidR="00525604" w:rsidRPr="00A34388" w:rsidRDefault="00525604" w:rsidP="00853209">
            <w:pPr>
              <w:rPr>
                <w:rFonts w:cs="Arial"/>
                <w:i/>
                <w:sz w:val="8"/>
                <w:szCs w:val="8"/>
                <w:lang w:val="es-ES_tradnl"/>
              </w:rPr>
            </w:pPr>
          </w:p>
          <w:p w:rsidR="00525604" w:rsidRPr="00A34388" w:rsidRDefault="00525604" w:rsidP="00853209">
            <w:pPr>
              <w:rPr>
                <w:rFonts w:cs="Arial"/>
                <w:i/>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Presup. por prog. 2012/13:</w:t>
            </w:r>
          </w:p>
          <w:p w:rsidR="00525604" w:rsidRPr="00A34388" w:rsidRDefault="00525604" w:rsidP="00853209">
            <w:pPr>
              <w:rPr>
                <w:rFonts w:cs="Arial"/>
                <w:sz w:val="16"/>
                <w:szCs w:val="16"/>
                <w:lang w:val="es-ES_tradnl"/>
              </w:rPr>
            </w:pPr>
            <w:r w:rsidRPr="00A34388">
              <w:rPr>
                <w:i/>
                <w:sz w:val="16"/>
                <w:lang w:val="es-ES_tradnl"/>
              </w:rPr>
              <w:t>Referencia</w:t>
            </w:r>
            <w:r w:rsidRPr="00A34388">
              <w:rPr>
                <w:sz w:val="16"/>
                <w:lang w:val="es-ES_tradnl"/>
              </w:rPr>
              <w:t>:</w:t>
            </w:r>
          </w:p>
          <w:p w:rsidR="00525604" w:rsidRPr="00A34388" w:rsidRDefault="00525604" w:rsidP="00853209">
            <w:pPr>
              <w:rPr>
                <w:rFonts w:cs="Arial"/>
                <w:sz w:val="16"/>
                <w:szCs w:val="16"/>
                <w:lang w:val="es-ES_tradnl"/>
              </w:rPr>
            </w:pPr>
            <w:r w:rsidRPr="00A34388">
              <w:rPr>
                <w:sz w:val="16"/>
                <w:lang w:val="es-ES_tradnl"/>
              </w:rPr>
              <w:t xml:space="preserve">100% (17 proyectos) </w:t>
            </w:r>
          </w:p>
          <w:p w:rsidR="00525604" w:rsidRPr="00A34388" w:rsidRDefault="00525604" w:rsidP="00853209">
            <w:pPr>
              <w:rPr>
                <w:rFonts w:cs="Arial"/>
                <w:sz w:val="16"/>
                <w:szCs w:val="16"/>
                <w:lang w:val="es-ES_tradnl"/>
              </w:rPr>
            </w:pP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100%</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Se supervisa el 100% de los 29 proyectos.</w:t>
            </w:r>
            <w:r w:rsidRPr="00A34388">
              <w:rPr>
                <w:sz w:val="16"/>
                <w:lang w:val="es-ES_tradnl"/>
              </w:rPr>
              <w:t xml:space="preserve"> </w:t>
            </w:r>
            <w:r w:rsidRPr="00332758">
              <w:rPr>
                <w:sz w:val="16"/>
                <w:lang w:val="es-ES_tradnl"/>
              </w:rPr>
              <w:t>Se han elaborado y presentado al CDIP los informes sobre la marcha de los proyectos.</w:t>
            </w:r>
          </w:p>
        </w:tc>
        <w:tc>
          <w:tcPr>
            <w:tcW w:w="698" w:type="pct"/>
            <w:shd w:val="clear" w:color="auto" w:fill="auto"/>
          </w:tcPr>
          <w:p w:rsidR="00525604" w:rsidRPr="00A34388" w:rsidRDefault="00525604"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Porcentaje de proyectos que han sido evaluados durante el bienio.</w:t>
            </w:r>
          </w:p>
        </w:tc>
        <w:tc>
          <w:tcPr>
            <w:tcW w:w="911"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100% (12 proyectos)</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Presup. por prog. 2012/13:</w:t>
            </w:r>
          </w:p>
          <w:p w:rsidR="00525604" w:rsidRPr="00A34388" w:rsidRDefault="00525604" w:rsidP="00853209">
            <w:pPr>
              <w:rPr>
                <w:rFonts w:cs="Arial"/>
                <w:sz w:val="16"/>
                <w:szCs w:val="16"/>
                <w:lang w:val="es-ES_tradnl"/>
              </w:rPr>
            </w:pPr>
            <w:r w:rsidRPr="00A34388">
              <w:rPr>
                <w:sz w:val="16"/>
                <w:lang w:val="es-ES_tradnl"/>
              </w:rPr>
              <w:t>100% (14 proyectos)</w:t>
            </w: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A34388">
              <w:rPr>
                <w:sz w:val="16"/>
                <w:lang w:val="es-ES_tradnl"/>
              </w:rPr>
              <w:t>100%</w:t>
            </w:r>
          </w:p>
        </w:tc>
        <w:tc>
          <w:tcPr>
            <w:tcW w:w="1609" w:type="pct"/>
            <w:shd w:val="clear" w:color="auto" w:fill="FFFFFF"/>
            <w:tcMar>
              <w:top w:w="110" w:type="dxa"/>
            </w:tcMar>
          </w:tcPr>
          <w:p w:rsidR="00525604" w:rsidRPr="00A34388" w:rsidRDefault="00525604" w:rsidP="00853209">
            <w:pPr>
              <w:rPr>
                <w:rFonts w:cs="Arial"/>
                <w:sz w:val="16"/>
                <w:szCs w:val="16"/>
                <w:lang w:val="es-ES_tradnl"/>
              </w:rPr>
            </w:pPr>
            <w:r w:rsidRPr="00332758">
              <w:rPr>
                <w:sz w:val="16"/>
                <w:lang w:val="es-ES_tradnl"/>
              </w:rPr>
              <w:t>Se ha evaluado el 100%;  el CDIP examinó 14 informes de evaluación.</w:t>
            </w:r>
          </w:p>
        </w:tc>
        <w:tc>
          <w:tcPr>
            <w:tcW w:w="698" w:type="pct"/>
            <w:shd w:val="clear" w:color="auto" w:fill="auto"/>
            <w:tcMar>
              <w:top w:w="110" w:type="dxa"/>
            </w:tcMar>
          </w:tcPr>
          <w:p w:rsidR="00525604" w:rsidRPr="00A34388" w:rsidRDefault="00525604"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34388" w:rsidTr="00853209">
        <w:trPr>
          <w:cantSplit/>
        </w:trPr>
        <w:tc>
          <w:tcPr>
            <w:tcW w:w="870" w:type="pct"/>
            <w:shd w:val="clear" w:color="auto" w:fill="auto"/>
          </w:tcPr>
          <w:p w:rsidR="00525604" w:rsidRPr="00A34388" w:rsidRDefault="00525604" w:rsidP="00853209">
            <w:pPr>
              <w:rPr>
                <w:rFonts w:cs="Arial"/>
                <w:sz w:val="16"/>
                <w:szCs w:val="16"/>
                <w:lang w:val="es-ES_tradnl"/>
              </w:rPr>
            </w:pPr>
            <w:r w:rsidRPr="00332758">
              <w:rPr>
                <w:sz w:val="16"/>
                <w:lang w:val="es-ES_tradnl"/>
              </w:rPr>
              <w:t>Información recibida acerca de la calidad de los informes presentados al CDIP sobre la aplicación de las recomendaciones de la Agenda para el Desarrollo.</w:t>
            </w:r>
          </w:p>
        </w:tc>
        <w:tc>
          <w:tcPr>
            <w:tcW w:w="911" w:type="pct"/>
            <w:shd w:val="clear" w:color="auto" w:fill="auto"/>
          </w:tcPr>
          <w:p w:rsidR="00525604" w:rsidRPr="00A34388" w:rsidRDefault="00525604" w:rsidP="00853209">
            <w:pPr>
              <w:rPr>
                <w:rFonts w:cs="Arial"/>
                <w:i/>
                <w:color w:val="002060"/>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Comentarios favorables recibidos del CDIP.  Petición específica de que los informes contengan mayor cantidad de información analítica.</w:t>
            </w:r>
          </w:p>
          <w:p w:rsidR="00525604" w:rsidRPr="00A34388" w:rsidRDefault="00525604" w:rsidP="00853209">
            <w:pPr>
              <w:rPr>
                <w:rFonts w:cs="Arial"/>
                <w:i/>
                <w:sz w:val="8"/>
                <w:szCs w:val="8"/>
                <w:lang w:val="es-ES_tradnl"/>
              </w:rPr>
            </w:pPr>
          </w:p>
          <w:p w:rsidR="00525604" w:rsidRPr="00A34388" w:rsidRDefault="00525604" w:rsidP="00853209">
            <w:pPr>
              <w:rPr>
                <w:rFonts w:cs="Arial"/>
                <w:sz w:val="16"/>
                <w:szCs w:val="16"/>
                <w:lang w:val="es-ES_tradnl"/>
              </w:rPr>
            </w:pPr>
            <w:r w:rsidRPr="00A34388">
              <w:rPr>
                <w:i/>
                <w:sz w:val="16"/>
                <w:lang w:val="es-ES_tradnl"/>
              </w:rPr>
              <w:t>Referencia original</w:t>
            </w:r>
          </w:p>
          <w:p w:rsidR="00525604" w:rsidRPr="00A34388" w:rsidRDefault="00525604" w:rsidP="00853209">
            <w:pPr>
              <w:rPr>
                <w:rFonts w:cs="Arial"/>
                <w:sz w:val="16"/>
                <w:szCs w:val="16"/>
                <w:lang w:val="es-ES_tradnl"/>
              </w:rPr>
            </w:pPr>
            <w:r w:rsidRPr="00A34388">
              <w:rPr>
                <w:i/>
                <w:sz w:val="16"/>
                <w:lang w:val="es-ES_tradnl"/>
              </w:rPr>
              <w:t>Presup. por prog. 2012/13:</w:t>
            </w:r>
          </w:p>
          <w:p w:rsidR="00525604" w:rsidRPr="00A34388" w:rsidRDefault="00525604" w:rsidP="00853209">
            <w:pPr>
              <w:rPr>
                <w:rFonts w:cs="Arial"/>
                <w:sz w:val="16"/>
                <w:szCs w:val="16"/>
                <w:lang w:val="es-ES_tradnl"/>
              </w:rPr>
            </w:pPr>
            <w:r w:rsidRPr="00A34388">
              <w:rPr>
                <w:sz w:val="16"/>
                <w:lang w:val="es-ES_tradnl"/>
              </w:rPr>
              <w:t>No se dispone de datos.</w:t>
            </w:r>
          </w:p>
          <w:p w:rsidR="00525604" w:rsidRPr="00A34388" w:rsidRDefault="00525604" w:rsidP="00853209">
            <w:pPr>
              <w:autoSpaceDE w:val="0"/>
              <w:autoSpaceDN w:val="0"/>
              <w:adjustRightInd w:val="0"/>
              <w:rPr>
                <w:rFonts w:cs="Arial"/>
                <w:sz w:val="16"/>
                <w:szCs w:val="16"/>
                <w:lang w:val="es-ES_tradnl"/>
              </w:rPr>
            </w:pPr>
          </w:p>
        </w:tc>
        <w:tc>
          <w:tcPr>
            <w:tcW w:w="911" w:type="pct"/>
            <w:shd w:val="clear" w:color="auto" w:fill="auto"/>
            <w:tcMar>
              <w:top w:w="110" w:type="dxa"/>
            </w:tcMar>
          </w:tcPr>
          <w:p w:rsidR="00525604" w:rsidRPr="00A34388" w:rsidRDefault="00525604" w:rsidP="00853209">
            <w:pPr>
              <w:rPr>
                <w:rFonts w:cs="Arial"/>
                <w:sz w:val="16"/>
                <w:szCs w:val="16"/>
                <w:lang w:val="es-ES_tradnl"/>
              </w:rPr>
            </w:pPr>
            <w:r w:rsidRPr="00332758">
              <w:rPr>
                <w:sz w:val="16"/>
                <w:lang w:val="es-ES_tradnl"/>
              </w:rPr>
              <w:t>Comentarios favorables recibidos del CDIP.</w:t>
            </w:r>
          </w:p>
        </w:tc>
        <w:tc>
          <w:tcPr>
            <w:tcW w:w="1609" w:type="pct"/>
            <w:shd w:val="clear" w:color="auto" w:fill="FFFFFF"/>
            <w:tcMar>
              <w:top w:w="110" w:type="dxa"/>
            </w:tcMar>
          </w:tcPr>
          <w:p w:rsidR="00525604" w:rsidRPr="00A34388" w:rsidRDefault="00525604" w:rsidP="0028326E">
            <w:pPr>
              <w:rPr>
                <w:rFonts w:cs="Arial"/>
                <w:sz w:val="16"/>
                <w:szCs w:val="16"/>
                <w:lang w:val="es-ES_tradnl"/>
              </w:rPr>
            </w:pPr>
            <w:r w:rsidRPr="00A34388">
              <w:rPr>
                <w:sz w:val="16"/>
                <w:lang w:val="es-ES_tradnl"/>
              </w:rPr>
              <w:t xml:space="preserve">Comentarios favorables recibidos del CDIP.  Se </w:t>
            </w:r>
            <w:r w:rsidR="0028326E" w:rsidRPr="00A34388">
              <w:rPr>
                <w:sz w:val="16"/>
                <w:lang w:val="es-ES_tradnl"/>
              </w:rPr>
              <w:t xml:space="preserve">ha continuado pidiendo específicamente </w:t>
            </w:r>
            <w:r w:rsidRPr="00A34388">
              <w:rPr>
                <w:sz w:val="16"/>
                <w:lang w:val="es-ES_tradnl"/>
              </w:rPr>
              <w:t xml:space="preserve">que los informes contengan mayor cantidad de información analítica. </w:t>
            </w:r>
          </w:p>
        </w:tc>
        <w:tc>
          <w:tcPr>
            <w:tcW w:w="698" w:type="pct"/>
            <w:shd w:val="clear" w:color="auto" w:fill="auto"/>
          </w:tcPr>
          <w:p w:rsidR="00525604" w:rsidRPr="00A34388" w:rsidRDefault="00525604"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r w:rsidR="00525604"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525604" w:rsidRPr="00332758" w:rsidRDefault="00525604" w:rsidP="00A04F47">
            <w:pPr>
              <w:keepNext/>
              <w:keepLines/>
              <w:tabs>
                <w:tab w:val="left" w:pos="1452"/>
              </w:tabs>
              <w:spacing w:before="120" w:after="120"/>
              <w:ind w:left="1701" w:hanging="1701"/>
              <w:rPr>
                <w:rFonts w:cs="Arial"/>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Mejor comprensión de la Agenda para el Desarrollo por los Estados miembros, las OIG, la sociedad civil y demás sectores interesados.</w:t>
            </w:r>
          </w:p>
        </w:tc>
      </w:tr>
      <w:tr w:rsidR="00525604" w:rsidRPr="00A34388" w:rsidTr="00853209">
        <w:trPr>
          <w:cantSplit/>
        </w:trPr>
        <w:tc>
          <w:tcPr>
            <w:tcW w:w="870" w:type="pct"/>
            <w:tcBorders>
              <w:top w:val="single" w:sz="4" w:space="0" w:color="auto"/>
            </w:tcBorders>
            <w:shd w:val="clear" w:color="auto" w:fill="auto"/>
            <w:vAlign w:val="center"/>
          </w:tcPr>
          <w:p w:rsidR="00525604" w:rsidRPr="00A34388" w:rsidRDefault="00525604" w:rsidP="00A04F47">
            <w:pPr>
              <w:keepNext/>
              <w:spacing w:after="40"/>
              <w:rPr>
                <w:rFonts w:cs="Arial"/>
                <w:color w:val="808080"/>
                <w:sz w:val="16"/>
                <w:szCs w:val="16"/>
                <w:lang w:val="es-ES_tradnl"/>
              </w:rPr>
            </w:pPr>
            <w:r w:rsidRPr="00332758">
              <w:rPr>
                <w:b/>
                <w:sz w:val="16"/>
                <w:lang w:val="es-ES_tradnl"/>
              </w:rPr>
              <w:t>Indicadores de rendimiento</w:t>
            </w:r>
          </w:p>
        </w:tc>
        <w:tc>
          <w:tcPr>
            <w:tcW w:w="911" w:type="pct"/>
            <w:tcBorders>
              <w:top w:val="single" w:sz="4" w:space="0" w:color="auto"/>
            </w:tcBorders>
            <w:shd w:val="clear" w:color="auto" w:fill="auto"/>
            <w:vAlign w:val="center"/>
          </w:tcPr>
          <w:p w:rsidR="00525604" w:rsidRPr="00A34388" w:rsidRDefault="00525604" w:rsidP="00A04F47">
            <w:pPr>
              <w:keepNext/>
              <w:spacing w:after="40"/>
              <w:rPr>
                <w:rFonts w:cs="Arial"/>
                <w:b/>
                <w:bCs/>
                <w:color w:val="808080"/>
                <w:sz w:val="16"/>
                <w:szCs w:val="16"/>
                <w:lang w:val="es-ES_tradnl"/>
              </w:rPr>
            </w:pPr>
            <w:r w:rsidRPr="00332758">
              <w:rPr>
                <w:b/>
                <w:sz w:val="16"/>
                <w:lang w:val="es-ES_tradnl"/>
              </w:rPr>
              <w:t>Referencia</w:t>
            </w:r>
          </w:p>
        </w:tc>
        <w:tc>
          <w:tcPr>
            <w:tcW w:w="911" w:type="pct"/>
            <w:tcBorders>
              <w:top w:val="single" w:sz="4" w:space="0" w:color="auto"/>
            </w:tcBorders>
            <w:shd w:val="clear" w:color="auto" w:fill="auto"/>
            <w:tcMar>
              <w:top w:w="110" w:type="dxa"/>
            </w:tcMar>
            <w:vAlign w:val="center"/>
          </w:tcPr>
          <w:p w:rsidR="00525604" w:rsidRPr="00A34388" w:rsidRDefault="00525604" w:rsidP="00A04F47">
            <w:pPr>
              <w:keepNext/>
              <w:spacing w:after="40"/>
              <w:rPr>
                <w:rFonts w:cs="Arial"/>
                <w:b/>
                <w:color w:val="808080"/>
                <w:sz w:val="16"/>
                <w:szCs w:val="16"/>
                <w:lang w:val="es-ES_tradnl"/>
              </w:rPr>
            </w:pPr>
            <w:r w:rsidRPr="00332758">
              <w:rPr>
                <w:b/>
                <w:sz w:val="16"/>
                <w:lang w:val="es-ES_tradnl"/>
              </w:rPr>
              <w:t>Objetivos</w:t>
            </w:r>
          </w:p>
        </w:tc>
        <w:tc>
          <w:tcPr>
            <w:tcW w:w="1609" w:type="pct"/>
            <w:tcBorders>
              <w:top w:val="single" w:sz="4" w:space="0" w:color="auto"/>
            </w:tcBorders>
            <w:shd w:val="clear" w:color="auto" w:fill="FFFFFF"/>
            <w:tcMar>
              <w:top w:w="110" w:type="dxa"/>
            </w:tcMar>
            <w:vAlign w:val="center"/>
          </w:tcPr>
          <w:p w:rsidR="00525604" w:rsidRPr="00A34388" w:rsidRDefault="00525604" w:rsidP="00A04F47">
            <w:pPr>
              <w:keepNext/>
              <w:spacing w:after="40"/>
              <w:rPr>
                <w:rFonts w:cs="Arial"/>
                <w:color w:val="808080"/>
                <w:sz w:val="16"/>
                <w:szCs w:val="16"/>
                <w:lang w:val="es-ES_tradnl"/>
              </w:rPr>
            </w:pPr>
            <w:r w:rsidRPr="00332758">
              <w:rPr>
                <w:b/>
                <w:sz w:val="16"/>
                <w:lang w:val="es-ES_tradnl"/>
              </w:rPr>
              <w:t>Datos sobre el rendimiento</w:t>
            </w:r>
          </w:p>
        </w:tc>
        <w:tc>
          <w:tcPr>
            <w:tcW w:w="698" w:type="pct"/>
            <w:tcBorders>
              <w:top w:val="single" w:sz="4" w:space="0" w:color="auto"/>
            </w:tcBorders>
            <w:shd w:val="clear" w:color="auto" w:fill="auto"/>
            <w:tcMar>
              <w:top w:w="110" w:type="dxa"/>
            </w:tcMar>
            <w:vAlign w:val="center"/>
          </w:tcPr>
          <w:p w:rsidR="00525604" w:rsidRPr="00332758" w:rsidRDefault="00525604" w:rsidP="00A04F47">
            <w:pPr>
              <w:keepNext/>
              <w:keepLines/>
              <w:spacing w:after="40"/>
              <w:jc w:val="center"/>
              <w:rPr>
                <w:rFonts w:cs="Arial"/>
                <w:b/>
                <w:bCs/>
                <w:sz w:val="16"/>
                <w:szCs w:val="16"/>
                <w:lang w:val="es-ES_tradnl"/>
              </w:rPr>
            </w:pPr>
            <w:r w:rsidRPr="00332758">
              <w:rPr>
                <w:b/>
                <w:sz w:val="16"/>
                <w:lang w:val="es-ES_tradnl"/>
              </w:rPr>
              <w:t>Clave de colores</w:t>
            </w:r>
          </w:p>
        </w:tc>
      </w:tr>
      <w:tr w:rsidR="00525604" w:rsidRPr="00A34388" w:rsidTr="00853209">
        <w:trPr>
          <w:cantSplit/>
        </w:trPr>
        <w:tc>
          <w:tcPr>
            <w:tcW w:w="870" w:type="pct"/>
            <w:shd w:val="clear" w:color="auto" w:fill="FFFFFF"/>
          </w:tcPr>
          <w:p w:rsidR="00525604" w:rsidRPr="00A34388" w:rsidRDefault="00525604" w:rsidP="00A04F47">
            <w:pPr>
              <w:keepNext/>
              <w:rPr>
                <w:rFonts w:cs="Arial"/>
                <w:sz w:val="16"/>
                <w:szCs w:val="16"/>
                <w:lang w:val="es-ES_tradnl"/>
              </w:rPr>
            </w:pPr>
            <w:r w:rsidRPr="00A34388">
              <w:rPr>
                <w:sz w:val="16"/>
                <w:lang w:val="es-ES_tradnl"/>
              </w:rPr>
              <w:t>Número de países que solicitan</w:t>
            </w:r>
          </w:p>
          <w:p w:rsidR="00525604" w:rsidRPr="00A34388" w:rsidRDefault="00525604" w:rsidP="00A04F47">
            <w:pPr>
              <w:keepNext/>
              <w:rPr>
                <w:rFonts w:cs="Arial"/>
                <w:sz w:val="16"/>
                <w:szCs w:val="16"/>
                <w:lang w:val="es-ES_tradnl"/>
              </w:rPr>
            </w:pPr>
            <w:r w:rsidRPr="00A34388">
              <w:rPr>
                <w:sz w:val="16"/>
                <w:lang w:val="es-ES_tradnl"/>
              </w:rPr>
              <w:t>asistencia técnica mediante proyectos de la Agenda para el Desarrollo y que expresan interés en las actividades relacionadas con la Agenda para el Desarrollo</w:t>
            </w:r>
          </w:p>
        </w:tc>
        <w:tc>
          <w:tcPr>
            <w:tcW w:w="911" w:type="pct"/>
            <w:shd w:val="clear" w:color="auto" w:fill="auto"/>
          </w:tcPr>
          <w:p w:rsidR="00525604" w:rsidRPr="00A34388" w:rsidRDefault="00525604" w:rsidP="00A04F47">
            <w:pPr>
              <w:keepNext/>
              <w:rPr>
                <w:rFonts w:cs="Arial"/>
                <w:i/>
                <w:sz w:val="16"/>
                <w:szCs w:val="16"/>
                <w:lang w:val="es-ES_tradnl"/>
              </w:rPr>
            </w:pPr>
            <w:r w:rsidRPr="00A34388">
              <w:rPr>
                <w:i/>
                <w:color w:val="002060"/>
                <w:sz w:val="16"/>
                <w:lang w:val="es-ES_tradnl"/>
              </w:rPr>
              <w:t xml:space="preserve">Referencia </w:t>
            </w:r>
            <w:r w:rsidR="001778FF" w:rsidRPr="00A34388">
              <w:rPr>
                <w:i/>
                <w:color w:val="002060"/>
                <w:sz w:val="16"/>
                <w:lang w:val="es-ES_tradnl"/>
              </w:rPr>
              <w:t>actualizada a fines</w:t>
            </w:r>
            <w:r w:rsidRPr="00A34388">
              <w:rPr>
                <w:i/>
                <w:color w:val="002060"/>
                <w:sz w:val="16"/>
                <w:lang w:val="es-ES_tradnl"/>
              </w:rPr>
              <w:t xml:space="preserve"> de 2011:</w:t>
            </w:r>
            <w:r w:rsidRPr="00A34388">
              <w:rPr>
                <w:rFonts w:cs="Arial"/>
                <w:color w:val="002060"/>
                <w:sz w:val="16"/>
                <w:szCs w:val="16"/>
                <w:lang w:val="es-ES_tradnl"/>
              </w:rPr>
              <w:br/>
            </w:r>
            <w:r w:rsidRPr="00A34388">
              <w:rPr>
                <w:color w:val="002060"/>
                <w:sz w:val="16"/>
                <w:lang w:val="es-ES_tradnl"/>
              </w:rPr>
              <w:t>Proyectos y actividades relacionados con la Agenda para el Desarrollo en 50 países</w:t>
            </w:r>
          </w:p>
          <w:p w:rsidR="00525604" w:rsidRPr="00A34388" w:rsidRDefault="00525604" w:rsidP="00A04F47">
            <w:pPr>
              <w:keepNext/>
              <w:rPr>
                <w:rFonts w:cs="Arial"/>
                <w:i/>
                <w:sz w:val="16"/>
                <w:szCs w:val="16"/>
                <w:lang w:val="es-ES_tradnl"/>
              </w:rPr>
            </w:pPr>
          </w:p>
          <w:p w:rsidR="00525604" w:rsidRPr="00A34388" w:rsidRDefault="00525604" w:rsidP="00A04F47">
            <w:pPr>
              <w:keepNext/>
              <w:rPr>
                <w:rFonts w:cs="Arial"/>
                <w:sz w:val="16"/>
                <w:szCs w:val="16"/>
                <w:lang w:val="es-ES_tradnl"/>
              </w:rPr>
            </w:pPr>
            <w:r w:rsidRPr="00A34388">
              <w:rPr>
                <w:i/>
                <w:sz w:val="16"/>
                <w:lang w:val="es-ES_tradnl"/>
              </w:rPr>
              <w:t>Referencia</w:t>
            </w:r>
            <w:r w:rsidRPr="00A34388">
              <w:rPr>
                <w:sz w:val="16"/>
                <w:lang w:val="es-ES_tradnl"/>
              </w:rPr>
              <w:t>:</w:t>
            </w:r>
          </w:p>
          <w:p w:rsidR="00525604" w:rsidRPr="00A34388" w:rsidRDefault="00525604" w:rsidP="00A04F47">
            <w:pPr>
              <w:keepNext/>
              <w:rPr>
                <w:rFonts w:cs="Arial"/>
                <w:sz w:val="16"/>
                <w:szCs w:val="16"/>
                <w:lang w:val="es-ES_tradnl"/>
              </w:rPr>
            </w:pPr>
            <w:r w:rsidRPr="00A34388">
              <w:rPr>
                <w:sz w:val="16"/>
                <w:lang w:val="es-ES_tradnl"/>
              </w:rPr>
              <w:t>Proyectos y actividades relacionados con la Agenda para el Desarrollo</w:t>
            </w:r>
          </w:p>
          <w:p w:rsidR="00525604" w:rsidRPr="00A34388" w:rsidRDefault="00525604" w:rsidP="00A04F47">
            <w:pPr>
              <w:keepNext/>
              <w:rPr>
                <w:rFonts w:cs="Arial"/>
                <w:sz w:val="16"/>
                <w:szCs w:val="16"/>
                <w:lang w:val="es-ES_tradnl"/>
              </w:rPr>
            </w:pPr>
            <w:r w:rsidRPr="00A34388">
              <w:rPr>
                <w:sz w:val="16"/>
                <w:lang w:val="es-ES_tradnl"/>
              </w:rPr>
              <w:t>en 50 países</w:t>
            </w:r>
          </w:p>
          <w:p w:rsidR="00525604" w:rsidRPr="00A34388" w:rsidRDefault="00525604" w:rsidP="00A04F47">
            <w:pPr>
              <w:keepNext/>
              <w:rPr>
                <w:rFonts w:cs="Arial"/>
                <w:sz w:val="16"/>
                <w:szCs w:val="16"/>
                <w:lang w:val="es-ES_tradnl"/>
              </w:rPr>
            </w:pPr>
          </w:p>
        </w:tc>
        <w:tc>
          <w:tcPr>
            <w:tcW w:w="911" w:type="pct"/>
            <w:shd w:val="clear" w:color="auto" w:fill="auto"/>
            <w:tcMar>
              <w:top w:w="110" w:type="dxa"/>
            </w:tcMar>
          </w:tcPr>
          <w:p w:rsidR="00525604" w:rsidRPr="00A34388" w:rsidRDefault="00525604" w:rsidP="00A04F47">
            <w:pPr>
              <w:keepNext/>
              <w:rPr>
                <w:rFonts w:cs="Arial"/>
                <w:sz w:val="16"/>
                <w:szCs w:val="16"/>
                <w:lang w:val="es-ES_tradnl"/>
              </w:rPr>
            </w:pPr>
            <w:r w:rsidRPr="00332758">
              <w:rPr>
                <w:sz w:val="16"/>
                <w:lang w:val="es-ES_tradnl"/>
              </w:rPr>
              <w:t>Proyectos y actividades relacionados con la Agenda para el Desarrollo en 50 países.</w:t>
            </w:r>
          </w:p>
        </w:tc>
        <w:tc>
          <w:tcPr>
            <w:tcW w:w="1609" w:type="pct"/>
            <w:shd w:val="clear" w:color="auto" w:fill="FFFFFF"/>
            <w:tcMar>
              <w:top w:w="110" w:type="dxa"/>
            </w:tcMar>
          </w:tcPr>
          <w:p w:rsidR="00525604" w:rsidRPr="00A34388" w:rsidRDefault="00525604" w:rsidP="00A04F47">
            <w:pPr>
              <w:keepNext/>
              <w:rPr>
                <w:rFonts w:cs="Arial"/>
                <w:sz w:val="16"/>
                <w:szCs w:val="16"/>
                <w:lang w:val="es-ES_tradnl"/>
              </w:rPr>
            </w:pPr>
            <w:r w:rsidRPr="00332758">
              <w:rPr>
                <w:sz w:val="16"/>
                <w:lang w:val="es-ES_tradnl"/>
              </w:rPr>
              <w:t>Proyectos y actividades relacionados con la Agenda para el Desarrollo en 50 países.</w:t>
            </w:r>
          </w:p>
        </w:tc>
        <w:tc>
          <w:tcPr>
            <w:tcW w:w="698" w:type="pct"/>
            <w:shd w:val="clear" w:color="auto" w:fill="auto"/>
            <w:tcMar>
              <w:top w:w="110" w:type="dxa"/>
            </w:tcMar>
          </w:tcPr>
          <w:p w:rsidR="00525604" w:rsidRPr="00A34388" w:rsidRDefault="00525604" w:rsidP="00A04F47">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b/>
                <w:color w:val="00B050"/>
                <w:sz w:val="16"/>
                <w:lang w:val="es-ES_tradnl"/>
              </w:rPr>
              <w:t xml:space="preserve"> </w:t>
            </w:r>
          </w:p>
        </w:tc>
      </w:tr>
    </w:tbl>
    <w:p w:rsidR="00525604" w:rsidRPr="00A34388" w:rsidRDefault="00525604" w:rsidP="00525604">
      <w:pPr>
        <w:rPr>
          <w:lang w:val="es-ES_tradnl"/>
        </w:rPr>
      </w:pPr>
    </w:p>
    <w:p w:rsidR="00525604" w:rsidRPr="00A34388" w:rsidRDefault="00525604" w:rsidP="00525604">
      <w:pPr>
        <w:rPr>
          <w:rFonts w:cs="Arial"/>
          <w:lang w:val="es-ES_tradnl"/>
        </w:rPr>
      </w:pPr>
    </w:p>
    <w:p w:rsidR="00525604" w:rsidRPr="00A34388" w:rsidRDefault="00525604" w:rsidP="00525604">
      <w:pPr>
        <w:rPr>
          <w:rFonts w:cs="Arial"/>
          <w:sz w:val="22"/>
          <w:szCs w:val="22"/>
          <w:lang w:val="es-ES_tradnl"/>
        </w:rPr>
      </w:pPr>
      <w:r w:rsidRPr="00332758">
        <w:rPr>
          <w:sz w:val="22"/>
          <w:lang w:val="es-ES_tradnl"/>
        </w:rPr>
        <w:t>PRESUPUESTO Y GASTOS REALES</w:t>
      </w:r>
    </w:p>
    <w:p w:rsidR="00525604" w:rsidRPr="00A34388" w:rsidRDefault="00525604" w:rsidP="00525604">
      <w:pPr>
        <w:rPr>
          <w:rFonts w:cs="Arial"/>
          <w:sz w:val="22"/>
          <w:szCs w:val="22"/>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525604" w:rsidRPr="00A34388" w:rsidRDefault="00525604" w:rsidP="00525604">
      <w:pPr>
        <w:rPr>
          <w:rFonts w:cs="Arial"/>
          <w:sz w:val="22"/>
          <w:szCs w:val="22"/>
          <w:lang w:val="es-ES_tradnl"/>
        </w:rPr>
      </w:pPr>
    </w:p>
    <w:tbl>
      <w:tblPr>
        <w:tblW w:w="0" w:type="auto"/>
        <w:tblInd w:w="108" w:type="dxa"/>
        <w:tblLayout w:type="fixed"/>
        <w:tblLook w:val="04A0" w:firstRow="1" w:lastRow="0" w:firstColumn="1" w:lastColumn="0" w:noHBand="0" w:noVBand="1"/>
      </w:tblPr>
      <w:tblGrid>
        <w:gridCol w:w="409"/>
        <w:gridCol w:w="300"/>
        <w:gridCol w:w="4253"/>
        <w:gridCol w:w="1464"/>
        <w:gridCol w:w="1465"/>
        <w:gridCol w:w="1465"/>
      </w:tblGrid>
      <w:tr w:rsidR="00525604" w:rsidRPr="00A34388" w:rsidTr="00853209">
        <w:tc>
          <w:tcPr>
            <w:tcW w:w="4962"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709" w:type="dxa"/>
            <w:gridSpan w:val="2"/>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III.6</w:t>
            </w:r>
          </w:p>
        </w:tc>
        <w:tc>
          <w:tcPr>
            <w:tcW w:w="4253"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Los principios de la Agenda para el Desarrollo siguen incorporándose en los programas y actividades de la Organización.</w:t>
            </w:r>
          </w:p>
        </w:tc>
        <w:tc>
          <w:tcPr>
            <w:tcW w:w="1464"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2.505 </w:t>
            </w:r>
          </w:p>
        </w:tc>
        <w:tc>
          <w:tcPr>
            <w:tcW w:w="1465"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2.341 </w:t>
            </w:r>
          </w:p>
        </w:tc>
        <w:tc>
          <w:tcPr>
            <w:tcW w:w="1465"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2.060 </w:t>
            </w:r>
          </w:p>
        </w:tc>
      </w:tr>
      <w:tr w:rsidR="00525604" w:rsidRPr="00A34388" w:rsidTr="00853209">
        <w:tc>
          <w:tcPr>
            <w:tcW w:w="709" w:type="dxa"/>
            <w:gridSpan w:val="2"/>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III.7</w:t>
            </w:r>
          </w:p>
        </w:tc>
        <w:tc>
          <w:tcPr>
            <w:tcW w:w="4253" w:type="dxa"/>
            <w:tcBorders>
              <w:top w:val="nil"/>
              <w:left w:val="nil"/>
              <w:bottom w:val="nil"/>
              <w:right w:val="nil"/>
            </w:tcBorders>
            <w:shd w:val="clear" w:color="auto" w:fill="auto"/>
            <w:hideMark/>
          </w:tcPr>
          <w:p w:rsidR="00525604" w:rsidRPr="00A34388" w:rsidRDefault="00525604" w:rsidP="00853209">
            <w:pPr>
              <w:spacing w:before="120"/>
              <w:rPr>
                <w:rFonts w:cs="Arial"/>
                <w:color w:val="808080"/>
                <w:sz w:val="16"/>
                <w:szCs w:val="16"/>
                <w:lang w:val="es-ES_tradnl"/>
              </w:rPr>
            </w:pPr>
            <w:r w:rsidRPr="00332758">
              <w:rPr>
                <w:sz w:val="16"/>
                <w:lang w:val="es-ES_tradnl"/>
              </w:rPr>
              <w:t>Eficacia en la planificación, aplicación, supervisión, evaluación y presentación de informes respecto de las recomendaciones de la Agenda para el Desarrollo.</w:t>
            </w:r>
          </w:p>
        </w:tc>
        <w:tc>
          <w:tcPr>
            <w:tcW w:w="1464"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759 </w:t>
            </w:r>
          </w:p>
        </w:tc>
        <w:tc>
          <w:tcPr>
            <w:tcW w:w="1465"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669 </w:t>
            </w:r>
          </w:p>
        </w:tc>
        <w:tc>
          <w:tcPr>
            <w:tcW w:w="1465"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637 </w:t>
            </w:r>
          </w:p>
        </w:tc>
      </w:tr>
      <w:tr w:rsidR="00525604" w:rsidRPr="00A34388" w:rsidTr="00853209">
        <w:tc>
          <w:tcPr>
            <w:tcW w:w="709" w:type="dxa"/>
            <w:gridSpan w:val="2"/>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III.8</w:t>
            </w:r>
          </w:p>
        </w:tc>
        <w:tc>
          <w:tcPr>
            <w:tcW w:w="4253"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 comprensión de la Agenda para el Desarrollo por los Estados miembros, las OIG, la sociedad civil y demás sectores interesados.</w:t>
            </w:r>
          </w:p>
        </w:tc>
        <w:tc>
          <w:tcPr>
            <w:tcW w:w="1464"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1.523 </w:t>
            </w:r>
          </w:p>
        </w:tc>
        <w:tc>
          <w:tcPr>
            <w:tcW w:w="1465"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924 </w:t>
            </w:r>
          </w:p>
        </w:tc>
        <w:tc>
          <w:tcPr>
            <w:tcW w:w="1465"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 xml:space="preserve">644 </w:t>
            </w:r>
          </w:p>
        </w:tc>
      </w:tr>
      <w:tr w:rsidR="00525604" w:rsidRPr="00A34388" w:rsidTr="00853209">
        <w:tc>
          <w:tcPr>
            <w:tcW w:w="409"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 </w:t>
            </w:r>
          </w:p>
        </w:tc>
        <w:tc>
          <w:tcPr>
            <w:tcW w:w="4553" w:type="dxa"/>
            <w:gridSpan w:val="2"/>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464"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4.788</w:t>
            </w:r>
          </w:p>
        </w:tc>
        <w:tc>
          <w:tcPr>
            <w:tcW w:w="1465"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3.934</w:t>
            </w:r>
          </w:p>
        </w:tc>
        <w:tc>
          <w:tcPr>
            <w:tcW w:w="1465"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3.341</w:t>
            </w:r>
          </w:p>
        </w:tc>
      </w:tr>
    </w:tbl>
    <w:p w:rsidR="00525604" w:rsidRPr="00A34388" w:rsidRDefault="00525604" w:rsidP="00525604">
      <w:pPr>
        <w:rPr>
          <w:lang w:val="es-ES_tradnl"/>
        </w:rPr>
      </w:pPr>
    </w:p>
    <w:p w:rsidR="00A04F47" w:rsidRDefault="00A04F47">
      <w:pPr>
        <w:rPr>
          <w:rFonts w:cs="Arial"/>
          <w:sz w:val="18"/>
          <w:szCs w:val="18"/>
          <w:lang w:val="es-ES_tradnl"/>
        </w:rPr>
      </w:pPr>
      <w:r>
        <w:rPr>
          <w:rFonts w:cs="Arial"/>
          <w:sz w:val="18"/>
          <w:szCs w:val="18"/>
          <w:lang w:val="es-ES_tradnl"/>
        </w:rPr>
        <w:br w:type="page"/>
      </w:r>
    </w:p>
    <w:p w:rsidR="00525604" w:rsidRPr="00A34388" w:rsidRDefault="00525604" w:rsidP="00525604">
      <w:pPr>
        <w:rPr>
          <w:rFonts w:cs="Arial"/>
          <w:sz w:val="18"/>
          <w:szCs w:val="18"/>
          <w:lang w:val="es-ES_tradnl"/>
        </w:rPr>
      </w:pPr>
    </w:p>
    <w:p w:rsidR="00525604" w:rsidRPr="00A34388" w:rsidRDefault="00525604" w:rsidP="00525604">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525604" w:rsidRPr="00332758" w:rsidRDefault="00525604" w:rsidP="00525604">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525604" w:rsidRPr="00A34388" w:rsidRDefault="00525604" w:rsidP="00525604">
      <w:pPr>
        <w:rPr>
          <w:rFonts w:cs="Arial"/>
          <w:sz w:val="22"/>
          <w:szCs w:val="22"/>
          <w:lang w:val="es-ES_tradnl"/>
        </w:rPr>
      </w:pPr>
    </w:p>
    <w:tbl>
      <w:tblPr>
        <w:tblW w:w="0" w:type="auto"/>
        <w:tblLook w:val="04A0" w:firstRow="1" w:lastRow="0" w:firstColumn="1" w:lastColumn="0" w:noHBand="0" w:noVBand="1"/>
      </w:tblPr>
      <w:tblGrid>
        <w:gridCol w:w="2376"/>
        <w:gridCol w:w="1772"/>
        <w:gridCol w:w="1772"/>
        <w:gridCol w:w="1772"/>
        <w:gridCol w:w="1772"/>
      </w:tblGrid>
      <w:tr w:rsidR="00525604" w:rsidRPr="00A34388" w:rsidTr="00853209">
        <w:tc>
          <w:tcPr>
            <w:tcW w:w="2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rPr>
                <w:rFonts w:cs="Arial"/>
                <w:color w:val="000000"/>
                <w:sz w:val="16"/>
                <w:szCs w:val="16"/>
                <w:lang w:val="es-ES_tradnl"/>
              </w:rPr>
            </w:pPr>
            <w:r w:rsidRPr="00A34388">
              <w:rPr>
                <w:color w:val="000000"/>
                <w:sz w:val="16"/>
                <w:lang w:val="es-ES_tradnl"/>
              </w:rPr>
              <w:t> </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72"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2.813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1.975</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1.662</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1.068</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64%</w:t>
            </w:r>
          </w:p>
        </w:tc>
      </w:tr>
      <w:tr w:rsidR="00525604" w:rsidRPr="00A34388" w:rsidTr="0085320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TOTAL </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4.788</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3.934</w:t>
            </w:r>
          </w:p>
        </w:tc>
        <w:tc>
          <w:tcPr>
            <w:tcW w:w="1772"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3.341</w:t>
            </w:r>
          </w:p>
        </w:tc>
        <w:tc>
          <w:tcPr>
            <w:tcW w:w="1772"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85%</w:t>
            </w:r>
          </w:p>
        </w:tc>
      </w:tr>
    </w:tbl>
    <w:p w:rsidR="00525604" w:rsidRPr="00A34388" w:rsidRDefault="00525604" w:rsidP="00525604">
      <w:pPr>
        <w:keepNext/>
        <w:keepLines/>
        <w:tabs>
          <w:tab w:val="left" w:pos="2910"/>
        </w:tabs>
        <w:rPr>
          <w:rFonts w:cs="Arial"/>
          <w:sz w:val="22"/>
          <w:szCs w:val="22"/>
          <w:lang w:val="es-ES_tradnl"/>
        </w:rPr>
      </w:pPr>
    </w:p>
    <w:p w:rsidR="00525604" w:rsidRPr="00A34388" w:rsidRDefault="00525604" w:rsidP="00525604">
      <w:pPr>
        <w:keepNext/>
        <w:keepLines/>
        <w:autoSpaceDE w:val="0"/>
        <w:autoSpaceDN w:val="0"/>
        <w:adjustRightInd w:val="0"/>
        <w:rPr>
          <w:sz w:val="16"/>
          <w:szCs w:val="16"/>
          <w:lang w:val="es-ES_tradnl"/>
        </w:rPr>
      </w:pPr>
      <w:r w:rsidRPr="00332758">
        <w:rPr>
          <w:sz w:val="16"/>
          <w:lang w:val="es-ES_tradnl"/>
        </w:rPr>
        <w:t>NOTAS:</w:t>
      </w:r>
    </w:p>
    <w:p w:rsidR="00525604" w:rsidRPr="00A34388" w:rsidRDefault="00525604" w:rsidP="00525604">
      <w:pPr>
        <w:keepNext/>
        <w:keepLines/>
        <w:autoSpaceDE w:val="0"/>
        <w:autoSpaceDN w:val="0"/>
        <w:adjustRightInd w:val="0"/>
        <w:rPr>
          <w:sz w:val="16"/>
          <w:szCs w:val="16"/>
          <w:lang w:val="es-ES_tradnl"/>
        </w:rPr>
      </w:pPr>
    </w:p>
    <w:p w:rsidR="00525604" w:rsidRPr="00A34388" w:rsidRDefault="00525604" w:rsidP="00525604">
      <w:pPr>
        <w:keepNext/>
        <w:keepLines/>
        <w:autoSpaceDE w:val="0"/>
        <w:autoSpaceDN w:val="0"/>
        <w:adjustRightInd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keepLines/>
        <w:autoSpaceDE w:val="0"/>
        <w:autoSpaceDN w:val="0"/>
        <w:adjustRightInd w:val="0"/>
        <w:rPr>
          <w:sz w:val="16"/>
          <w:szCs w:val="16"/>
          <w:lang w:val="es-ES_tradnl"/>
        </w:rPr>
      </w:pPr>
    </w:p>
    <w:p w:rsidR="00EB2A5D" w:rsidRPr="00A34388" w:rsidRDefault="00525604" w:rsidP="008372FC">
      <w:pPr>
        <w:keepNext/>
        <w:autoSpaceDE w:val="0"/>
        <w:autoSpaceDN w:val="0"/>
        <w:jc w:val="both"/>
        <w:rPr>
          <w:sz w:val="16"/>
          <w:szCs w:val="16"/>
          <w:lang w:val="es-ES_tradnl"/>
        </w:rPr>
      </w:pPr>
      <w:r w:rsidRPr="00A34388">
        <w:rPr>
          <w:sz w:val="16"/>
          <w:lang w:val="es-ES_tradnl"/>
        </w:rPr>
        <w:t xml:space="preserve">2)  </w:t>
      </w:r>
      <w:r w:rsidR="00EB2A5D" w:rsidRPr="00A34388">
        <w:rPr>
          <w:sz w:val="16"/>
          <w:lang w:val="es-ES_tradnl"/>
        </w:rPr>
        <w:t xml:space="preserve">La asignación para el personal del presupuesto de 2012/13 después de las transferencias representa los gastos reales efectuados en el bienio. </w:t>
      </w:r>
    </w:p>
    <w:p w:rsidR="00525604" w:rsidRPr="00A34388" w:rsidRDefault="00525604" w:rsidP="00525604">
      <w:pPr>
        <w:rPr>
          <w:lang w:val="es-ES_tradnl"/>
        </w:rPr>
      </w:pPr>
    </w:p>
    <w:p w:rsidR="00525604" w:rsidRPr="00A34388" w:rsidRDefault="00525604" w:rsidP="00525604">
      <w:pPr>
        <w:rPr>
          <w:lang w:val="es-ES_tradnl"/>
        </w:rPr>
      </w:pPr>
    </w:p>
    <w:p w:rsidR="00525604" w:rsidRPr="00332758" w:rsidRDefault="00525604" w:rsidP="00525604">
      <w:pPr>
        <w:tabs>
          <w:tab w:val="left" w:pos="709"/>
        </w:tabs>
        <w:rPr>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A34388" w:rsidRDefault="00525604" w:rsidP="00525604">
      <w:pPr>
        <w:tabs>
          <w:tab w:val="left" w:pos="709"/>
        </w:tabs>
        <w:autoSpaceDE w:val="0"/>
        <w:autoSpaceDN w:val="0"/>
        <w:adjustRightInd w:val="0"/>
        <w:jc w:val="both"/>
        <w:rPr>
          <w:szCs w:val="20"/>
          <w:lang w:val="es-ES_tradnl"/>
        </w:rPr>
      </w:pPr>
    </w:p>
    <w:p w:rsidR="00525604" w:rsidRPr="00A34388" w:rsidRDefault="00525604" w:rsidP="00525604">
      <w:pPr>
        <w:tabs>
          <w:tab w:val="left" w:pos="709"/>
        </w:tabs>
        <w:autoSpaceDE w:val="0"/>
        <w:autoSpaceDN w:val="0"/>
        <w:adjustRightInd w:val="0"/>
        <w:jc w:val="both"/>
        <w:rPr>
          <w:rFonts w:eastAsia="Batang"/>
          <w:szCs w:val="20"/>
          <w:lang w:val="es-ES_tradnl"/>
        </w:rPr>
      </w:pPr>
      <w:r w:rsidRPr="00332758">
        <w:rPr>
          <w:lang w:val="es-ES_tradnl"/>
        </w:rPr>
        <w:t>8.5.</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r w:rsidRPr="00A34388">
        <w:rPr>
          <w:lang w:val="es-ES_tradnl"/>
        </w:rPr>
        <w:t xml:space="preserve">  Por otra parte, la conferencia sobre P.I. y desarrollo, que estaba previsto que tuviese lugar durante el bienio, se aplazó a petición del Presidente del CDIP, al no llegar a un acuerdo los Estados miembros con respecto a los oradores de la conferencia. </w:t>
      </w:r>
    </w:p>
    <w:p w:rsidR="00525604" w:rsidRPr="00A34388" w:rsidRDefault="00525604" w:rsidP="00525604">
      <w:pPr>
        <w:keepNext/>
        <w:keepLines/>
        <w:tabs>
          <w:tab w:val="left" w:pos="709"/>
        </w:tabs>
        <w:autoSpaceDE w:val="0"/>
        <w:autoSpaceDN w:val="0"/>
        <w:adjustRightInd w:val="0"/>
        <w:rPr>
          <w:szCs w:val="20"/>
          <w:lang w:val="es-ES_tradnl"/>
        </w:rPr>
      </w:pPr>
    </w:p>
    <w:p w:rsidR="00525604" w:rsidRPr="00A34388" w:rsidRDefault="00525604" w:rsidP="00525604">
      <w:pPr>
        <w:keepNext/>
        <w:tabs>
          <w:tab w:val="left" w:pos="709"/>
        </w:tabs>
        <w:autoSpaceDE w:val="0"/>
        <w:autoSpaceDN w:val="0"/>
        <w:rPr>
          <w:lang w:val="es-ES_tradnl"/>
        </w:rPr>
      </w:pPr>
      <w:r w:rsidRPr="00A34388">
        <w:rPr>
          <w:lang w:val="es-ES_tradnl"/>
        </w:rPr>
        <w:t>8.6.</w:t>
      </w:r>
      <w:r w:rsidRPr="00A34388">
        <w:rPr>
          <w:lang w:val="es-ES_tradnl"/>
        </w:rPr>
        <w:tab/>
        <w:t xml:space="preserve">La reducción de la asignación de recursos de personal se debió fundamentalmente al retraso </w:t>
      </w:r>
      <w:r w:rsidR="003E2E2D" w:rsidRPr="00A34388">
        <w:rPr>
          <w:lang w:val="es-ES_tradnl"/>
        </w:rPr>
        <w:t xml:space="preserve">producido en la </w:t>
      </w:r>
      <w:r w:rsidRPr="00A34388">
        <w:rPr>
          <w:lang w:val="es-ES_tradnl"/>
        </w:rPr>
        <w:t xml:space="preserve">contratación </w:t>
      </w:r>
      <w:r w:rsidR="003E2E2D" w:rsidRPr="00A34388">
        <w:rPr>
          <w:lang w:val="es-ES_tradnl"/>
        </w:rPr>
        <w:t xml:space="preserve">de </w:t>
      </w:r>
      <w:r w:rsidRPr="00A34388">
        <w:rPr>
          <w:lang w:val="es-ES_tradnl"/>
        </w:rPr>
        <w:t>vari</w:t>
      </w:r>
      <w:r w:rsidR="003E2E2D" w:rsidRPr="00A34388">
        <w:rPr>
          <w:lang w:val="es-ES_tradnl"/>
        </w:rPr>
        <w:t>o</w:t>
      </w:r>
      <w:r w:rsidRPr="00A34388">
        <w:rPr>
          <w:lang w:val="es-ES_tradnl"/>
        </w:rPr>
        <w:t xml:space="preserve">s </w:t>
      </w:r>
      <w:r w:rsidR="003E2E2D" w:rsidRPr="00A34388">
        <w:rPr>
          <w:lang w:val="es-ES_tradnl"/>
        </w:rPr>
        <w:t xml:space="preserve">puestos </w:t>
      </w:r>
      <w:r w:rsidRPr="00A34388">
        <w:rPr>
          <w:lang w:val="es-ES_tradnl"/>
        </w:rPr>
        <w:t xml:space="preserve">vacantes en el programa. </w:t>
      </w:r>
    </w:p>
    <w:p w:rsidR="00525604" w:rsidRPr="00A34388" w:rsidRDefault="00525604" w:rsidP="00525604">
      <w:pPr>
        <w:rPr>
          <w:rFonts w:eastAsia="Batang"/>
          <w:u w:val="single"/>
          <w:lang w:val="es-ES_tradnl"/>
        </w:rPr>
      </w:pPr>
    </w:p>
    <w:p w:rsidR="00525604" w:rsidRPr="00A34388" w:rsidRDefault="00525604" w:rsidP="00525604">
      <w:pPr>
        <w:tabs>
          <w:tab w:val="left" w:pos="709"/>
        </w:tabs>
        <w:rPr>
          <w:rFonts w:eastAsia="Batang"/>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rPr>
          <w:lang w:val="es-ES_tradnl"/>
        </w:rPr>
      </w:pPr>
    </w:p>
    <w:p w:rsidR="00525604" w:rsidRPr="00A34388" w:rsidRDefault="00525604" w:rsidP="00525604">
      <w:pPr>
        <w:tabs>
          <w:tab w:val="left" w:pos="709"/>
        </w:tabs>
        <w:autoSpaceDE w:val="0"/>
        <w:autoSpaceDN w:val="0"/>
        <w:adjustRightInd w:val="0"/>
        <w:jc w:val="both"/>
        <w:rPr>
          <w:rFonts w:eastAsia="Batang"/>
          <w:lang w:val="es-ES_tradnl"/>
        </w:rPr>
      </w:pPr>
      <w:r w:rsidRPr="00A34388">
        <w:rPr>
          <w:lang w:val="es-ES_tradnl"/>
        </w:rPr>
        <w:t>8.7.</w:t>
      </w:r>
      <w:r w:rsidRPr="00A34388">
        <w:rPr>
          <w:lang w:val="es-ES_tradnl"/>
        </w:rPr>
        <w:tab/>
        <w:t xml:space="preserve">La utilización del presupuesto, del 64%, se debió principalmente a unos gastos menores de lo </w:t>
      </w:r>
      <w:r w:rsidR="003E2E2D" w:rsidRPr="00A34388">
        <w:rPr>
          <w:lang w:val="es-ES_tradnl"/>
        </w:rPr>
        <w:t>esperado por</w:t>
      </w:r>
      <w:r w:rsidRPr="00A34388">
        <w:rPr>
          <w:lang w:val="es-ES_tradnl"/>
        </w:rPr>
        <w:t xml:space="preserve">:  i) sesiones del CDIP, debido al ahorro de costos relacionados con viajes de terceros (resultado III.6);  ii) promoción y comunicación en el marco de la Agenda para el Desarrollo, debido a la organización de un número de seminarios nacionales y regionales </w:t>
      </w:r>
      <w:r w:rsidR="003E2E2D" w:rsidRPr="00A34388">
        <w:rPr>
          <w:lang w:val="es-ES_tradnl"/>
        </w:rPr>
        <w:t xml:space="preserve">inferior a </w:t>
      </w:r>
      <w:r w:rsidRPr="00A34388">
        <w:rPr>
          <w:lang w:val="es-ES_tradnl"/>
        </w:rPr>
        <w:t>los originalmente previstos (resultado III.8);  y iii) ahorro</w:t>
      </w:r>
      <w:r w:rsidR="003E2E2D" w:rsidRPr="00A34388">
        <w:rPr>
          <w:lang w:val="es-ES_tradnl"/>
        </w:rPr>
        <w:t>s</w:t>
      </w:r>
      <w:r w:rsidRPr="00A34388">
        <w:rPr>
          <w:lang w:val="es-ES_tradnl"/>
        </w:rPr>
        <w:t xml:space="preserve"> </w:t>
      </w:r>
      <w:r w:rsidR="003E2E2D" w:rsidRPr="00A34388">
        <w:rPr>
          <w:lang w:val="es-ES_tradnl"/>
        </w:rPr>
        <w:t xml:space="preserve">asociados </w:t>
      </w:r>
      <w:r w:rsidRPr="00A34388">
        <w:rPr>
          <w:lang w:val="es-ES_tradnl"/>
        </w:rPr>
        <w:t xml:space="preserve">a varios servicios contractuales </w:t>
      </w:r>
      <w:r w:rsidR="003E2E2D" w:rsidRPr="00A34388">
        <w:rPr>
          <w:lang w:val="es-ES_tradnl"/>
        </w:rPr>
        <w:t xml:space="preserve">relacionados con </w:t>
      </w:r>
      <w:r w:rsidRPr="00A34388">
        <w:rPr>
          <w:lang w:val="es-ES_tradnl"/>
        </w:rPr>
        <w:t xml:space="preserve">evaluaciones de proyectos de la Agenda para el Desarrollo </w:t>
      </w:r>
      <w:r w:rsidR="003E2E2D" w:rsidRPr="00A34388">
        <w:rPr>
          <w:lang w:val="es-ES_tradnl"/>
        </w:rPr>
        <w:t xml:space="preserve">ya finalizados </w:t>
      </w:r>
      <w:r w:rsidRPr="00A34388">
        <w:rPr>
          <w:lang w:val="es-ES_tradnl"/>
        </w:rPr>
        <w:t xml:space="preserve">(resultado III.7).  </w:t>
      </w:r>
    </w:p>
    <w:p w:rsidR="00525604" w:rsidRPr="00A34388" w:rsidRDefault="00525604" w:rsidP="00525604">
      <w:pPr>
        <w:autoSpaceDE w:val="0"/>
        <w:autoSpaceDN w:val="0"/>
        <w:adjustRightInd w:val="0"/>
        <w:jc w:val="both"/>
        <w:rPr>
          <w:rFonts w:eastAsia="Batang"/>
          <w:lang w:val="es-ES_tradnl"/>
        </w:rPr>
      </w:pPr>
    </w:p>
    <w:p w:rsidR="00525604" w:rsidRPr="00A34388" w:rsidRDefault="00525604" w:rsidP="00525604">
      <w:pPr>
        <w:autoSpaceDE w:val="0"/>
        <w:autoSpaceDN w:val="0"/>
        <w:adjustRightInd w:val="0"/>
        <w:ind w:left="567"/>
        <w:jc w:val="both"/>
        <w:rPr>
          <w:rFonts w:eastAsia="Batang"/>
          <w:lang w:val="es-ES_tradnl"/>
        </w:rPr>
      </w:pPr>
    </w:p>
    <w:p w:rsidR="00525604" w:rsidRPr="00A34388" w:rsidRDefault="00525604" w:rsidP="00525604">
      <w:pPr>
        <w:rPr>
          <w:szCs w:val="20"/>
          <w:lang w:val="es-ES_tradnl"/>
        </w:rPr>
      </w:pPr>
      <w:r w:rsidRPr="00A34388">
        <w:rPr>
          <w:lang w:val="es-ES_tradnl"/>
        </w:rPr>
        <w:br w:type="page"/>
      </w:r>
    </w:p>
    <w:p w:rsidR="00391D6B" w:rsidRPr="003934C8" w:rsidRDefault="00391D6B" w:rsidP="00391D6B">
      <w:pPr>
        <w:pStyle w:val="Heading3"/>
        <w:rPr>
          <w:rFonts w:hint="eastAsia"/>
          <w:lang w:val="es-ES"/>
        </w:rPr>
      </w:pPr>
      <w:bookmarkStart w:id="37" w:name="_Toc395279663"/>
      <w:r w:rsidRPr="003934C8">
        <w:rPr>
          <w:lang w:val="es-ES"/>
        </w:rPr>
        <w:lastRenderedPageBreak/>
        <w:t>Programa 9</w:t>
      </w:r>
      <w:r w:rsidRPr="003934C8">
        <w:rPr>
          <w:lang w:val="es-ES"/>
        </w:rPr>
        <w:tab/>
        <w:t>Países africanos, árabes, de América Latina y el Caribe, de Asia y el Pacífico y países menos adelantados</w:t>
      </w:r>
      <w:bookmarkEnd w:id="37"/>
    </w:p>
    <w:p w:rsidR="00525604" w:rsidRPr="00391D6B" w:rsidRDefault="00525604" w:rsidP="00525604">
      <w:pPr>
        <w:rPr>
          <w:rFonts w:cs="Arial"/>
          <w:sz w:val="22"/>
          <w:szCs w:val="22"/>
          <w:lang w:val="es-ES"/>
        </w:rPr>
      </w:pPr>
    </w:p>
    <w:p w:rsidR="00525604" w:rsidRPr="00332758" w:rsidRDefault="00525604" w:rsidP="00525604">
      <w:pPr>
        <w:tabs>
          <w:tab w:val="left" w:pos="2694"/>
        </w:tabs>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G. Onyeama</w:t>
      </w:r>
    </w:p>
    <w:p w:rsidR="00525604" w:rsidRDefault="00525604" w:rsidP="00525604">
      <w:pPr>
        <w:rPr>
          <w:bCs/>
          <w:sz w:val="22"/>
          <w:szCs w:val="22"/>
          <w:lang w:val="es-ES_tradnl"/>
        </w:rPr>
      </w:pPr>
    </w:p>
    <w:p w:rsidR="008372FC" w:rsidRPr="00A34388" w:rsidRDefault="008372FC" w:rsidP="00525604">
      <w:pPr>
        <w:rPr>
          <w:bCs/>
          <w:sz w:val="22"/>
          <w:szCs w:val="22"/>
          <w:lang w:val="es-ES_tradnl"/>
        </w:rPr>
      </w:pPr>
    </w:p>
    <w:p w:rsidR="00525604" w:rsidRPr="00A34388" w:rsidRDefault="003E3F45" w:rsidP="00525604">
      <w:pPr>
        <w:jc w:val="both"/>
        <w:rPr>
          <w:rFonts w:cs="Arial"/>
          <w:sz w:val="22"/>
          <w:szCs w:val="22"/>
          <w:lang w:val="es-ES_tradnl"/>
        </w:rPr>
      </w:pPr>
      <w:r>
        <w:rPr>
          <w:sz w:val="22"/>
          <w:lang w:val="es-ES_tradnl"/>
        </w:rPr>
        <w:t>AVANCES LOGRADOS EN EL BIENIO 2012/13</w:t>
      </w:r>
    </w:p>
    <w:p w:rsidR="00525604" w:rsidRPr="00A34388" w:rsidRDefault="00525604" w:rsidP="00525604">
      <w:pPr>
        <w:jc w:val="both"/>
        <w:rPr>
          <w:rFonts w:cs="Arial"/>
          <w:sz w:val="22"/>
          <w:szCs w:val="22"/>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lang w:val="es-ES_tradnl"/>
        </w:rPr>
      </w:pPr>
      <w:r w:rsidRPr="00332758">
        <w:rPr>
          <w:lang w:val="es-ES_tradnl"/>
        </w:rPr>
        <w:t>Facilitar el uso de la P.I. en aras del desarrollo y potenciar a los países en desarrollo y los PMA para que utilicen la P.I. para aumentar el potencial y las capacidades de la innovación nacional siguieron siendo los objetivos que guiaron la labor del programa en el bienio.</w:t>
      </w:r>
      <w:r w:rsidRPr="00A34388">
        <w:rPr>
          <w:color w:val="000000"/>
          <w:lang w:val="es-ES_tradnl"/>
        </w:rPr>
        <w:t xml:space="preserve">  </w:t>
      </w:r>
      <w:r w:rsidRPr="00332758">
        <w:rPr>
          <w:lang w:val="es-ES_tradnl"/>
        </w:rPr>
        <w:t>El programa, que sirvió de interfaz principal, por una parte, entre esos Estados miembros y, por otra, entre los distintos programas de la OMPI, fue de suma importancia para garantizar una prestación de asistencia técnica específica para cada país, basada en las necesidades, coherente y bien coordinada.</w:t>
      </w:r>
      <w:r w:rsidRPr="00A34388">
        <w:rPr>
          <w:color w:val="000000"/>
          <w:lang w:val="es-ES_tradnl"/>
        </w:rPr>
        <w:t xml:space="preserve">  </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lang w:val="es-ES_tradnl"/>
        </w:rPr>
      </w:pPr>
      <w:r w:rsidRPr="00332758">
        <w:rPr>
          <w:lang w:val="es-ES_tradnl"/>
        </w:rPr>
        <w:t>En el bienio, el uso de distintos instrumentos, tales como las evaluaciones de necesidades y las misiones de programación, como fundamento de los planes nacionales ha fortalecido el programa de cooperación técnica y mejorado la ejecución de las actividades orientadas al desarrollo destinadas a los países en desarrollo y los PMA, al tiempo que ha permitido que se tenga en cuenta la diversidad y las crecientes necesidades de los países beneficiarios.  Por lo general, se ha producido una mayor incorporación del desarrollo en los diversos programas especializados de la Organización, en concordancia con las recomendaciones de la Agenda para el Desarrollo.</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lang w:val="es-ES_tradnl"/>
        </w:rPr>
      </w:pPr>
      <w:r w:rsidRPr="00A34388">
        <w:rPr>
          <w:color w:val="000000"/>
          <w:lang w:val="es-ES_tradnl"/>
        </w:rPr>
        <w:t xml:space="preserve">Además de seguir fortaleciendo las alianzas existentes, durante el bienio se establecieron nuevas alianzas con otras comunidades económicas regionales e instituciones intergubernamentales, a saber, el Consejo de Cooperación del Golfo, la Unión Económica y Monetaria del África del Oeste (UEMOA), la Organización Internacional de la Francofonía (OIF) y la Agencia universitaria de la Francofonía (AUF), con el fin de crear y/o mejorar las sinergias y obtener mejores resultados en materia de desarrollo.  </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lang w:val="es-ES_tradnl"/>
        </w:rPr>
      </w:pPr>
      <w:r w:rsidRPr="00332758">
        <w:rPr>
          <w:lang w:val="es-ES_tradnl"/>
        </w:rPr>
        <w:t>Asimismo, el programa continuó centrando sus esfuerzos en los cuatro pilares indicados en el PEMP para 2010/15.  Se encargó principalmente de las estrategias y políticas nacionales de P.I., del fortalecimiento de las capacidades en el ámbito de los recursos humanos y de coordinar las actividades relacionadas con la infraestructura institucional y técnica y con los marcos legislativos y reglamentarios.</w:t>
      </w:r>
      <w:r w:rsidRPr="00A34388">
        <w:rPr>
          <w:lang w:val="es-ES_tradnl"/>
        </w:rPr>
        <w:t xml:space="preserve"> </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lang w:val="es-ES_tradnl"/>
        </w:rPr>
      </w:pPr>
      <w:r w:rsidRPr="00332758">
        <w:rPr>
          <w:lang w:val="es-ES_tradnl"/>
        </w:rPr>
        <w:t>Durante el bienio, la OMPI siguió asistiendo a los países en desarrollo y los PMA en el diseño, desarrollo y aplicación de estrategias nacionales de P.I</w:t>
      </w:r>
      <w:r w:rsidR="00536E54" w:rsidRPr="00332758">
        <w:rPr>
          <w:lang w:val="es-ES_tradnl"/>
        </w:rPr>
        <w:t>.</w:t>
      </w:r>
      <w:r w:rsidRPr="00332758">
        <w:rPr>
          <w:lang w:val="es-ES_tradnl"/>
        </w:rPr>
        <w:t xml:space="preserve"> coherentes con sus planes generales de desarrollo y al mismo tiempo capaces de fomentar la innovación y la creatividad. </w:t>
      </w:r>
      <w:r w:rsidRPr="00A34388">
        <w:rPr>
          <w:color w:val="000000"/>
          <w:lang w:val="es-ES_tradnl"/>
        </w:rPr>
        <w:t xml:space="preserve"> </w:t>
      </w:r>
      <w:r w:rsidRPr="00A34388">
        <w:rPr>
          <w:lang w:val="es-ES_tradnl"/>
        </w:rPr>
        <w:t>Mediante el proyecto de mejora de la capacidad de las instituciones de P.I. de ámbito nacional, subregional y regional y de los respectivos usuarios</w:t>
      </w:r>
      <w:r w:rsidR="00EF4041">
        <w:rPr>
          <w:lang w:val="es-ES_tradnl"/>
        </w:rPr>
        <w:t>,</w:t>
      </w:r>
      <w:r w:rsidRPr="00A34388">
        <w:rPr>
          <w:lang w:val="es-ES_tradnl"/>
        </w:rPr>
        <w:t xml:space="preserve"> que finalizó en mayo de 2012, se creó un método normalizado y flexible, así como un conjunto de instrumentos prácticos para la formulación de estrategias y planes nacionales en materia de P.I.  </w:t>
      </w:r>
      <w:r w:rsidR="00F81B8F" w:rsidRPr="00A34388">
        <w:rPr>
          <w:lang w:val="es-ES_tradnl"/>
        </w:rPr>
        <w:t xml:space="preserve">Este método e instrumentos fueron incorporados en 2013 para ser utilizados en los procesos de formulación de estrategias nacionales en materia de P.I. en los países en desarrollo y los PMA. </w:t>
      </w:r>
      <w:r w:rsidR="00537926" w:rsidRPr="00A34388">
        <w:rPr>
          <w:lang w:val="es-ES_tradnl"/>
        </w:rPr>
        <w:t xml:space="preserve"> </w:t>
      </w:r>
      <w:r w:rsidR="00F81B8F" w:rsidRPr="00A34388">
        <w:rPr>
          <w:lang w:val="es-ES_tradnl"/>
        </w:rPr>
        <w:t>Durante el bienio, se adoptaron estrategias y planes de P.I. en 1</w:t>
      </w:r>
      <w:r w:rsidR="00BD586A">
        <w:rPr>
          <w:lang w:val="es-ES_tradnl"/>
        </w:rPr>
        <w:t>0</w:t>
      </w:r>
      <w:r w:rsidR="00F81B8F" w:rsidRPr="00A34388">
        <w:rPr>
          <w:lang w:val="es-ES_tradnl"/>
        </w:rPr>
        <w:t xml:space="preserve"> países (tres en África, </w:t>
      </w:r>
      <w:r w:rsidR="00BD586A">
        <w:rPr>
          <w:lang w:val="es-ES_tradnl"/>
        </w:rPr>
        <w:t>uno</w:t>
      </w:r>
      <w:r w:rsidR="00F81B8F" w:rsidRPr="00A34388">
        <w:rPr>
          <w:lang w:val="es-ES_tradnl"/>
        </w:rPr>
        <w:t xml:space="preserve"> en la región árabe, tres en la región de Asia y el Pacífico, y tres en la región de América Latina y el Caribe).</w:t>
      </w:r>
      <w:r w:rsidRPr="00A34388">
        <w:rPr>
          <w:color w:val="000000"/>
          <w:lang w:val="es-ES_tradnl"/>
        </w:rPr>
        <w:t xml:space="preserve">  </w:t>
      </w:r>
      <w:r w:rsidRPr="00332758">
        <w:rPr>
          <w:lang w:val="es-ES_tradnl"/>
        </w:rPr>
        <w:t>Los procesos de formulación de estrategias de P.I. y de aplicación se iniciaron en 3</w:t>
      </w:r>
      <w:r w:rsidR="00BD586A">
        <w:rPr>
          <w:lang w:val="es-ES_tradnl"/>
        </w:rPr>
        <w:t>3</w:t>
      </w:r>
      <w:r w:rsidRPr="00332758">
        <w:rPr>
          <w:lang w:val="es-ES_tradnl"/>
        </w:rPr>
        <w:t xml:space="preserve"> países (13 en África, </w:t>
      </w:r>
      <w:r w:rsidR="00BD586A">
        <w:rPr>
          <w:lang w:val="es-ES_tradnl"/>
        </w:rPr>
        <w:t>cuatro</w:t>
      </w:r>
      <w:r w:rsidRPr="00332758">
        <w:rPr>
          <w:lang w:val="es-ES_tradnl"/>
        </w:rPr>
        <w:t xml:space="preserve"> en la región árabe, ocho en la región de Asia y el Pacífico y ocho en la región de América Latina y el Caribe).  </w:t>
      </w:r>
      <w:r w:rsidRPr="00A34388">
        <w:rPr>
          <w:lang w:val="es-ES_tradnl"/>
        </w:rPr>
        <w:t xml:space="preserve">Dos PMA (Bangladesh y Etiopía) han incluido consideraciones de P.I. propias de los PMA en sus estrategias y/o políticas nacionales de P.I. durante el bienio, con lo que el número total de PMA que han incorporado consideraciones </w:t>
      </w:r>
      <w:r w:rsidR="006D60CB" w:rsidRPr="00A34388">
        <w:rPr>
          <w:lang w:val="es-ES_tradnl"/>
        </w:rPr>
        <w:t xml:space="preserve">de este tipo </w:t>
      </w:r>
      <w:r w:rsidRPr="00A34388">
        <w:rPr>
          <w:lang w:val="es-ES_tradnl"/>
        </w:rPr>
        <w:t xml:space="preserve">asciende a seis, y otros dos PMA (Madagascar y Nepal) se encuentran en las </w:t>
      </w:r>
      <w:r w:rsidR="00D53C24" w:rsidRPr="00A34388">
        <w:rPr>
          <w:lang w:val="es-ES_tradnl"/>
        </w:rPr>
        <w:t xml:space="preserve">etapas </w:t>
      </w:r>
      <w:r w:rsidRPr="00A34388">
        <w:rPr>
          <w:lang w:val="es-ES_tradnl"/>
        </w:rPr>
        <w:t xml:space="preserve">finales de este proceso. </w:t>
      </w:r>
      <w:r w:rsidR="00537926" w:rsidRPr="00A34388">
        <w:rPr>
          <w:lang w:val="es-ES_tradnl"/>
        </w:rPr>
        <w:t xml:space="preserve"> </w:t>
      </w:r>
      <w:r w:rsidRPr="00A34388">
        <w:rPr>
          <w:color w:val="000000"/>
          <w:lang w:val="es-ES_tradnl"/>
        </w:rPr>
        <w:t xml:space="preserve">Se han </w:t>
      </w:r>
      <w:r w:rsidR="006D60CB" w:rsidRPr="00A34388">
        <w:rPr>
          <w:color w:val="000000"/>
          <w:lang w:val="es-ES_tradnl"/>
        </w:rPr>
        <w:t xml:space="preserve">llevado también a cabo </w:t>
      </w:r>
      <w:r w:rsidRPr="00A34388">
        <w:rPr>
          <w:color w:val="000000"/>
          <w:lang w:val="es-ES_tradnl"/>
        </w:rPr>
        <w:t xml:space="preserve">actividades y proyectos que contribuyen a la aplicación de </w:t>
      </w:r>
      <w:r w:rsidR="006D60CB" w:rsidRPr="00A34388">
        <w:rPr>
          <w:color w:val="000000"/>
          <w:lang w:val="es-ES_tradnl"/>
        </w:rPr>
        <w:t xml:space="preserve">las </w:t>
      </w:r>
      <w:r w:rsidRPr="00A34388">
        <w:rPr>
          <w:color w:val="000000"/>
          <w:lang w:val="es-ES_tradnl"/>
        </w:rPr>
        <w:t>estrategias y políticas de P.I. en 21 países (cinco en África</w:t>
      </w:r>
      <w:r w:rsidR="006D60CB" w:rsidRPr="00A34388">
        <w:rPr>
          <w:color w:val="000000"/>
          <w:lang w:val="es-ES_tradnl"/>
        </w:rPr>
        <w:t>,</w:t>
      </w:r>
      <w:r w:rsidRPr="00A34388">
        <w:rPr>
          <w:color w:val="000000"/>
          <w:lang w:val="es-ES_tradnl"/>
        </w:rPr>
        <w:t xml:space="preserve"> cuatro en la región árabe </w:t>
      </w:r>
      <w:r w:rsidR="006D60CB" w:rsidRPr="00A34388">
        <w:rPr>
          <w:color w:val="000000"/>
          <w:lang w:val="es-ES_tradnl"/>
        </w:rPr>
        <w:t xml:space="preserve">y </w:t>
      </w:r>
      <w:r w:rsidRPr="00A34388">
        <w:rPr>
          <w:color w:val="000000"/>
          <w:lang w:val="es-ES_tradnl"/>
        </w:rPr>
        <w:t xml:space="preserve">12 en la región de América Latina y el Caribe). </w:t>
      </w:r>
    </w:p>
    <w:p w:rsidR="00525604" w:rsidRPr="00A34388" w:rsidRDefault="00525604" w:rsidP="00525604">
      <w:pPr>
        <w:tabs>
          <w:tab w:val="left" w:pos="709"/>
        </w:tabs>
        <w:jc w:val="both"/>
        <w:rPr>
          <w:rFonts w:cs="Arial"/>
          <w:bCs/>
          <w:color w:val="000000"/>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themeColor="text1"/>
          <w:lang w:val="es-ES_tradnl"/>
        </w:rPr>
      </w:pPr>
      <w:r w:rsidRPr="00332758">
        <w:rPr>
          <w:lang w:val="es-ES_tradnl"/>
        </w:rPr>
        <w:t>El programa también atribuyó gran importancia a la mejora de las capacidades en el ámbito de los recursos humanos para hacer frente al amplio espectro de exigencias que supone la utilización de la P.I. en aras del desarrollo y el fomento de la innovación y la creatividad.  Las actividades ejecutadas han conducido a un aumento del número de formadores a nivel nacional y ha ampliado la diversidad de los mismos.</w:t>
      </w:r>
      <w:r w:rsidRPr="00A34388">
        <w:rPr>
          <w:lang w:val="es-ES_tradnl"/>
        </w:rPr>
        <w:t xml:space="preserve">  </w:t>
      </w:r>
      <w:r w:rsidRPr="00332758">
        <w:rPr>
          <w:lang w:val="es-ES_tradnl"/>
        </w:rPr>
        <w:t>En 2012, el alcance y la estructura de las actividades de formación y desarrollo de capacidades abarcaron temas como la concien</w:t>
      </w:r>
      <w:r w:rsidR="00C6436B" w:rsidRPr="00332758">
        <w:rPr>
          <w:lang w:val="es-ES_tradnl"/>
        </w:rPr>
        <w:t xml:space="preserve">ciación </w:t>
      </w:r>
      <w:r w:rsidRPr="00332758">
        <w:rPr>
          <w:lang w:val="es-ES_tradnl"/>
        </w:rPr>
        <w:t xml:space="preserve">y programas centrados en la creación de capacidad destinados </w:t>
      </w:r>
      <w:r w:rsidRPr="00332758">
        <w:rPr>
          <w:lang w:val="es-ES_tradnl"/>
        </w:rPr>
        <w:lastRenderedPageBreak/>
        <w:t>a grupos específicos como los encargados de la adopción de políticas, los profesionales de la P.I., los investigadores y académicos, los empresarios e industriales en el ámbito nacional, subregional y regional.</w:t>
      </w:r>
      <w:r w:rsidRPr="00A34388">
        <w:rPr>
          <w:lang w:val="es-ES_tradnl"/>
        </w:rPr>
        <w:t xml:space="preserve"> </w:t>
      </w:r>
    </w:p>
    <w:p w:rsidR="00525604" w:rsidRPr="00A34388" w:rsidRDefault="00525604" w:rsidP="00525604">
      <w:pPr>
        <w:tabs>
          <w:tab w:val="left" w:pos="709"/>
        </w:tabs>
        <w:jc w:val="both"/>
        <w:rPr>
          <w:rFonts w:cs="Arial"/>
          <w:bCs/>
          <w:color w:val="000000" w:themeColor="text1"/>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themeColor="text1"/>
          <w:lang w:val="es-ES_tradnl"/>
        </w:rPr>
      </w:pPr>
      <w:r w:rsidRPr="00A34388">
        <w:rPr>
          <w:color w:val="000000" w:themeColor="text1"/>
          <w:lang w:val="es-ES_tradnl"/>
        </w:rPr>
        <w:t xml:space="preserve">Durante el bienio, una de las principales prioridades siguió siendo facilitar el acceso a bases de datos de información mundial sobre tecnología.  En 2012/13, se establecieron centros de apoyo a la tecnología y la innovación (CATI) en otros 19 países. </w:t>
      </w:r>
    </w:p>
    <w:p w:rsidR="00525604" w:rsidRPr="00A34388" w:rsidRDefault="00525604" w:rsidP="00525604">
      <w:pPr>
        <w:pStyle w:val="ListParagraph"/>
        <w:ind w:left="0"/>
        <w:jc w:val="both"/>
        <w:rPr>
          <w:rFonts w:cs="Arial"/>
          <w:bCs/>
          <w:color w:val="000000" w:themeColor="text1"/>
          <w:lang w:val="es-ES_tradnl"/>
        </w:rPr>
      </w:pPr>
    </w:p>
    <w:p w:rsidR="00525604" w:rsidRPr="00A34388" w:rsidRDefault="00525604" w:rsidP="00525604">
      <w:pPr>
        <w:pStyle w:val="ListParagraph"/>
        <w:numPr>
          <w:ilvl w:val="0"/>
          <w:numId w:val="34"/>
        </w:numPr>
        <w:tabs>
          <w:tab w:val="left" w:pos="709"/>
        </w:tabs>
        <w:ind w:left="0" w:firstLine="0"/>
        <w:jc w:val="both"/>
        <w:rPr>
          <w:lang w:val="es-ES_tradnl"/>
        </w:rPr>
      </w:pPr>
      <w:r w:rsidRPr="00332758">
        <w:rPr>
          <w:lang w:val="es-ES_tradnl"/>
        </w:rPr>
        <w:t>En el bienio, la OMPI también fortaleció su asistencia a las oficinas de P.I. en los países en desarrollo y los PMA para permitirles prestar servicios más eficaces en función de los costos y de mejor calidad a las partes interesadas.</w:t>
      </w:r>
      <w:r w:rsidRPr="00A34388">
        <w:rPr>
          <w:lang w:val="es-ES_tradnl"/>
        </w:rPr>
        <w:t xml:space="preserve">  La introducción de herramientas como el Sistema de Automatización de la Propiedad Industrial (IPAS) y el sistema de digitalización WIPOScan, junto con la mejora de sistemas existentes, como el sistema de gestión electrónica de documentos (EDMS) y el Servicio de acceso digital de la OMPI (DAS), han producido resultados importantes.  (Véase el programa 15).</w:t>
      </w:r>
    </w:p>
    <w:p w:rsidR="00525604" w:rsidRPr="00A34388" w:rsidRDefault="00525604" w:rsidP="00525604">
      <w:pPr>
        <w:tabs>
          <w:tab w:val="left" w:pos="709"/>
        </w:tabs>
        <w:jc w:val="both"/>
        <w:rPr>
          <w:rFonts w:cs="Arial"/>
          <w:bCs/>
          <w:color w:val="000000" w:themeColor="text1"/>
          <w:szCs w:val="20"/>
          <w:lang w:val="es-ES_tradnl"/>
        </w:rPr>
      </w:pPr>
    </w:p>
    <w:p w:rsidR="00525604" w:rsidRPr="00A34388" w:rsidRDefault="00525604" w:rsidP="00525604">
      <w:pPr>
        <w:pStyle w:val="ListParagraph"/>
        <w:numPr>
          <w:ilvl w:val="0"/>
          <w:numId w:val="34"/>
        </w:numPr>
        <w:tabs>
          <w:tab w:val="left" w:pos="709"/>
        </w:tabs>
        <w:ind w:left="0" w:firstLine="0"/>
        <w:jc w:val="both"/>
        <w:rPr>
          <w:rFonts w:eastAsia="SimSun" w:cs="Arial"/>
          <w:lang w:val="es-ES_tradnl"/>
        </w:rPr>
      </w:pPr>
      <w:r w:rsidRPr="00A34388">
        <w:rPr>
          <w:lang w:val="es-ES_tradnl"/>
        </w:rPr>
        <w:t>Durante el bienio, el programa facilitó y coordinó internamente la adhesión de numerosos países a tratados y convenios administrados por la OMPI:  dos países en África (Botswana y Rwanda);  seis países en la región árabe (la Arabia Saudita, Argelia, Bahrein, Qatar, la República Árabe Siria, Túnez);  tres países en la región de Asia y el Pacífico (Brunei Darussalam, la India, la República Islámica del Irán);  y tres países en la región de América Latina y el Caribe (Colombia, México, Panamá).  Dos países de la región árabe, concretamente Egipto y Túnez, han incluido disposiciones en materia de P.I. en sus nuevas constituciones.</w:t>
      </w:r>
    </w:p>
    <w:p w:rsidR="00525604" w:rsidRPr="00A34388" w:rsidRDefault="00525604" w:rsidP="00525604">
      <w:pPr>
        <w:tabs>
          <w:tab w:val="left" w:pos="709"/>
        </w:tabs>
        <w:jc w:val="both"/>
        <w:rPr>
          <w:rFonts w:eastAsia="SimSun" w:cs="Arial"/>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color w:val="000000"/>
          <w:lang w:val="es-ES_tradnl"/>
        </w:rPr>
      </w:pPr>
      <w:r w:rsidRPr="00A34388">
        <w:rPr>
          <w:lang w:val="es-ES_tradnl"/>
        </w:rPr>
        <w:t>La OMPI continuó prestando asistencia técnica a los países en desarrollo y los PMA en materia de formulación y de modernización de la legislación en el ámbito de P.I., teniendo en cuenta los requisitos nacionales específicos y las flexibilidades internacionales.  A fin de articular mejor las áreas prioritarias de la OMPI, en 2013 se finalizó el manual sobre la prestación de asistencia técnica</w:t>
      </w:r>
      <w:r w:rsidR="00107F6C">
        <w:rPr>
          <w:rStyle w:val="FootnoteReference"/>
          <w:lang w:val="es-ES_tradnl"/>
        </w:rPr>
        <w:footnoteReference w:id="16"/>
      </w:r>
      <w:r w:rsidRPr="00A34388">
        <w:rPr>
          <w:color w:val="000000"/>
          <w:lang w:val="es-ES_tradnl"/>
        </w:rPr>
        <w:t xml:space="preserve">, cuya fecha de publicación está prevista para 2014. </w:t>
      </w:r>
      <w:r w:rsidRPr="00A34388">
        <w:rPr>
          <w:lang w:val="es-ES_tradnl"/>
        </w:rPr>
        <w:t xml:space="preserve"> El manual pretende constituir un portal para las actividades y servicios de asistencia técnica que ofrece la OMPI y está dirigido a los Estados miembros, las instituciones y las personas interesadas en los programas de asistencia técnica de la OMPI para países en desarrollo, países menos adelantados y países en transición.</w:t>
      </w:r>
      <w:r w:rsidRPr="00A34388">
        <w:rPr>
          <w:color w:val="000000"/>
          <w:lang w:val="es-ES_tradnl"/>
        </w:rPr>
        <w:t xml:space="preserve">  </w:t>
      </w:r>
      <w:r w:rsidRPr="00A34388">
        <w:rPr>
          <w:lang w:val="es-ES_tradnl"/>
        </w:rPr>
        <w:t>Además, la atención especial que se prestó a los PMA también incluyó la ejecución de actividades específicas de cooperación en los ámbitos de la innovación, la creatividad y el desarrollo</w:t>
      </w:r>
      <w:r w:rsidR="00537926" w:rsidRPr="00A34388">
        <w:rPr>
          <w:lang w:val="es-ES_tradnl"/>
        </w:rPr>
        <w:t xml:space="preserve">. </w:t>
      </w:r>
      <w:r w:rsidRPr="00A34388">
        <w:rPr>
          <w:lang w:val="es-ES_tradnl"/>
        </w:rPr>
        <w:t xml:space="preserve"> </w:t>
      </w:r>
      <w:r w:rsidRPr="00332758">
        <w:rPr>
          <w:lang w:val="es-ES_tradnl"/>
        </w:rPr>
        <w:t xml:space="preserve">Las aportaciones concretas de la OMPI a los PMA que fueron aprobadas en 2011 durante la Cuarta Conferencia de las Naciones Unidas para los Países Menos Adelantados siguieron infundiendo mayor cohesión y atención a la prestación de asistencia técnica para los PMA. </w:t>
      </w:r>
    </w:p>
    <w:p w:rsidR="00525604" w:rsidRPr="00A34388" w:rsidRDefault="00525604" w:rsidP="00525604">
      <w:pPr>
        <w:tabs>
          <w:tab w:val="left" w:pos="709"/>
        </w:tabs>
        <w:jc w:val="both"/>
        <w:rPr>
          <w:lang w:val="es-ES_tradnl"/>
        </w:rPr>
      </w:pPr>
    </w:p>
    <w:p w:rsidR="00525604" w:rsidRPr="00A34388" w:rsidRDefault="001E79B3" w:rsidP="00525604">
      <w:pPr>
        <w:pStyle w:val="ListParagraph"/>
        <w:numPr>
          <w:ilvl w:val="0"/>
          <w:numId w:val="34"/>
        </w:numPr>
        <w:tabs>
          <w:tab w:val="left" w:pos="709"/>
        </w:tabs>
        <w:ind w:left="0" w:firstLine="0"/>
        <w:jc w:val="both"/>
        <w:rPr>
          <w:rFonts w:cs="Arial"/>
          <w:lang w:val="es-ES_tradnl"/>
        </w:rPr>
      </w:pPr>
      <w:r w:rsidRPr="00A34388">
        <w:rPr>
          <w:lang w:val="es-ES_tradnl"/>
        </w:rPr>
        <w:t xml:space="preserve">La División de Proyectos Especiales, creada en mayo de 2012 con vistas a desarrollar proyectos innovadores en materia de P.I. y desarrollo, en coordinación con los Sectores especializados, las Divisiones y las Oficinas Regionales pertinentes, se concentró en la aplicación de métodos para identificar, proteger y desarrollar marcas </w:t>
      </w:r>
      <w:r w:rsidRPr="00A34388">
        <w:rPr>
          <w:rFonts w:cs="Tahoma"/>
          <w:lang w:val="es-ES_tradnl"/>
        </w:rPr>
        <w:t>basadas en el origen del producto de países en desarrollo seleccionados</w:t>
      </w:r>
      <w:r w:rsidRPr="00A34388">
        <w:rPr>
          <w:lang w:val="es-ES_tradnl"/>
        </w:rPr>
        <w:t>;  fomentar la sensibilización con respecto a las consideraciones de P.I. entre las empresas africanas dedicadas al diseño de moda;  proteger el patrimonio cultural y las expresiones culturales en el Caribe;  así como el desarrollo de herramientas prácticas para la valoración de la P.I.  En el contexto de estos proyectos y en la medida de lo posible, se desarrollaron materiales de formación con vistas a recopilar contenidos valiosos y lecciones aprendidas de programas de fortalecimiento de capacidades recurrentes llevados a cabo por el Sector de Desarrollo.</w:t>
      </w:r>
    </w:p>
    <w:p w:rsidR="00525604" w:rsidRPr="00A34388" w:rsidRDefault="00525604" w:rsidP="00525604">
      <w:pPr>
        <w:tabs>
          <w:tab w:val="left" w:pos="709"/>
        </w:tabs>
        <w:jc w:val="both"/>
        <w:rPr>
          <w:rFonts w:cs="Arial"/>
          <w:szCs w:val="20"/>
          <w:lang w:val="es-ES_tradnl"/>
        </w:rPr>
      </w:pPr>
    </w:p>
    <w:p w:rsidR="00525604" w:rsidRPr="00A34388" w:rsidRDefault="00197F6D" w:rsidP="00525604">
      <w:pPr>
        <w:pStyle w:val="ListParagraph"/>
        <w:numPr>
          <w:ilvl w:val="0"/>
          <w:numId w:val="34"/>
        </w:numPr>
        <w:tabs>
          <w:tab w:val="left" w:pos="709"/>
        </w:tabs>
        <w:ind w:left="0" w:firstLine="0"/>
        <w:jc w:val="both"/>
        <w:rPr>
          <w:rFonts w:cs="Arial"/>
          <w:lang w:val="es-ES_tradnl"/>
        </w:rPr>
      </w:pPr>
      <w:r w:rsidRPr="00A34388">
        <w:rPr>
          <w:lang w:val="es-ES_tradnl"/>
        </w:rPr>
        <w:t>La creación y la mejora de bases de datos especializadas continuaron aportando beneficios.  Además de las tres bases de datos existentes y mejoradas de asistencia técnica en materia de P.I. (IP</w:t>
      </w:r>
      <w:r w:rsidR="004C0FD5" w:rsidRPr="00A34388">
        <w:rPr>
          <w:lang w:val="es-ES_tradnl"/>
        </w:rPr>
        <w:noBreakHyphen/>
      </w:r>
      <w:r w:rsidRPr="00A34388">
        <w:rPr>
          <w:lang w:val="es-ES_tradnl"/>
        </w:rPr>
        <w:t>TAD), de respuesta con los recursos disponibles a las necesidades de desarrollo relacionadas con la P.I. (IP-DMD) y de la lista de consultores (IP-ROC), que se incorporaron en 2012, se desarrollaron y pusieron en marcha dos nuevas bases de datos a medida para contribuir a la incorporación de las recomendaciones de la A.D. al trabajo sustantivo de asistencia técnica de la OMPI, a saber, una base de datos para capturar datos de referencia que se puedan utilizar en procesos nacionales para la formulación de estrategias nacionales en materia de P.I.;  y una interfaz para el proyecto Sur-Sur de la Agenda para el Desarrollo que permita intercambiar la información contenida en la IP-TAD y la IP-ROC con países del hemisferio sur.</w:t>
      </w:r>
    </w:p>
    <w:p w:rsidR="00525604" w:rsidRPr="00A34388" w:rsidRDefault="00525604" w:rsidP="00525604">
      <w:pPr>
        <w:jc w:val="both"/>
        <w:rPr>
          <w:rFonts w:cs="Arial"/>
          <w:sz w:val="22"/>
          <w:szCs w:val="22"/>
          <w:lang w:val="es-ES_tradnl"/>
        </w:rPr>
      </w:pPr>
    </w:p>
    <w:p w:rsidR="00107F6C" w:rsidRDefault="00107F6C">
      <w:pPr>
        <w:rPr>
          <w:sz w:val="22"/>
          <w:lang w:val="es-ES_tradnl"/>
        </w:rPr>
      </w:pPr>
      <w:r>
        <w:rPr>
          <w:sz w:val="22"/>
          <w:lang w:val="es-ES_tradnl"/>
        </w:rPr>
        <w:br w:type="page"/>
      </w:r>
    </w:p>
    <w:p w:rsidR="00525604" w:rsidRPr="00A34388" w:rsidRDefault="00525604" w:rsidP="00525604">
      <w:pPr>
        <w:jc w:val="both"/>
        <w:rPr>
          <w:rFonts w:cs="Arial"/>
          <w:bCs/>
          <w:sz w:val="22"/>
          <w:szCs w:val="22"/>
          <w:lang w:val="es-ES_tradnl"/>
        </w:rPr>
      </w:pPr>
      <w:r w:rsidRPr="00332758">
        <w:rPr>
          <w:sz w:val="22"/>
          <w:lang w:val="es-ES_tradnl"/>
        </w:rPr>
        <w:lastRenderedPageBreak/>
        <w:t>APLICACIÓN DE LA AGENDA PARA EL DESARROLLO</w:t>
      </w:r>
      <w:r w:rsidRPr="00A34388">
        <w:rPr>
          <w:sz w:val="22"/>
          <w:lang w:val="es-ES_tradnl"/>
        </w:rPr>
        <w:t xml:space="preserve"> </w:t>
      </w:r>
    </w:p>
    <w:p w:rsidR="00525604" w:rsidRPr="00A34388" w:rsidRDefault="00525604" w:rsidP="00525604">
      <w:pPr>
        <w:jc w:val="both"/>
        <w:rPr>
          <w:rFonts w:cs="Arial"/>
          <w:sz w:val="22"/>
          <w:szCs w:val="22"/>
          <w:lang w:val="es-ES_tradnl"/>
        </w:rPr>
      </w:pPr>
    </w:p>
    <w:p w:rsidR="00525604" w:rsidRPr="00A3438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El programa 9 siguió siendo uno de los principales encargados de llevar a la práctica la Agenda de la OMPI para el Desarrollo</w:t>
      </w:r>
      <w:r w:rsidR="00537926" w:rsidRPr="00A34388">
        <w:rPr>
          <w:lang w:val="es-ES_tradnl"/>
        </w:rPr>
        <w:t xml:space="preserve">. </w:t>
      </w:r>
      <w:r w:rsidRPr="00A34388">
        <w:rPr>
          <w:lang w:val="es-ES_tradnl"/>
        </w:rPr>
        <w:t xml:space="preserve"> El diseño, la planificación y la ejecución de las actividades de este programa se basaron y se guiaron por las recomendaciones pertinentes de la Agenda para el Desarrollo, en particular por las recomendaciones enunciadas en la Categoría A sobre la asistencia técnica y el fortalecimiento de la capacidad de la OMPI. </w:t>
      </w:r>
    </w:p>
    <w:p w:rsidR="00525604" w:rsidRPr="00A34388" w:rsidRDefault="00525604" w:rsidP="00525604">
      <w:pPr>
        <w:tabs>
          <w:tab w:val="left" w:pos="709"/>
        </w:tabs>
        <w:jc w:val="both"/>
        <w:rPr>
          <w:rFonts w:cs="Arial"/>
          <w:bCs/>
          <w:szCs w:val="20"/>
          <w:lang w:val="es-ES_tradnl"/>
        </w:rPr>
      </w:pPr>
    </w:p>
    <w:p w:rsidR="00525604" w:rsidRPr="0033275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En virtud del proyecto DA_05_01, la Base de datos de asistencia técnica en materia de P.I. (IP</w:t>
      </w:r>
      <w:r w:rsidR="00A45ECF" w:rsidRPr="00A34388">
        <w:rPr>
          <w:lang w:val="es-ES_tradnl"/>
        </w:rPr>
        <w:noBreakHyphen/>
      </w:r>
      <w:r w:rsidRPr="00A34388">
        <w:rPr>
          <w:lang w:val="es-ES_tradnl"/>
        </w:rPr>
        <w:t>TAD)</w:t>
      </w:r>
      <w:r w:rsidRPr="00A34388">
        <w:rPr>
          <w:rStyle w:val="FootnoteReference"/>
          <w:lang w:val="es-ES_tradnl"/>
        </w:rPr>
        <w:footnoteReference w:id="17"/>
      </w:r>
      <w:r w:rsidRPr="00A34388">
        <w:rPr>
          <w:lang w:val="es-ES_tradnl"/>
        </w:rPr>
        <w:t xml:space="preserve"> se estableció y se integró plenamente con la lista de consultores (ROC)</w:t>
      </w:r>
      <w:r w:rsidRPr="00A34388">
        <w:rPr>
          <w:rStyle w:val="FootnoteReference"/>
          <w:lang w:val="es-ES_tradnl"/>
        </w:rPr>
        <w:footnoteReference w:id="18"/>
      </w:r>
      <w:r w:rsidR="00537926" w:rsidRPr="00A34388">
        <w:rPr>
          <w:lang w:val="es-ES_tradnl"/>
        </w:rPr>
        <w:t xml:space="preserve">. </w:t>
      </w:r>
      <w:r w:rsidRPr="00A34388">
        <w:rPr>
          <w:lang w:val="es-ES_tradnl"/>
        </w:rPr>
        <w:t xml:space="preserve"> El proyecto fue evaluado de forma independiente</w:t>
      </w:r>
      <w:r w:rsidR="007A7B1E" w:rsidRPr="00A34388">
        <w:rPr>
          <w:lang w:val="es-ES_tradnl"/>
        </w:rPr>
        <w:t xml:space="preserve">, presentándose </w:t>
      </w:r>
      <w:r w:rsidRPr="00A34388">
        <w:rPr>
          <w:lang w:val="es-ES_tradnl"/>
        </w:rPr>
        <w:t>un informe de evaluación al respecto que fue debatido en el CDIP.</w:t>
      </w:r>
      <w:r w:rsidR="001A7B96" w:rsidRPr="00A34388">
        <w:rPr>
          <w:lang w:val="es-ES_tradnl"/>
        </w:rPr>
        <w:t xml:space="preserve"> </w:t>
      </w:r>
      <w:r w:rsidRPr="00A34388">
        <w:rPr>
          <w:lang w:val="es-ES_tradnl"/>
        </w:rPr>
        <w:t xml:space="preserve"> Además, se puso en funcionamiento la Base de datos destinada a responder con los recursos disponibles a las necesidades de desarrollo relacionadas con la P.I. (IP-DMD)</w:t>
      </w:r>
      <w:r w:rsidRPr="00A34388">
        <w:rPr>
          <w:rStyle w:val="FootnoteReference"/>
          <w:lang w:val="es-ES_tradnl"/>
        </w:rPr>
        <w:footnoteReference w:id="19"/>
      </w:r>
      <w:r w:rsidRPr="00A34388">
        <w:rPr>
          <w:lang w:val="es-ES_tradnl"/>
        </w:rPr>
        <w:t xml:space="preserve"> .  </w:t>
      </w:r>
      <w:r w:rsidRPr="00332758">
        <w:rPr>
          <w:lang w:val="es-ES_tradnl"/>
        </w:rPr>
        <w:t xml:space="preserve">El proyecto fue evaluado y la evaluación fue examinada por el CDIP. </w:t>
      </w:r>
    </w:p>
    <w:p w:rsidR="00525604" w:rsidRPr="00A34388" w:rsidRDefault="00525604" w:rsidP="00525604">
      <w:pPr>
        <w:jc w:val="both"/>
        <w:rPr>
          <w:rFonts w:cs="Arial"/>
          <w:bCs/>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 xml:space="preserve">El proyecto de la Agenda para el Desarrollo relativo a la mejora de la capacidad de las instituciones de P.I. de ámbito nacional, subregional y regional y de los respectivos usuarios </w:t>
      </w:r>
      <w:r w:rsidR="007A7B1E" w:rsidRPr="00A34388">
        <w:rPr>
          <w:lang w:val="es-ES_tradnl"/>
        </w:rPr>
        <w:t xml:space="preserve">se llevó a cabo y se evaluó </w:t>
      </w:r>
      <w:r w:rsidRPr="00A34388">
        <w:rPr>
          <w:lang w:val="es-ES_tradnl"/>
        </w:rPr>
        <w:t>independiente</w:t>
      </w:r>
      <w:r w:rsidR="007A7B1E" w:rsidRPr="00A34388">
        <w:rPr>
          <w:lang w:val="es-ES_tradnl"/>
        </w:rPr>
        <w:t>mente</w:t>
      </w:r>
      <w:r w:rsidRPr="00A34388">
        <w:rPr>
          <w:lang w:val="es-ES_tradnl"/>
        </w:rPr>
        <w:t>.  Seis países piloto (</w:t>
      </w:r>
      <w:r w:rsidR="000250A9">
        <w:rPr>
          <w:lang w:val="es-ES_tradnl"/>
        </w:rPr>
        <w:t xml:space="preserve">Argelia, Malí, Mongolia, la República Dominicana, la República de </w:t>
      </w:r>
      <w:proofErr w:type="spellStart"/>
      <w:r w:rsidR="000250A9">
        <w:rPr>
          <w:lang w:val="es-ES_tradnl"/>
        </w:rPr>
        <w:t>Moldova</w:t>
      </w:r>
      <w:proofErr w:type="spellEnd"/>
      <w:r w:rsidR="000250A9">
        <w:rPr>
          <w:lang w:val="es-ES_tradnl"/>
        </w:rPr>
        <w:t xml:space="preserve"> y</w:t>
      </w:r>
      <w:r w:rsidRPr="00A34388">
        <w:rPr>
          <w:lang w:val="es-ES_tradnl"/>
        </w:rPr>
        <w:t xml:space="preserve"> la República Unida de </w:t>
      </w:r>
      <w:proofErr w:type="spellStart"/>
      <w:r w:rsidRPr="00A34388">
        <w:rPr>
          <w:lang w:val="es-ES_tradnl"/>
        </w:rPr>
        <w:t>Tanzanía</w:t>
      </w:r>
      <w:proofErr w:type="spellEnd"/>
      <w:r w:rsidRPr="00A34388">
        <w:rPr>
          <w:lang w:val="es-ES_tradnl"/>
        </w:rPr>
        <w:t>) concluyeron la formulación de estrategias nacionales de P.I. y planes de acción utilizando la metodología de la OMPI propuesta, y remitieron los documentos de estrategia a sus respectivos gobiernos para su aprobación.</w:t>
      </w:r>
      <w:r w:rsidR="001A7B96" w:rsidRPr="00A34388">
        <w:rPr>
          <w:lang w:val="es-ES_tradnl"/>
        </w:rPr>
        <w:t xml:space="preserve"> </w:t>
      </w:r>
      <w:r w:rsidRPr="00A34388">
        <w:rPr>
          <w:lang w:val="es-ES_tradnl"/>
        </w:rPr>
        <w:t xml:space="preserve"> </w:t>
      </w:r>
      <w:r w:rsidRPr="00332758">
        <w:rPr>
          <w:lang w:val="es-ES_tradnl"/>
        </w:rPr>
        <w:t>Además, fue creado un grupo de expertos nacionales e internacionales que constituirán un recurso muy valioso para ayudar a otros países potencialmente interesados en la formulación de estrategias de P.I.</w:t>
      </w:r>
    </w:p>
    <w:p w:rsidR="00525604" w:rsidRPr="00A34388" w:rsidRDefault="00525604" w:rsidP="00525604">
      <w:pPr>
        <w:tabs>
          <w:tab w:val="left" w:pos="709"/>
        </w:tabs>
        <w:jc w:val="both"/>
        <w:rPr>
          <w:rFonts w:cs="Arial"/>
          <w:bCs/>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lang w:val="es-ES_tradnl"/>
        </w:rPr>
      </w:pPr>
      <w:r w:rsidRPr="00332758">
        <w:rPr>
          <w:lang w:val="es-ES_tradnl"/>
        </w:rPr>
        <w:t>El proyecto de la Agenda para el Desarrollo sobre la propiedad intelectual y el desarrollo de marcas de productos para fomentar las actividades comerciales en los países en desarrollo y los PMA siguió siendo ejecutado en tres países piloto seleccionados, a saber, Panamá, Tailandia y Uganda, y se llevó a cabo al final de 2013.</w:t>
      </w:r>
      <w:r w:rsidR="001A7B96" w:rsidRPr="00A34388">
        <w:rPr>
          <w:lang w:val="es-ES_tradnl"/>
        </w:rPr>
        <w:t xml:space="preserve"> </w:t>
      </w:r>
      <w:r w:rsidRPr="00A34388">
        <w:rPr>
          <w:lang w:val="es-ES_tradnl"/>
        </w:rPr>
        <w:t xml:space="preserve"> </w:t>
      </w:r>
      <w:r w:rsidRPr="00332758">
        <w:rPr>
          <w:lang w:val="es-ES_tradnl"/>
        </w:rPr>
        <w:t>Se elaboraron productos específicos a la P.I. y estrategias de desarrollo de marcas con el fin de conferir valor a las características únicas y al gran potencial de las marcas de los productos.</w:t>
      </w:r>
      <w:r w:rsidRPr="00A34388">
        <w:rPr>
          <w:lang w:val="es-ES_tradnl"/>
        </w:rPr>
        <w:t xml:space="preserve"> </w:t>
      </w:r>
    </w:p>
    <w:p w:rsidR="00525604" w:rsidRPr="00A34388" w:rsidRDefault="00525604" w:rsidP="00525604">
      <w:pPr>
        <w:tabs>
          <w:tab w:val="left" w:pos="709"/>
        </w:tabs>
        <w:jc w:val="both"/>
        <w:rPr>
          <w:rFonts w:cs="Arial"/>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 xml:space="preserve">El proyecto de la Agenda para el Desarrollo sobre el fortalecimiento de capacidades en el uso de información técnica y científica relativa a tecnologías apropiadas para solucionar determinados problemas de desarrollo </w:t>
      </w:r>
      <w:r w:rsidR="007A7B1E" w:rsidRPr="00A34388">
        <w:rPr>
          <w:lang w:val="es-ES_tradnl"/>
        </w:rPr>
        <w:t xml:space="preserve">fue llevado a cabo y evaluado </w:t>
      </w:r>
      <w:r w:rsidRPr="00A34388">
        <w:rPr>
          <w:lang w:val="es-ES_tradnl"/>
        </w:rPr>
        <w:t>independiente</w:t>
      </w:r>
      <w:r w:rsidR="007A7B1E" w:rsidRPr="00A34388">
        <w:rPr>
          <w:lang w:val="es-ES_tradnl"/>
        </w:rPr>
        <w:t>mente</w:t>
      </w:r>
      <w:r w:rsidRPr="00A34388">
        <w:rPr>
          <w:lang w:val="es-ES_tradnl"/>
        </w:rPr>
        <w:t xml:space="preserve">.  El proyecto comenzó a ejecutarse en tres PMA piloto, a saber, Bangladesh, Nepal y Zambia.  </w:t>
      </w:r>
      <w:r w:rsidRPr="00332758">
        <w:rPr>
          <w:lang w:val="es-ES_tradnl"/>
        </w:rPr>
        <w:t>Grupos de expertos en el plano nacional de estos países detectaron las necesidades prioritarias de cada uno de los países.</w:t>
      </w:r>
      <w:r w:rsidRPr="00A34388">
        <w:rPr>
          <w:lang w:val="es-ES_tradnl"/>
        </w:rPr>
        <w:t xml:space="preserve">  </w:t>
      </w:r>
      <w:r w:rsidRPr="00332758">
        <w:rPr>
          <w:lang w:val="es-ES_tradnl"/>
        </w:rPr>
        <w:t>A partir de estas necesidades, la OMPI en cooperación con la Oficina Europea de Patentes (OEP), la Oficina de Patentes y Marcas de los Estados Unidos (USPTO), la Oficina Japonesa de Patentes (JPO),</w:t>
      </w:r>
      <w:r w:rsidR="000250A9">
        <w:rPr>
          <w:lang w:val="es-ES_tradnl"/>
        </w:rPr>
        <w:t xml:space="preserve"> y con expertos de </w:t>
      </w:r>
      <w:r w:rsidRPr="00332758">
        <w:rPr>
          <w:lang w:val="es-ES_tradnl"/>
        </w:rPr>
        <w:t>Alemania y la India</w:t>
      </w:r>
      <w:r w:rsidR="000250A9">
        <w:rPr>
          <w:lang w:val="es-ES_tradnl"/>
        </w:rPr>
        <w:t>,</w:t>
      </w:r>
      <w:r w:rsidRPr="00332758">
        <w:rPr>
          <w:lang w:val="es-ES_tradnl"/>
        </w:rPr>
        <w:t xml:space="preserve"> determinaron soluciones tecnológicas pertinentes para los ámbitos problemáticos detectados con el fin de elaborar informes de análisis de la actividad de patentamiento.</w:t>
      </w:r>
      <w:r w:rsidR="001A7B96" w:rsidRPr="00332758">
        <w:rPr>
          <w:lang w:val="es-ES_tradnl"/>
        </w:rPr>
        <w:t xml:space="preserve"> </w:t>
      </w:r>
      <w:r w:rsidRPr="00A34388">
        <w:rPr>
          <w:lang w:val="es-ES_tradnl"/>
        </w:rPr>
        <w:t xml:space="preserve"> </w:t>
      </w:r>
      <w:r w:rsidRPr="00332758">
        <w:rPr>
          <w:lang w:val="es-ES_tradnl"/>
        </w:rPr>
        <w:t>Después de que los expertos nacionales determinaron cuáles eran las tecnologías más apropiadas, se procedió a la elaboración de planes de trabajo para cada uno de los ámbitos de necesidad con el fin de ejecutar los proyectos.</w:t>
      </w:r>
      <w:r w:rsidR="001A7B96" w:rsidRPr="00332758">
        <w:rPr>
          <w:lang w:val="es-ES_tradnl"/>
        </w:rPr>
        <w:t xml:space="preserve"> </w:t>
      </w:r>
      <w:r w:rsidRPr="00A34388">
        <w:rPr>
          <w:lang w:val="es-ES_tradnl"/>
        </w:rPr>
        <w:t xml:space="preserve"> </w:t>
      </w:r>
      <w:r w:rsidRPr="00332758">
        <w:rPr>
          <w:lang w:val="es-ES_tradnl"/>
        </w:rPr>
        <w:t>A continuación, se sometió este proceso a consultas nacionales y foros de múltiples interesados para realizar un examen crítico y refrendar dicho enfoque.</w:t>
      </w:r>
      <w:r w:rsidR="001A7B96" w:rsidRPr="00332758">
        <w:rPr>
          <w:lang w:val="es-ES_tradnl"/>
        </w:rPr>
        <w:t xml:space="preserve"> </w:t>
      </w:r>
      <w:r w:rsidRPr="00A34388">
        <w:rPr>
          <w:lang w:val="es-ES_tradnl"/>
        </w:rPr>
        <w:t xml:space="preserve"> El CDIP acordó que era necesario preparar una Fase II de este proyecto, ampliando su alcance a otros PMA, para presentarla al Comité en 2014.</w:t>
      </w:r>
    </w:p>
    <w:p w:rsidR="00525604" w:rsidRPr="00A34388" w:rsidRDefault="00525604" w:rsidP="00525604">
      <w:pPr>
        <w:jc w:val="both"/>
        <w:rPr>
          <w:rFonts w:cs="Arial"/>
          <w:bCs/>
          <w:szCs w:val="20"/>
          <w:lang w:val="es-ES_tradnl"/>
        </w:rPr>
      </w:pPr>
    </w:p>
    <w:p w:rsidR="00525604" w:rsidRPr="00A34388" w:rsidRDefault="00525604" w:rsidP="00525604">
      <w:pPr>
        <w:pStyle w:val="ListParagraph"/>
        <w:numPr>
          <w:ilvl w:val="0"/>
          <w:numId w:val="34"/>
        </w:numPr>
        <w:tabs>
          <w:tab w:val="left" w:pos="709"/>
        </w:tabs>
        <w:ind w:left="0" w:firstLine="0"/>
        <w:jc w:val="both"/>
        <w:rPr>
          <w:rFonts w:cs="Arial"/>
          <w:bCs/>
          <w:lang w:val="es-ES_tradnl"/>
        </w:rPr>
      </w:pPr>
      <w:r w:rsidRPr="00A34388">
        <w:rPr>
          <w:lang w:val="es-ES_tradnl"/>
        </w:rPr>
        <w:t xml:space="preserve">El proyecto sobre la intensificación de la cooperación Sur-Sur en materia de P.I. y desarrollo en los países en desarrollo y PMA se completó a finales de 2013.  Se organizaron dos reuniones interregionales de la OMPI sobre cooperación Sur-Sur en Brasilia, en agosto de 2012, y </w:t>
      </w:r>
      <w:r w:rsidR="00EF4041">
        <w:rPr>
          <w:lang w:val="es-ES_tradnl"/>
        </w:rPr>
        <w:t xml:space="preserve">en </w:t>
      </w:r>
      <w:r w:rsidR="00EF4041" w:rsidRPr="00A34388">
        <w:rPr>
          <w:lang w:val="es-ES_tradnl"/>
        </w:rPr>
        <w:t xml:space="preserve">El </w:t>
      </w:r>
      <w:r w:rsidRPr="00A34388">
        <w:rPr>
          <w:lang w:val="es-ES_tradnl"/>
        </w:rPr>
        <w:t>Cairo, en mayo de 2013, además de dos conferencias anuales sobre P.I. y Desarrollo, en Ginebra.</w:t>
      </w:r>
      <w:r w:rsidR="001A7B96" w:rsidRPr="00A34388">
        <w:rPr>
          <w:lang w:val="es-ES_tradnl"/>
        </w:rPr>
        <w:t xml:space="preserve"> </w:t>
      </w:r>
      <w:r w:rsidRPr="00A34388">
        <w:rPr>
          <w:lang w:val="es-ES_tradnl"/>
        </w:rPr>
        <w:t xml:space="preserve"> También se consiguió un notable progreso por lo que respecta a la puesta en marcha de las actividades de los proyectos basadas en Internet, a saber la introducción de funcionalidades Sur-Sur en la base de datos de asistencia técnica en materia de P.I. (IP-TAD), en la base de datos de respuesta con los recursos disponibles a las necesidades de desarrollo relacionadas con la P.I. (IP-DMD) y en la lista de consultores (IP-ROC), así como la creación de una página web de la OMPI y una red virtual sobre la cooperación Sur-Sur.</w:t>
      </w:r>
      <w:r w:rsidR="007A7B1E" w:rsidRPr="00A34388">
        <w:rPr>
          <w:lang w:val="es-ES_tradnl"/>
        </w:rPr>
        <w:t xml:space="preserve"> </w:t>
      </w:r>
      <w:r w:rsidRPr="00A34388">
        <w:rPr>
          <w:lang w:val="es-ES_tradnl"/>
        </w:rPr>
        <w:t xml:space="preserve"> En 2013 también se procedió a la designación en la Secretaría de la OMPI de un coordinador </w:t>
      </w:r>
      <w:r w:rsidRPr="00A34388">
        <w:rPr>
          <w:lang w:val="es-ES_tradnl"/>
        </w:rPr>
        <w:lastRenderedPageBreak/>
        <w:t>del proyecto sobre cooperación Sur-Sur para asegurar la coordinación con las actividades del sistema de NN.UU. sobre cooperación Sur-Sur</w:t>
      </w:r>
      <w:r w:rsidR="00537926" w:rsidRPr="00A34388">
        <w:rPr>
          <w:lang w:val="es-ES_tradnl"/>
        </w:rPr>
        <w:t xml:space="preserve">. </w:t>
      </w:r>
      <w:r w:rsidRPr="00A34388">
        <w:rPr>
          <w:lang w:val="es-ES_tradnl"/>
        </w:rPr>
        <w:t xml:space="preserve"> </w:t>
      </w:r>
    </w:p>
    <w:p w:rsidR="00525604" w:rsidRPr="00A34388" w:rsidRDefault="00525604" w:rsidP="00525604">
      <w:pPr>
        <w:tabs>
          <w:tab w:val="left" w:pos="709"/>
        </w:tabs>
        <w:jc w:val="both"/>
        <w:rPr>
          <w:rFonts w:cs="Arial"/>
          <w:bCs/>
          <w:szCs w:val="20"/>
          <w:lang w:val="es-ES_tradnl"/>
        </w:rPr>
      </w:pPr>
    </w:p>
    <w:p w:rsidR="00525604" w:rsidRPr="00332758" w:rsidRDefault="00525604" w:rsidP="00525604">
      <w:pPr>
        <w:pStyle w:val="ListParagraph"/>
        <w:numPr>
          <w:ilvl w:val="0"/>
          <w:numId w:val="34"/>
        </w:numPr>
        <w:tabs>
          <w:tab w:val="left" w:pos="709"/>
        </w:tabs>
        <w:ind w:left="0" w:firstLine="0"/>
        <w:jc w:val="both"/>
        <w:rPr>
          <w:rFonts w:cs="Arial"/>
          <w:lang w:val="es-ES_tradnl"/>
        </w:rPr>
      </w:pPr>
      <w:r w:rsidRPr="00332758">
        <w:rPr>
          <w:lang w:val="es-ES_tradnl"/>
        </w:rPr>
        <w:t>Este programa también participó fundamentalmente en el proyecto de la Agenda para el Desarrollo relativo a la mejora del marco de la OMPI de gestión por resultados para respaldar la supervisión y evaluación de las actividades de desarrollo, que se llevó a cabo y se evaluó independientemente en 2013.</w:t>
      </w:r>
    </w:p>
    <w:p w:rsidR="00525604" w:rsidRPr="00A34388" w:rsidRDefault="00525604" w:rsidP="00525604">
      <w:pPr>
        <w:tabs>
          <w:tab w:val="left" w:pos="709"/>
        </w:tabs>
        <w:jc w:val="both"/>
        <w:rPr>
          <w:rFonts w:cs="Arial"/>
          <w:sz w:val="22"/>
          <w:szCs w:val="22"/>
          <w:lang w:val="es-ES_tradnl"/>
        </w:rPr>
      </w:pPr>
    </w:p>
    <w:p w:rsidR="00525604" w:rsidRPr="00A34388" w:rsidRDefault="00525604" w:rsidP="00525604">
      <w:pPr>
        <w:jc w:val="both"/>
        <w:rPr>
          <w:rFonts w:cs="Arial"/>
          <w:sz w:val="22"/>
          <w:szCs w:val="22"/>
          <w:lang w:val="es-ES_tradnl"/>
        </w:rPr>
      </w:pPr>
    </w:p>
    <w:p w:rsidR="00525604" w:rsidRPr="00A34388" w:rsidRDefault="00525604" w:rsidP="00525604">
      <w:pPr>
        <w:jc w:val="both"/>
        <w:rPr>
          <w:rFonts w:cs="Arial"/>
          <w:sz w:val="22"/>
          <w:szCs w:val="22"/>
          <w:lang w:val="es-ES_tradnl"/>
        </w:rPr>
      </w:pPr>
      <w:r w:rsidRPr="00332758">
        <w:rPr>
          <w:sz w:val="22"/>
          <w:lang w:val="es-ES_tradnl"/>
        </w:rPr>
        <w:t>DATOS SOBRE EL RENDIMIENTO</w:t>
      </w:r>
    </w:p>
    <w:p w:rsidR="00525604" w:rsidRPr="00A34388" w:rsidRDefault="00525604" w:rsidP="00525604">
      <w:pPr>
        <w:rPr>
          <w:sz w:val="16"/>
          <w:szCs w:val="16"/>
          <w:lang w:val="es-ES_tradnl"/>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80"/>
        <w:gridCol w:w="1663"/>
        <w:gridCol w:w="332"/>
        <w:gridCol w:w="1227"/>
        <w:gridCol w:w="142"/>
        <w:gridCol w:w="132"/>
        <w:gridCol w:w="2704"/>
        <w:gridCol w:w="141"/>
        <w:gridCol w:w="1136"/>
      </w:tblGrid>
      <w:tr w:rsidR="00525604" w:rsidRPr="00A9508D"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A9558A">
            <w:pPr>
              <w:keepNext/>
              <w:keepLines/>
              <w:spacing w:before="120" w:after="120"/>
              <w:ind w:left="1701" w:hanging="1701"/>
              <w:rPr>
                <w:rFonts w:cs="Arial"/>
                <w:b/>
                <w:bCs/>
                <w:sz w:val="16"/>
                <w:szCs w:val="16"/>
                <w:lang w:val="es-ES_tradnl"/>
              </w:rPr>
            </w:pPr>
            <w:r w:rsidRPr="00A9558A">
              <w:rPr>
                <w:b/>
                <w:sz w:val="16"/>
                <w:szCs w:val="16"/>
                <w:lang w:val="es-ES_tradnl"/>
              </w:rPr>
              <w:t>Resultado previsto:</w:t>
            </w:r>
            <w:r w:rsidRPr="00A9558A">
              <w:rPr>
                <w:sz w:val="16"/>
                <w:szCs w:val="16"/>
                <w:lang w:val="es-ES_tradnl"/>
              </w:rPr>
              <w:tab/>
              <w:t>Políticas nacionales, estrategias y planes de desarrollo de innovación y de P.I. claramente definidos y coherentes que estén en sintonía con las metas y los objetivos nacionales de desarrollo.</w:t>
            </w:r>
          </w:p>
        </w:tc>
      </w:tr>
      <w:tr w:rsidR="00525604" w:rsidRPr="00A9558A" w:rsidTr="00C13FC7">
        <w:tc>
          <w:tcPr>
            <w:tcW w:w="1881" w:type="dxa"/>
            <w:gridSpan w:val="2"/>
            <w:tcBorders>
              <w:top w:val="single" w:sz="4" w:space="0" w:color="auto"/>
            </w:tcBorders>
            <w:shd w:val="clear" w:color="auto" w:fill="auto"/>
            <w:vAlign w:val="center"/>
          </w:tcPr>
          <w:p w:rsidR="00525604" w:rsidRPr="00A9558A" w:rsidRDefault="00525604" w:rsidP="00853209">
            <w:pPr>
              <w:spacing w:before="40" w:after="40"/>
              <w:rPr>
                <w:rFonts w:cs="Arial"/>
                <w:color w:val="808080"/>
                <w:sz w:val="16"/>
                <w:szCs w:val="16"/>
                <w:lang w:val="es-ES_tradnl"/>
              </w:rPr>
            </w:pPr>
            <w:r w:rsidRPr="00A9558A">
              <w:rPr>
                <w:b/>
                <w:sz w:val="16"/>
                <w:szCs w:val="16"/>
                <w:lang w:val="es-ES_tradnl"/>
              </w:rPr>
              <w:t>Indicadores de rendimiento</w:t>
            </w:r>
          </w:p>
        </w:tc>
        <w:tc>
          <w:tcPr>
            <w:tcW w:w="1663" w:type="dxa"/>
            <w:tcBorders>
              <w:top w:val="single" w:sz="4" w:space="0" w:color="auto"/>
            </w:tcBorders>
            <w:shd w:val="clear" w:color="auto" w:fill="auto"/>
            <w:vAlign w:val="center"/>
          </w:tcPr>
          <w:p w:rsidR="00525604" w:rsidRPr="00A9558A" w:rsidRDefault="00525604" w:rsidP="00853209">
            <w:pPr>
              <w:spacing w:before="40" w:after="40"/>
              <w:rPr>
                <w:rFonts w:cs="Arial"/>
                <w:b/>
                <w:bCs/>
                <w:color w:val="808080"/>
                <w:sz w:val="16"/>
                <w:szCs w:val="16"/>
                <w:lang w:val="es-ES_tradnl"/>
              </w:rPr>
            </w:pPr>
            <w:r w:rsidRPr="00A9558A">
              <w:rPr>
                <w:b/>
                <w:sz w:val="16"/>
                <w:szCs w:val="16"/>
                <w:lang w:val="es-ES_tradnl"/>
              </w:rPr>
              <w:t>Referencia</w:t>
            </w:r>
          </w:p>
        </w:tc>
        <w:tc>
          <w:tcPr>
            <w:tcW w:w="1701" w:type="dxa"/>
            <w:gridSpan w:val="3"/>
            <w:tcBorders>
              <w:top w:val="single" w:sz="4" w:space="0" w:color="auto"/>
            </w:tcBorders>
            <w:shd w:val="clear" w:color="auto" w:fill="auto"/>
            <w:tcMar>
              <w:top w:w="110" w:type="dxa"/>
            </w:tcMar>
            <w:vAlign w:val="center"/>
          </w:tcPr>
          <w:p w:rsidR="00525604" w:rsidRPr="00A9558A" w:rsidRDefault="00525604" w:rsidP="00853209">
            <w:pPr>
              <w:spacing w:before="40" w:after="40"/>
              <w:rPr>
                <w:rFonts w:cs="Arial"/>
                <w:b/>
                <w:color w:val="808080"/>
                <w:sz w:val="16"/>
                <w:szCs w:val="16"/>
                <w:lang w:val="es-ES_tradnl"/>
              </w:rPr>
            </w:pPr>
            <w:r w:rsidRPr="00A9558A">
              <w:rPr>
                <w:b/>
                <w:sz w:val="16"/>
                <w:szCs w:val="16"/>
                <w:lang w:val="es-ES_tradnl"/>
              </w:rPr>
              <w:t>Objetivos</w:t>
            </w:r>
          </w:p>
        </w:tc>
        <w:tc>
          <w:tcPr>
            <w:tcW w:w="2836" w:type="dxa"/>
            <w:gridSpan w:val="2"/>
            <w:tcBorders>
              <w:top w:val="single" w:sz="4" w:space="0" w:color="auto"/>
            </w:tcBorders>
            <w:shd w:val="clear" w:color="auto" w:fill="FFFFFF"/>
            <w:tcMar>
              <w:top w:w="110" w:type="dxa"/>
            </w:tcMar>
            <w:vAlign w:val="center"/>
          </w:tcPr>
          <w:p w:rsidR="00525604" w:rsidRPr="00A9558A" w:rsidRDefault="00525604" w:rsidP="00853209">
            <w:pPr>
              <w:spacing w:before="40" w:after="40"/>
              <w:rPr>
                <w:rFonts w:cs="Arial"/>
                <w:color w:val="808080"/>
                <w:sz w:val="16"/>
                <w:szCs w:val="16"/>
                <w:lang w:val="es-ES_tradnl"/>
              </w:rPr>
            </w:pPr>
            <w:r w:rsidRPr="00A9558A">
              <w:rPr>
                <w:b/>
                <w:sz w:val="16"/>
                <w:szCs w:val="16"/>
                <w:lang w:val="es-ES_tradnl"/>
              </w:rPr>
              <w:t>Datos sobre el rendimiento</w:t>
            </w:r>
          </w:p>
        </w:tc>
        <w:tc>
          <w:tcPr>
            <w:tcW w:w="1276" w:type="dxa"/>
            <w:gridSpan w:val="2"/>
            <w:tcBorders>
              <w:top w:val="single" w:sz="4" w:space="0" w:color="auto"/>
            </w:tcBorders>
            <w:shd w:val="clear" w:color="auto" w:fill="auto"/>
            <w:tcMar>
              <w:top w:w="110" w:type="dxa"/>
            </w:tcMar>
            <w:vAlign w:val="center"/>
          </w:tcPr>
          <w:p w:rsidR="00525604" w:rsidRPr="00A9558A" w:rsidRDefault="00525604" w:rsidP="00853209">
            <w:pPr>
              <w:keepNext/>
              <w:keepLines/>
              <w:spacing w:before="40" w:after="40"/>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que cada año han formulado políticas, estrategias y/o planes de P.I., o los están aplicando (África).</w:t>
            </w:r>
          </w:p>
        </w:tc>
        <w:tc>
          <w:tcPr>
            <w:tcW w:w="1663" w:type="dxa"/>
            <w:shd w:val="clear" w:color="auto" w:fill="auto"/>
          </w:tcPr>
          <w:p w:rsidR="00525604" w:rsidRPr="00A9558A" w:rsidRDefault="00525604" w:rsidP="00853209">
            <w:pPr>
              <w:rPr>
                <w:rFonts w:cs="Arial"/>
                <w:sz w:val="16"/>
                <w:szCs w:val="16"/>
                <w:lang w:val="es-ES_tradnl"/>
              </w:rPr>
            </w:pPr>
            <w:r w:rsidRPr="00A9558A">
              <w:rPr>
                <w:sz w:val="16"/>
                <w:szCs w:val="16"/>
                <w:lang w:val="es-ES_tradnl"/>
              </w:rPr>
              <w:t>Dos países han adoptado políticas de P.I.</w:t>
            </w:r>
          </w:p>
        </w:tc>
        <w:tc>
          <w:tcPr>
            <w:tcW w:w="1701" w:type="dxa"/>
            <w:gridSpan w:val="3"/>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Al menos cuatro países han adoptado políticas de P.I.</w:t>
            </w:r>
          </w:p>
        </w:tc>
        <w:tc>
          <w:tcPr>
            <w:tcW w:w="2836" w:type="dxa"/>
            <w:gridSpan w:val="2"/>
            <w:shd w:val="clear" w:color="auto" w:fill="FFFFFF"/>
            <w:tcMar>
              <w:top w:w="110" w:type="dxa"/>
            </w:tcMar>
          </w:tcPr>
          <w:p w:rsidR="00525604" w:rsidRPr="00A9558A" w:rsidRDefault="00525604" w:rsidP="00525604">
            <w:pPr>
              <w:pStyle w:val="ListParagraph"/>
              <w:numPr>
                <w:ilvl w:val="0"/>
                <w:numId w:val="30"/>
              </w:numPr>
              <w:ind w:left="336" w:hanging="336"/>
              <w:rPr>
                <w:rFonts w:cs="Arial"/>
                <w:sz w:val="16"/>
                <w:szCs w:val="16"/>
                <w:lang w:val="es-ES_tradnl"/>
              </w:rPr>
            </w:pPr>
            <w:r w:rsidRPr="00A9558A">
              <w:rPr>
                <w:sz w:val="16"/>
                <w:szCs w:val="16"/>
                <w:lang w:val="es-ES_tradnl"/>
              </w:rPr>
              <w:t>Etiopía (adoptada)</w:t>
            </w:r>
          </w:p>
          <w:p w:rsidR="00525604" w:rsidRPr="00A9558A" w:rsidRDefault="00525604" w:rsidP="00525604">
            <w:pPr>
              <w:pStyle w:val="ListParagraph"/>
              <w:numPr>
                <w:ilvl w:val="0"/>
                <w:numId w:val="30"/>
              </w:numPr>
              <w:ind w:left="336" w:hanging="336"/>
              <w:rPr>
                <w:rFonts w:cs="Arial"/>
                <w:sz w:val="16"/>
                <w:szCs w:val="16"/>
                <w:lang w:val="es-ES_tradnl"/>
              </w:rPr>
            </w:pPr>
            <w:r w:rsidRPr="00A9558A">
              <w:rPr>
                <w:sz w:val="16"/>
                <w:szCs w:val="16"/>
                <w:lang w:val="es-ES_tradnl"/>
              </w:rPr>
              <w:t>Ghana (adoptada y aprobada por el parlamento)</w:t>
            </w:r>
          </w:p>
          <w:p w:rsidR="00525604" w:rsidRPr="00A9558A" w:rsidRDefault="00525604" w:rsidP="00525604">
            <w:pPr>
              <w:pStyle w:val="ListParagraph"/>
              <w:numPr>
                <w:ilvl w:val="0"/>
                <w:numId w:val="30"/>
              </w:numPr>
              <w:ind w:left="336" w:hanging="336"/>
              <w:rPr>
                <w:rFonts w:cs="Arial"/>
                <w:sz w:val="16"/>
                <w:szCs w:val="16"/>
                <w:lang w:val="es-ES_tradnl"/>
              </w:rPr>
            </w:pPr>
            <w:r w:rsidRPr="00A9558A">
              <w:rPr>
                <w:sz w:val="16"/>
                <w:szCs w:val="16"/>
                <w:lang w:val="es-ES_tradnl"/>
              </w:rPr>
              <w:t xml:space="preserve">el Senegal (memorando de entendimiento </w:t>
            </w:r>
            <w:r w:rsidR="00BA2D37" w:rsidRPr="00A9558A">
              <w:rPr>
                <w:sz w:val="16"/>
                <w:szCs w:val="16"/>
                <w:lang w:val="es-ES_tradnl"/>
              </w:rPr>
              <w:t xml:space="preserve">firmado </w:t>
            </w:r>
            <w:r w:rsidRPr="00A9558A">
              <w:rPr>
                <w:sz w:val="16"/>
                <w:szCs w:val="16"/>
                <w:lang w:val="es-ES_tradnl"/>
              </w:rPr>
              <w:t xml:space="preserve">en 2011;  aplicación en curso) </w:t>
            </w:r>
          </w:p>
          <w:p w:rsidR="00525604" w:rsidRPr="00A9558A" w:rsidRDefault="00525604" w:rsidP="00525604">
            <w:pPr>
              <w:pStyle w:val="ListParagraph"/>
              <w:numPr>
                <w:ilvl w:val="0"/>
                <w:numId w:val="30"/>
              </w:numPr>
              <w:ind w:left="336" w:hanging="336"/>
              <w:rPr>
                <w:rFonts w:cs="Arial"/>
                <w:sz w:val="16"/>
                <w:szCs w:val="16"/>
                <w:lang w:val="es-ES_tradnl"/>
              </w:rPr>
            </w:pPr>
            <w:r w:rsidRPr="00A9558A">
              <w:rPr>
                <w:sz w:val="16"/>
                <w:szCs w:val="16"/>
                <w:lang w:val="es-ES_tradnl"/>
              </w:rPr>
              <w:t>Formulación completada y pendiente de adopción en el Chad, Gambia, Kenya, Malawi, Mauricio</w:t>
            </w:r>
            <w:r w:rsidR="00BA2D37" w:rsidRPr="00A9558A">
              <w:rPr>
                <w:sz w:val="16"/>
                <w:szCs w:val="16"/>
                <w:lang w:val="es-ES_tradnl"/>
              </w:rPr>
              <w:t>, Seychelles, Sierra L</w:t>
            </w:r>
            <w:r w:rsidRPr="00A9558A">
              <w:rPr>
                <w:sz w:val="16"/>
                <w:szCs w:val="16"/>
                <w:lang w:val="es-ES_tradnl"/>
              </w:rPr>
              <w:t xml:space="preserve">eona y la República Unida de Tanzanía </w:t>
            </w:r>
          </w:p>
        </w:tc>
        <w:tc>
          <w:tcPr>
            <w:tcW w:w="1276" w:type="dxa"/>
            <w:gridSpan w:val="2"/>
            <w:shd w:val="clear" w:color="auto" w:fill="auto"/>
            <w:tcMar>
              <w:top w:w="110" w:type="dxa"/>
            </w:tcMar>
          </w:tcPr>
          <w:p w:rsidR="00525604" w:rsidRPr="00A9558A" w:rsidRDefault="00525604" w:rsidP="00853209">
            <w:pPr>
              <w:keepNext/>
              <w:keepLines/>
              <w:jc w:val="center"/>
              <w:rPr>
                <w:rFonts w:cs="Arial"/>
                <w:bCs/>
                <w:sz w:val="16"/>
                <w:szCs w:val="16"/>
                <w:lang w:val="es-ES_tradnl"/>
              </w:rPr>
            </w:pPr>
            <w:r w:rsidRPr="00A9558A">
              <w:rPr>
                <w:color w:val="E36C0A" w:themeColor="accent6" w:themeShade="BF"/>
                <w:sz w:val="16"/>
                <w:szCs w:val="16"/>
                <w:lang w:val="es-ES_tradnl"/>
              </w:rPr>
              <w:t>Parcialmente</w:t>
            </w:r>
            <w:r w:rsidRPr="00A9558A">
              <w:rPr>
                <w:rFonts w:cs="Arial"/>
                <w:bCs/>
                <w:color w:val="E36C0A" w:themeColor="accent6" w:themeShade="BF"/>
                <w:sz w:val="16"/>
                <w:szCs w:val="16"/>
                <w:lang w:val="es-ES_tradnl"/>
              </w:rPr>
              <w:br/>
            </w:r>
            <w:r w:rsidRPr="00A9558A">
              <w:rPr>
                <w:color w:val="E36C0A" w:themeColor="accent6" w:themeShade="BF"/>
                <w:sz w:val="16"/>
                <w:szCs w:val="16"/>
                <w:lang w:val="es-ES_tradnl"/>
              </w:rPr>
              <w:t>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p>
        </w:tc>
        <w:tc>
          <w:tcPr>
            <w:tcW w:w="1663" w:type="dxa"/>
            <w:shd w:val="clear" w:color="auto" w:fill="auto"/>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Cuatro países han adoptado planes nacionales para el desarrollo de la P.I.</w:t>
            </w:r>
          </w:p>
        </w:tc>
        <w:tc>
          <w:tcPr>
            <w:tcW w:w="1701" w:type="dxa"/>
            <w:gridSpan w:val="3"/>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 xml:space="preserve">Al menos ocho países han adoptado planes nacionales para el desarrollo de la P.I. </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Las Comoras (plan de desarrollo de la P.I. validado)</w:t>
            </w:r>
          </w:p>
          <w:p w:rsidR="00525604" w:rsidRPr="00A9558A" w:rsidRDefault="00525604" w:rsidP="00853209">
            <w:pPr>
              <w:rPr>
                <w:rFonts w:cs="Arial"/>
                <w:sz w:val="16"/>
                <w:szCs w:val="16"/>
                <w:lang w:val="es-ES_tradnl"/>
              </w:rPr>
            </w:pPr>
          </w:p>
          <w:p w:rsidR="00525604" w:rsidRPr="00A9558A" w:rsidRDefault="00525604" w:rsidP="00BA2D37">
            <w:pPr>
              <w:rPr>
                <w:rFonts w:cs="Arial"/>
                <w:sz w:val="16"/>
                <w:szCs w:val="16"/>
                <w:lang w:val="es-ES_tradnl"/>
              </w:rPr>
            </w:pPr>
            <w:r w:rsidRPr="00A9558A">
              <w:rPr>
                <w:sz w:val="16"/>
                <w:szCs w:val="16"/>
                <w:lang w:val="es-ES_tradnl"/>
              </w:rPr>
              <w:t xml:space="preserve">Proceso </w:t>
            </w:r>
            <w:r w:rsidR="00BA2D37" w:rsidRPr="00A9558A">
              <w:rPr>
                <w:sz w:val="16"/>
                <w:szCs w:val="16"/>
                <w:lang w:val="es-ES_tradnl"/>
              </w:rPr>
              <w:t xml:space="preserve">detenido </w:t>
            </w:r>
            <w:r w:rsidRPr="00A9558A">
              <w:rPr>
                <w:sz w:val="16"/>
                <w:szCs w:val="16"/>
                <w:lang w:val="es-ES_tradnl"/>
              </w:rPr>
              <w:t>en los países siguientes:  Burundi, Gambia, Lesotho y Mauricio.</w:t>
            </w:r>
          </w:p>
        </w:tc>
        <w:tc>
          <w:tcPr>
            <w:tcW w:w="1276" w:type="dxa"/>
            <w:gridSpan w:val="2"/>
            <w:shd w:val="clear" w:color="auto" w:fill="auto"/>
            <w:tcMar>
              <w:top w:w="110" w:type="dxa"/>
            </w:tcMar>
          </w:tcPr>
          <w:p w:rsidR="00525604" w:rsidRPr="00A9558A" w:rsidRDefault="00525604" w:rsidP="00853209">
            <w:pPr>
              <w:keepNext/>
              <w:keepLines/>
              <w:jc w:val="center"/>
              <w:rPr>
                <w:rFonts w:cs="Arial"/>
                <w:bCs/>
                <w:sz w:val="16"/>
                <w:szCs w:val="16"/>
                <w:lang w:val="es-ES_tradnl"/>
              </w:rPr>
            </w:pPr>
            <w:r w:rsidRPr="00A9558A">
              <w:rPr>
                <w:color w:val="FF0000"/>
                <w:sz w:val="16"/>
                <w:szCs w:val="16"/>
                <w:lang w:val="es-ES_tradnl"/>
              </w:rPr>
              <w:t>No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p>
        </w:tc>
        <w:tc>
          <w:tcPr>
            <w:tcW w:w="1663" w:type="dxa"/>
            <w:shd w:val="clear" w:color="auto" w:fill="auto"/>
          </w:tcPr>
          <w:p w:rsidR="00525604" w:rsidRPr="00A9558A" w:rsidRDefault="00525604" w:rsidP="00853209">
            <w:pPr>
              <w:ind w:left="1"/>
              <w:rPr>
                <w:rFonts w:cs="Arial"/>
                <w:sz w:val="16"/>
                <w:szCs w:val="16"/>
                <w:lang w:val="es-ES_tradnl"/>
              </w:rPr>
            </w:pPr>
            <w:r w:rsidRPr="00A9558A">
              <w:rPr>
                <w:sz w:val="16"/>
                <w:szCs w:val="16"/>
                <w:lang w:val="es-ES_tradnl"/>
              </w:rPr>
              <w:t xml:space="preserve">Tres países han terminado de formular sus políticas y estrategias nacionales de P.I. </w:t>
            </w:r>
          </w:p>
        </w:tc>
        <w:tc>
          <w:tcPr>
            <w:tcW w:w="1701" w:type="dxa"/>
            <w:gridSpan w:val="3"/>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 xml:space="preserve">Al menos seis países han terminado de formular sus políticas y estrategias nacionales de P.I. </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Ocho países:</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Botswana (estrategia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el Chad (política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 xml:space="preserve">el Congo (estrategia de P.I.) </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Gambia (estrategia y política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Kenya (política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Mauricio (política de P.I.)</w:t>
            </w:r>
          </w:p>
          <w:p w:rsidR="00525604" w:rsidRPr="00A9558A" w:rsidRDefault="00525604" w:rsidP="00525604">
            <w:pPr>
              <w:pStyle w:val="ListParagraph"/>
              <w:numPr>
                <w:ilvl w:val="0"/>
                <w:numId w:val="29"/>
              </w:numPr>
              <w:rPr>
                <w:rFonts w:cs="Arial"/>
                <w:sz w:val="16"/>
                <w:szCs w:val="16"/>
                <w:lang w:val="es-ES_tradnl"/>
              </w:rPr>
            </w:pPr>
            <w:r w:rsidRPr="00A9558A">
              <w:rPr>
                <w:sz w:val="16"/>
                <w:szCs w:val="16"/>
                <w:lang w:val="es-ES_tradnl"/>
              </w:rPr>
              <w:t>Seychelles (estrategia y política de P.I.)</w:t>
            </w:r>
          </w:p>
          <w:p w:rsidR="00525604" w:rsidRPr="00A9558A" w:rsidRDefault="00525604" w:rsidP="00525604">
            <w:pPr>
              <w:pStyle w:val="ListParagraph"/>
              <w:numPr>
                <w:ilvl w:val="0"/>
                <w:numId w:val="29"/>
              </w:numPr>
              <w:rPr>
                <w:rFonts w:cs="Arial"/>
                <w:sz w:val="16"/>
                <w:szCs w:val="16"/>
                <w:lang w:val="es-ES_tradnl"/>
              </w:rPr>
            </w:pPr>
            <w:r w:rsidRPr="00A9558A">
              <w:rPr>
                <w:rStyle w:val="st"/>
                <w:sz w:val="16"/>
                <w:szCs w:val="16"/>
                <w:lang w:val="es-ES_tradnl"/>
              </w:rPr>
              <w:t>la República Unida de Tanzanía (estrategia y política de P.I.)</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con mecanismos adecuados para el desarrollo y la aplicación de estrategias de P.I. (región de los países árabes)</w:t>
            </w:r>
          </w:p>
        </w:tc>
        <w:tc>
          <w:tcPr>
            <w:tcW w:w="1663" w:type="dxa"/>
            <w:shd w:val="clear" w:color="auto" w:fill="auto"/>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Cinco países</w:t>
            </w:r>
          </w:p>
        </w:tc>
        <w:tc>
          <w:tcPr>
            <w:tcW w:w="1701" w:type="dxa"/>
            <w:gridSpan w:val="3"/>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Cinco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Estrategia nacional de P.I. e innovación adoptada en </w:t>
            </w:r>
            <w:r w:rsidR="00BD586A">
              <w:rPr>
                <w:sz w:val="16"/>
                <w:szCs w:val="16"/>
                <w:lang w:val="es-ES_tradnl"/>
              </w:rPr>
              <w:t>Omán, y en curso de adoción en</w:t>
            </w:r>
            <w:r w:rsidRPr="00A9558A">
              <w:rPr>
                <w:sz w:val="16"/>
                <w:szCs w:val="16"/>
                <w:lang w:val="es-ES_tradnl"/>
              </w:rPr>
              <w:t xml:space="preserve"> Argelia.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Estrategia nacional de P.I. e innovación en fase de desarrollo en tres países:  los Emiratos Árabes Unidos, Qatar y Túnez.</w:t>
            </w:r>
          </w:p>
        </w:tc>
        <w:tc>
          <w:tcPr>
            <w:tcW w:w="1276" w:type="dxa"/>
            <w:gridSpan w:val="2"/>
            <w:shd w:val="clear" w:color="auto" w:fill="auto"/>
            <w:tcMar>
              <w:top w:w="110" w:type="dxa"/>
            </w:tcMar>
          </w:tcPr>
          <w:p w:rsidR="00525604" w:rsidRPr="00A9558A" w:rsidRDefault="00525604" w:rsidP="00853209">
            <w:pPr>
              <w:keepNext/>
              <w:keepLines/>
              <w:jc w:val="center"/>
              <w:rPr>
                <w:rFonts w:cs="Arial"/>
                <w:bCs/>
                <w:sz w:val="16"/>
                <w:szCs w:val="16"/>
                <w:lang w:val="es-ES_tradnl"/>
              </w:rPr>
            </w:pPr>
            <w:r w:rsidRPr="00A9558A">
              <w:rPr>
                <w:color w:val="E36C0A" w:themeColor="accent6" w:themeShade="BF"/>
                <w:sz w:val="16"/>
                <w:szCs w:val="16"/>
                <w:lang w:val="es-ES_tradnl"/>
              </w:rPr>
              <w:t>Parcialmente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con iniciativas vinculadas a los planes nacionales de P.I. (región de los países árabes)</w:t>
            </w:r>
          </w:p>
        </w:tc>
        <w:tc>
          <w:tcPr>
            <w:tcW w:w="1663" w:type="dxa"/>
            <w:shd w:val="clear" w:color="auto" w:fill="auto"/>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Dos países</w:t>
            </w:r>
          </w:p>
        </w:tc>
        <w:tc>
          <w:tcPr>
            <w:tcW w:w="1701" w:type="dxa"/>
            <w:gridSpan w:val="3"/>
            <w:shd w:val="clear" w:color="auto" w:fill="auto"/>
            <w:tcMar>
              <w:top w:w="110" w:type="dxa"/>
            </w:tcMar>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Cuatro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Cuatro países (Argelia, Egipto, Qatar, el Yemen) y una unión (CCG).</w:t>
            </w:r>
          </w:p>
        </w:tc>
        <w:tc>
          <w:tcPr>
            <w:tcW w:w="1276" w:type="dxa"/>
            <w:gridSpan w:val="2"/>
            <w:shd w:val="clear" w:color="auto" w:fill="auto"/>
            <w:tcMar>
              <w:top w:w="110" w:type="dxa"/>
            </w:tcMar>
          </w:tcPr>
          <w:p w:rsidR="00525604" w:rsidRPr="00A9558A" w:rsidRDefault="00525604" w:rsidP="00853209">
            <w:pPr>
              <w:keepNext/>
              <w:keepLines/>
              <w:jc w:val="center"/>
              <w:rPr>
                <w:rFonts w:cs="Arial"/>
                <w:bCs/>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con políticas y estrategias de P.I. en curso de aprobación (Asia y el Pacífico).</w:t>
            </w:r>
          </w:p>
        </w:tc>
        <w:tc>
          <w:tcPr>
            <w:tcW w:w="1663" w:type="dxa"/>
            <w:shd w:val="clear" w:color="auto" w:fill="auto"/>
          </w:tcPr>
          <w:p w:rsidR="00525604" w:rsidRPr="00A9558A" w:rsidRDefault="00525604" w:rsidP="00853209">
            <w:pPr>
              <w:rPr>
                <w:rFonts w:cs="Arial"/>
                <w:i/>
                <w:sz w:val="16"/>
                <w:szCs w:val="16"/>
                <w:lang w:val="es-ES_tradnl"/>
              </w:rPr>
            </w:pPr>
            <w:r w:rsidRPr="00A9558A">
              <w:rPr>
                <w:i/>
                <w:color w:val="002060"/>
                <w:sz w:val="16"/>
                <w:szCs w:val="16"/>
                <w:lang w:val="es-ES_tradnl"/>
              </w:rPr>
              <w:t xml:space="preserve">Referencia actualizada </w:t>
            </w:r>
            <w:r w:rsidRPr="00A9558A">
              <w:rPr>
                <w:rFonts w:cs="Arial"/>
                <w:i/>
                <w:color w:val="002060"/>
                <w:sz w:val="16"/>
                <w:szCs w:val="16"/>
                <w:lang w:val="es-ES_tradnl"/>
              </w:rPr>
              <w:br/>
            </w:r>
            <w:r w:rsidRPr="00A9558A">
              <w:rPr>
                <w:i/>
                <w:color w:val="002060"/>
                <w:sz w:val="16"/>
                <w:szCs w:val="16"/>
                <w:lang w:val="es-ES_tradnl"/>
              </w:rPr>
              <w:t>a finales de 2011:</w:t>
            </w:r>
            <w:r w:rsidRPr="00A9558A">
              <w:rPr>
                <w:rFonts w:cs="Arial"/>
                <w:color w:val="002060"/>
                <w:sz w:val="16"/>
                <w:szCs w:val="16"/>
                <w:lang w:val="es-ES_tradnl"/>
              </w:rPr>
              <w:br/>
            </w:r>
            <w:r w:rsidRPr="00A9558A">
              <w:rPr>
                <w:color w:val="002060"/>
                <w:sz w:val="16"/>
                <w:szCs w:val="16"/>
                <w:lang w:val="es-ES_tradnl"/>
              </w:rPr>
              <w:t>Cuatro países</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Referencia original Presup. por prog. 2012/13:</w:t>
            </w:r>
            <w:r w:rsidRPr="00A9558A">
              <w:rPr>
                <w:sz w:val="16"/>
                <w:szCs w:val="16"/>
                <w:lang w:val="es-ES_tradnl"/>
              </w:rPr>
              <w:t xml:space="preserve">  Ninguno.</w:t>
            </w:r>
          </w:p>
        </w:tc>
        <w:tc>
          <w:tcPr>
            <w:tcW w:w="1701" w:type="dxa"/>
            <w:gridSpan w:val="3"/>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Seis países </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Cuatro países (Camboya, Sri Lanka, Tonga y Vanuatu) con políticas y/o estrategias de P.I. en curso de aprobación.</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El proyecto de la política de P.I. se está revisando en estos momentos en un país (Viet Nam).</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lastRenderedPageBreak/>
              <w:t>E</w:t>
            </w:r>
            <w:r w:rsidR="00BA2D37" w:rsidRPr="00A9558A">
              <w:rPr>
                <w:sz w:val="16"/>
                <w:szCs w:val="16"/>
                <w:lang w:val="es-ES_tradnl"/>
              </w:rPr>
              <w:t xml:space="preserve">sta labor </w:t>
            </w:r>
            <w:r w:rsidR="00284400" w:rsidRPr="00A9558A">
              <w:rPr>
                <w:sz w:val="16"/>
                <w:szCs w:val="16"/>
                <w:lang w:val="es-ES_tradnl"/>
              </w:rPr>
              <w:t>está</w:t>
            </w:r>
            <w:r w:rsidR="00BA2D37" w:rsidRPr="00A9558A">
              <w:rPr>
                <w:sz w:val="16"/>
                <w:szCs w:val="16"/>
                <w:lang w:val="es-ES_tradnl"/>
              </w:rPr>
              <w:t xml:space="preserve"> en curso </w:t>
            </w:r>
            <w:r w:rsidRPr="00A9558A">
              <w:rPr>
                <w:sz w:val="16"/>
                <w:szCs w:val="16"/>
                <w:lang w:val="es-ES_tradnl"/>
              </w:rPr>
              <w:t xml:space="preserve">en dos países (Nepal y las Islas Salomón). </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Un país (las Islas Cook) ha aplazado su plan de desarrollo de una </w:t>
            </w:r>
            <w:r w:rsidR="007F2148" w:rsidRPr="00A9558A">
              <w:rPr>
                <w:sz w:val="16"/>
                <w:szCs w:val="16"/>
                <w:lang w:val="es-ES_tradnl"/>
              </w:rPr>
              <w:t>estrategia</w:t>
            </w:r>
            <w:r w:rsidRPr="00A9558A">
              <w:rPr>
                <w:sz w:val="16"/>
                <w:szCs w:val="16"/>
                <w:lang w:val="es-ES_tradnl"/>
              </w:rPr>
              <w:t xml:space="preserve"> de P.I.</w:t>
            </w:r>
          </w:p>
        </w:tc>
        <w:tc>
          <w:tcPr>
            <w:tcW w:w="1276" w:type="dxa"/>
            <w:gridSpan w:val="2"/>
            <w:shd w:val="clear" w:color="auto" w:fill="auto"/>
            <w:tcMar>
              <w:top w:w="110" w:type="dxa"/>
            </w:tcMar>
          </w:tcPr>
          <w:p w:rsidR="00525604" w:rsidRPr="00A9558A" w:rsidRDefault="00525604" w:rsidP="00C13FC7">
            <w:pPr>
              <w:keepNext/>
              <w:keepLines/>
              <w:jc w:val="center"/>
              <w:rPr>
                <w:rFonts w:cs="Arial"/>
                <w:bCs/>
                <w:sz w:val="16"/>
                <w:szCs w:val="16"/>
                <w:lang w:val="es-ES_tradnl"/>
              </w:rPr>
            </w:pPr>
            <w:r w:rsidRPr="00A9558A">
              <w:rPr>
                <w:color w:val="E36C0A" w:themeColor="accent6" w:themeShade="BF"/>
                <w:sz w:val="16"/>
                <w:szCs w:val="16"/>
                <w:lang w:val="es-ES_tradnl"/>
              </w:rPr>
              <w:lastRenderedPageBreak/>
              <w:t>Parcialmente</w:t>
            </w:r>
            <w:r w:rsidR="00C13FC7">
              <w:rPr>
                <w:color w:val="E36C0A" w:themeColor="accent6" w:themeShade="BF"/>
                <w:sz w:val="16"/>
                <w:szCs w:val="16"/>
                <w:lang w:val="es-ES_tradnl"/>
              </w:rPr>
              <w:t xml:space="preserve"> </w:t>
            </w:r>
            <w:r w:rsidRPr="00A9558A">
              <w:rPr>
                <w:color w:val="E36C0A" w:themeColor="accent6" w:themeShade="BF"/>
                <w:sz w:val="16"/>
                <w:szCs w:val="16"/>
                <w:lang w:val="es-ES_tradnl"/>
              </w:rPr>
              <w:t>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lastRenderedPageBreak/>
              <w:t>Número de países que han adoptado políticas y estrategias de P.I. (Asia y el Pacífico).</w:t>
            </w:r>
          </w:p>
        </w:tc>
        <w:tc>
          <w:tcPr>
            <w:tcW w:w="1663" w:type="dxa"/>
            <w:shd w:val="clear" w:color="auto" w:fill="auto"/>
          </w:tcPr>
          <w:p w:rsidR="00525604" w:rsidRPr="00A9558A" w:rsidRDefault="00525604" w:rsidP="00853209">
            <w:pPr>
              <w:rPr>
                <w:rFonts w:cs="Arial"/>
                <w:color w:val="002060"/>
                <w:sz w:val="16"/>
                <w:szCs w:val="16"/>
                <w:lang w:val="es-ES_tradnl"/>
              </w:rPr>
            </w:pPr>
            <w:r w:rsidRPr="00A9558A">
              <w:rPr>
                <w:i/>
                <w:color w:val="002060"/>
                <w:sz w:val="16"/>
                <w:szCs w:val="16"/>
                <w:lang w:val="es-ES_tradnl"/>
              </w:rPr>
              <w:t xml:space="preserve">Referencia actualizada </w:t>
            </w:r>
            <w:r w:rsidRPr="00A9558A">
              <w:rPr>
                <w:rFonts w:cs="Arial"/>
                <w:i/>
                <w:color w:val="002060"/>
                <w:sz w:val="16"/>
                <w:szCs w:val="16"/>
                <w:lang w:val="es-ES_tradnl"/>
              </w:rPr>
              <w:br/>
            </w:r>
            <w:r w:rsidRPr="00A9558A">
              <w:rPr>
                <w:i/>
                <w:color w:val="002060"/>
                <w:sz w:val="16"/>
                <w:szCs w:val="16"/>
                <w:lang w:val="es-ES_tradnl"/>
              </w:rPr>
              <w:t>a fin</w:t>
            </w:r>
            <w:r w:rsidR="00293A53" w:rsidRPr="00A9558A">
              <w:rPr>
                <w:i/>
                <w:color w:val="002060"/>
                <w:sz w:val="16"/>
                <w:szCs w:val="16"/>
                <w:lang w:val="es-ES_tradnl"/>
              </w:rPr>
              <w:t>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Dos países</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 xml:space="preserve">Referencia original </w:t>
            </w:r>
            <w:r w:rsidRPr="00A9558A">
              <w:rPr>
                <w:rFonts w:cs="Arial"/>
                <w:i/>
                <w:sz w:val="16"/>
                <w:szCs w:val="16"/>
                <w:lang w:val="es-ES_tradnl"/>
              </w:rPr>
              <w:br/>
            </w:r>
            <w:r w:rsidRPr="00A9558A">
              <w:rPr>
                <w:i/>
                <w:sz w:val="16"/>
                <w:szCs w:val="16"/>
                <w:lang w:val="es-ES_tradnl"/>
              </w:rPr>
              <w:t>Presup. por prog. 2012/13:</w:t>
            </w:r>
            <w:r w:rsidRPr="00A9558A">
              <w:rPr>
                <w:sz w:val="16"/>
                <w:szCs w:val="16"/>
                <w:lang w:val="es-ES_tradnl"/>
              </w:rPr>
              <w:t xml:space="preserve">  Ninguno.</w:t>
            </w:r>
          </w:p>
        </w:tc>
        <w:tc>
          <w:tcPr>
            <w:tcW w:w="1701" w:type="dxa"/>
            <w:gridSpan w:val="3"/>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Tres países. </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Tres países (Bangladesh, Camboya y Samoa) han adoptado una política y una estrategia de P.I.;  dos países (Bhután y Mongolia) se encuentran en la fase final del proceso nacional de aprobación.</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color w:val="000000"/>
                <w:sz w:val="16"/>
                <w:szCs w:val="16"/>
                <w:lang w:val="es-ES_tradnl"/>
              </w:rPr>
            </w:pPr>
            <w:r w:rsidRPr="00A9558A">
              <w:rPr>
                <w:sz w:val="16"/>
                <w:szCs w:val="16"/>
                <w:lang w:val="es-ES_tradnl"/>
              </w:rPr>
              <w:t>Número de países en los que se han realizado actividades/proyectos que hayan contribuido a la formulación de leyes/políticas de P.I. (América Latina y el Caribe).</w:t>
            </w:r>
            <w:r w:rsidRPr="00A9558A">
              <w:rPr>
                <w:color w:val="000000"/>
                <w:sz w:val="16"/>
                <w:szCs w:val="16"/>
                <w:lang w:val="es-ES_tradnl"/>
              </w:rPr>
              <w:t xml:space="preserve"> </w:t>
            </w:r>
          </w:p>
        </w:tc>
        <w:tc>
          <w:tcPr>
            <w:tcW w:w="1663" w:type="dxa"/>
            <w:shd w:val="clear" w:color="auto" w:fill="auto"/>
          </w:tcPr>
          <w:p w:rsidR="00525604" w:rsidRPr="00A9558A" w:rsidRDefault="00525604" w:rsidP="00A9558A">
            <w:pPr>
              <w:ind w:leftChars="-6" w:left="2" w:hangingChars="9" w:hanging="14"/>
              <w:rPr>
                <w:rFonts w:cs="Arial"/>
                <w:color w:val="000000"/>
                <w:sz w:val="16"/>
                <w:szCs w:val="16"/>
                <w:lang w:val="es-ES_tradnl"/>
              </w:rPr>
            </w:pPr>
            <w:r w:rsidRPr="00A9558A">
              <w:rPr>
                <w:sz w:val="16"/>
                <w:szCs w:val="16"/>
                <w:lang w:val="es-ES_tradnl"/>
              </w:rPr>
              <w:t>Siete países</w:t>
            </w:r>
          </w:p>
        </w:tc>
        <w:tc>
          <w:tcPr>
            <w:tcW w:w="1701" w:type="dxa"/>
            <w:gridSpan w:val="3"/>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Ocho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836"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Diez países (Costa Rica, el Ecuador, El Salvador, Guatemala, Honduras, Nicaragua, Panamá, la República Dominicana, Saint Kitts y Nevis, y Trinidad y Tabago).</w:t>
            </w:r>
          </w:p>
        </w:tc>
        <w:tc>
          <w:tcPr>
            <w:tcW w:w="1276" w:type="dxa"/>
            <w:gridSpan w:val="2"/>
            <w:shd w:val="clear" w:color="auto" w:fill="auto"/>
            <w:tcMar>
              <w:top w:w="110" w:type="dxa"/>
            </w:tcMar>
          </w:tcPr>
          <w:p w:rsidR="00525604" w:rsidRPr="00A9558A" w:rsidRDefault="00525604" w:rsidP="00853209">
            <w:pPr>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keepNext/>
              <w:keepLines/>
              <w:rPr>
                <w:rFonts w:cs="Arial"/>
                <w:color w:val="000000"/>
                <w:sz w:val="16"/>
                <w:szCs w:val="16"/>
                <w:lang w:val="es-ES_tradnl"/>
              </w:rPr>
            </w:pPr>
            <w:r w:rsidRPr="00A9558A">
              <w:rPr>
                <w:sz w:val="16"/>
                <w:szCs w:val="16"/>
                <w:lang w:val="es-ES_tradnl"/>
              </w:rPr>
              <w:t>Número de países en los que se han realizado actividades/proyectos que hayan contribuido a la aplicación de estrategias/políticas de P.I. (América Latina y el Caribe).</w:t>
            </w:r>
          </w:p>
        </w:tc>
        <w:tc>
          <w:tcPr>
            <w:tcW w:w="1663" w:type="dxa"/>
            <w:shd w:val="clear" w:color="auto" w:fill="auto"/>
          </w:tcPr>
          <w:p w:rsidR="00525604" w:rsidRPr="00A9558A" w:rsidRDefault="00525604" w:rsidP="00853209">
            <w:pPr>
              <w:keepNext/>
              <w:keepLines/>
              <w:rPr>
                <w:rFonts w:cs="Arial"/>
                <w:color w:val="002060"/>
                <w:sz w:val="16"/>
                <w:szCs w:val="16"/>
                <w:lang w:val="es-ES_tradnl"/>
              </w:rPr>
            </w:pPr>
            <w:r w:rsidRPr="00A9558A">
              <w:rPr>
                <w:i/>
                <w:color w:val="002060"/>
                <w:sz w:val="16"/>
                <w:szCs w:val="16"/>
                <w:lang w:val="es-ES_tradnl"/>
              </w:rPr>
              <w:t xml:space="preserve">Referencia actualizada </w:t>
            </w:r>
            <w:r w:rsidRPr="00A9558A">
              <w:rPr>
                <w:rFonts w:cs="Arial"/>
                <w:i/>
                <w:color w:val="002060"/>
                <w:sz w:val="16"/>
                <w:szCs w:val="16"/>
                <w:lang w:val="es-ES_tradnl"/>
              </w:rPr>
              <w:br/>
            </w:r>
            <w:r w:rsidRPr="00A9558A">
              <w:rPr>
                <w:i/>
                <w:color w:val="002060"/>
                <w:sz w:val="16"/>
                <w:szCs w:val="16"/>
                <w:lang w:val="es-ES_tradnl"/>
              </w:rPr>
              <w:t>a fin</w:t>
            </w:r>
            <w:r w:rsidR="00293A53" w:rsidRPr="00A9558A">
              <w:rPr>
                <w:i/>
                <w:color w:val="002060"/>
                <w:sz w:val="16"/>
                <w:szCs w:val="16"/>
                <w:lang w:val="es-ES_tradnl"/>
              </w:rPr>
              <w:t>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Cuatro países</w:t>
            </w:r>
          </w:p>
          <w:p w:rsidR="00525604" w:rsidRPr="00A9558A" w:rsidRDefault="00525604" w:rsidP="00853209">
            <w:pPr>
              <w:keepNext/>
              <w:keepLines/>
              <w:rPr>
                <w:rFonts w:cs="Arial"/>
                <w:i/>
                <w:sz w:val="16"/>
                <w:szCs w:val="16"/>
                <w:lang w:val="es-ES_tradnl"/>
              </w:rPr>
            </w:pPr>
          </w:p>
          <w:p w:rsidR="00525604" w:rsidRPr="00A9558A" w:rsidRDefault="00525604" w:rsidP="00853209">
            <w:pPr>
              <w:keepNext/>
              <w:keepLines/>
              <w:rPr>
                <w:rFonts w:cs="Arial"/>
                <w:sz w:val="16"/>
                <w:szCs w:val="16"/>
                <w:lang w:val="es-ES_tradnl"/>
              </w:rPr>
            </w:pPr>
            <w:r w:rsidRPr="00A9558A">
              <w:rPr>
                <w:i/>
                <w:sz w:val="16"/>
                <w:szCs w:val="16"/>
                <w:lang w:val="es-ES_tradnl"/>
              </w:rPr>
              <w:t xml:space="preserve">Referencia original </w:t>
            </w:r>
            <w:r w:rsidRPr="00A9558A">
              <w:rPr>
                <w:rFonts w:cs="Arial"/>
                <w:i/>
                <w:sz w:val="16"/>
                <w:szCs w:val="16"/>
                <w:lang w:val="es-ES_tradnl"/>
              </w:rPr>
              <w:br/>
            </w:r>
            <w:r w:rsidRPr="00A9558A">
              <w:rPr>
                <w:i/>
                <w:sz w:val="16"/>
                <w:szCs w:val="16"/>
                <w:lang w:val="es-ES_tradnl"/>
              </w:rPr>
              <w:t>Presup. por prog. 2012/13:</w:t>
            </w:r>
          </w:p>
          <w:p w:rsidR="00525604" w:rsidRPr="00A9558A" w:rsidRDefault="00525604" w:rsidP="00A9558A">
            <w:pPr>
              <w:keepNext/>
              <w:keepLines/>
              <w:ind w:leftChars="-6" w:left="2" w:hangingChars="9" w:hanging="14"/>
              <w:rPr>
                <w:rFonts w:cs="Arial"/>
                <w:sz w:val="16"/>
                <w:szCs w:val="16"/>
                <w:lang w:val="es-ES_tradnl"/>
              </w:rPr>
            </w:pPr>
            <w:r w:rsidRPr="00A9558A">
              <w:rPr>
                <w:sz w:val="16"/>
                <w:szCs w:val="16"/>
                <w:lang w:val="es-ES_tradnl"/>
              </w:rPr>
              <w:t>Siete países</w:t>
            </w:r>
          </w:p>
        </w:tc>
        <w:tc>
          <w:tcPr>
            <w:tcW w:w="1701" w:type="dxa"/>
            <w:gridSpan w:val="3"/>
            <w:shd w:val="clear" w:color="auto" w:fill="auto"/>
            <w:tcMar>
              <w:top w:w="110" w:type="dxa"/>
            </w:tcMar>
          </w:tcPr>
          <w:p w:rsidR="00525604" w:rsidRPr="00A9558A" w:rsidRDefault="00525604" w:rsidP="00853209">
            <w:pPr>
              <w:keepNext/>
              <w:keepLines/>
              <w:rPr>
                <w:rFonts w:cs="Arial"/>
                <w:sz w:val="16"/>
                <w:szCs w:val="16"/>
                <w:lang w:val="es-ES_tradnl"/>
              </w:rPr>
            </w:pPr>
            <w:r w:rsidRPr="00A9558A">
              <w:rPr>
                <w:sz w:val="16"/>
                <w:szCs w:val="16"/>
                <w:lang w:val="es-ES_tradnl"/>
              </w:rPr>
              <w:t xml:space="preserve">16 países. </w:t>
            </w:r>
          </w:p>
        </w:tc>
        <w:tc>
          <w:tcPr>
            <w:tcW w:w="2836" w:type="dxa"/>
            <w:gridSpan w:val="2"/>
            <w:shd w:val="clear" w:color="auto" w:fill="FFFFFF"/>
            <w:tcMar>
              <w:top w:w="110" w:type="dxa"/>
            </w:tcMar>
          </w:tcPr>
          <w:p w:rsidR="00525604" w:rsidRPr="00A9558A" w:rsidRDefault="00525604" w:rsidP="00853209">
            <w:pPr>
              <w:keepNext/>
              <w:keepLines/>
              <w:rPr>
                <w:rFonts w:cs="Arial"/>
                <w:sz w:val="16"/>
                <w:szCs w:val="16"/>
                <w:lang w:val="es-ES_tradnl"/>
              </w:rPr>
            </w:pPr>
            <w:r w:rsidRPr="00A9558A">
              <w:rPr>
                <w:sz w:val="16"/>
                <w:szCs w:val="16"/>
                <w:lang w:val="es-ES_tradnl"/>
              </w:rPr>
              <w:t>12 países (</w:t>
            </w:r>
            <w:r w:rsidR="005D2004" w:rsidRPr="00A9558A">
              <w:rPr>
                <w:sz w:val="16"/>
                <w:szCs w:val="16"/>
                <w:lang w:val="es-ES_tradnl"/>
              </w:rPr>
              <w:t xml:space="preserve">la </w:t>
            </w:r>
            <w:r w:rsidRPr="00A9558A">
              <w:rPr>
                <w:sz w:val="16"/>
                <w:szCs w:val="16"/>
                <w:lang w:val="es-ES_tradnl"/>
              </w:rPr>
              <w:t>Argentina, Barbados, Colombia, Costa Rica, Honduras, México, Nicaragua, Pa</w:t>
            </w:r>
            <w:r w:rsidR="005D2004" w:rsidRPr="00A9558A">
              <w:rPr>
                <w:sz w:val="16"/>
                <w:szCs w:val="16"/>
                <w:lang w:val="es-ES_tradnl"/>
              </w:rPr>
              <w:t>namá, la República Dominicana, E</w:t>
            </w:r>
            <w:r w:rsidRPr="00A9558A">
              <w:rPr>
                <w:sz w:val="16"/>
                <w:szCs w:val="16"/>
                <w:lang w:val="es-ES_tradnl"/>
              </w:rPr>
              <w:t>l Salvador, Trinidad y Tabago, y el Uruguay).</w:t>
            </w:r>
          </w:p>
        </w:tc>
        <w:tc>
          <w:tcPr>
            <w:tcW w:w="1276" w:type="dxa"/>
            <w:gridSpan w:val="2"/>
            <w:shd w:val="clear" w:color="auto" w:fill="auto"/>
            <w:tcMar>
              <w:top w:w="110" w:type="dxa"/>
            </w:tcMar>
          </w:tcPr>
          <w:p w:rsidR="00525604" w:rsidRPr="00A9558A" w:rsidRDefault="00525604" w:rsidP="00853209">
            <w:pPr>
              <w:keepNext/>
              <w:keepLines/>
              <w:jc w:val="center"/>
              <w:rPr>
                <w:rFonts w:cs="Arial"/>
                <w:sz w:val="16"/>
                <w:szCs w:val="16"/>
                <w:lang w:val="es-ES_tradnl"/>
              </w:rPr>
            </w:pPr>
            <w:r w:rsidRPr="00A9558A">
              <w:rPr>
                <w:color w:val="E36C0A" w:themeColor="accent6" w:themeShade="BF"/>
                <w:sz w:val="16"/>
                <w:szCs w:val="16"/>
                <w:lang w:val="es-ES_tradnl"/>
              </w:rPr>
              <w:t>Parcialmente</w:t>
            </w:r>
            <w:r w:rsidRPr="00A9558A">
              <w:rPr>
                <w:rFonts w:cs="Arial"/>
                <w:bCs/>
                <w:color w:val="E36C0A" w:themeColor="accent6" w:themeShade="BF"/>
                <w:sz w:val="16"/>
                <w:szCs w:val="16"/>
                <w:lang w:val="es-ES_tradnl"/>
              </w:rPr>
              <w:br/>
            </w:r>
            <w:r w:rsidRPr="00A9558A">
              <w:rPr>
                <w:color w:val="E36C0A" w:themeColor="accent6" w:themeShade="BF"/>
                <w:sz w:val="16"/>
                <w:szCs w:val="16"/>
                <w:lang w:val="es-ES_tradnl"/>
              </w:rPr>
              <w:t>logrado</w:t>
            </w:r>
          </w:p>
        </w:tc>
      </w:tr>
      <w:tr w:rsidR="00525604" w:rsidRPr="00A9558A" w:rsidTr="00C13FC7">
        <w:tc>
          <w:tcPr>
            <w:tcW w:w="1881"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PMA que han incluido consideraciones de P.I. propias de los PMA en sus estrategias y/o políticas nacionales de P.I. (PMA).</w:t>
            </w:r>
          </w:p>
        </w:tc>
        <w:tc>
          <w:tcPr>
            <w:tcW w:w="1663" w:type="dxa"/>
            <w:tcBorders>
              <w:bottom w:val="single" w:sz="4" w:space="0" w:color="auto"/>
            </w:tcBorders>
            <w:shd w:val="clear" w:color="auto" w:fill="auto"/>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Cuatro PMA</w:t>
            </w:r>
          </w:p>
        </w:tc>
        <w:tc>
          <w:tcPr>
            <w:tcW w:w="1701" w:type="dxa"/>
            <w:gridSpan w:val="3"/>
            <w:tcBorders>
              <w:bottom w:val="single" w:sz="4" w:space="0" w:color="auto"/>
            </w:tcBorders>
            <w:shd w:val="clear" w:color="auto" w:fill="auto"/>
            <w:tcMar>
              <w:top w:w="110" w:type="dxa"/>
            </w:tcMar>
          </w:tcPr>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Al menos ocho PMA</w:t>
            </w:r>
          </w:p>
          <w:p w:rsidR="00525604" w:rsidRPr="00A9558A" w:rsidRDefault="00525604" w:rsidP="00853209">
            <w:pPr>
              <w:rPr>
                <w:rFonts w:cs="Arial"/>
                <w:sz w:val="16"/>
                <w:szCs w:val="16"/>
                <w:lang w:val="es-ES_tradnl"/>
              </w:rPr>
            </w:pPr>
            <w:r w:rsidRPr="00A9558A">
              <w:rPr>
                <w:sz w:val="16"/>
                <w:szCs w:val="16"/>
                <w:lang w:val="es-ES_tradnl"/>
              </w:rPr>
              <w:t>(en total)</w:t>
            </w:r>
          </w:p>
        </w:tc>
        <w:tc>
          <w:tcPr>
            <w:tcW w:w="2836" w:type="dxa"/>
            <w:gridSpan w:val="2"/>
            <w:tcBorders>
              <w:bottom w:val="single" w:sz="4" w:space="0" w:color="auto"/>
            </w:tcBorders>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Otros dos PMA (Bangladesh y Etiopía) han adoptado proyectos de estrategias y/o políticas nacionales en materia de P.I. e innovación, que incluyen consideraciones </w:t>
            </w:r>
            <w:r w:rsidR="00714D78" w:rsidRPr="00A9558A">
              <w:rPr>
                <w:sz w:val="16"/>
                <w:szCs w:val="16"/>
                <w:lang w:val="es-ES_tradnl"/>
              </w:rPr>
              <w:t xml:space="preserve">de P.I. </w:t>
            </w:r>
            <w:r w:rsidRPr="00A9558A">
              <w:rPr>
                <w:sz w:val="16"/>
                <w:szCs w:val="16"/>
                <w:lang w:val="es-ES_tradnl"/>
              </w:rPr>
              <w:t xml:space="preserve">propias de los PMA, </w:t>
            </w:r>
            <w:r w:rsidR="00714D78" w:rsidRPr="00A9558A">
              <w:rPr>
                <w:sz w:val="16"/>
                <w:szCs w:val="16"/>
                <w:lang w:val="es-ES_tradnl"/>
              </w:rPr>
              <w:t>con lo que el número total de PMA que han incorporado estas consideraciones se eleva a seis</w:t>
            </w:r>
            <w:r w:rsidRPr="00A9558A">
              <w:rPr>
                <w:sz w:val="16"/>
                <w:szCs w:val="16"/>
                <w:lang w:val="es-ES_tradnl"/>
              </w:rPr>
              <w:t>.</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Dos PMA (Madagascar y Nepal) están concluyendo sus proyectos de políticas nacionales de P.I., que incluyen consideraciones </w:t>
            </w:r>
            <w:r w:rsidR="00714D78" w:rsidRPr="00A9558A">
              <w:rPr>
                <w:sz w:val="16"/>
                <w:szCs w:val="16"/>
                <w:lang w:val="es-ES_tradnl"/>
              </w:rPr>
              <w:t xml:space="preserve">de P.I. </w:t>
            </w:r>
            <w:r w:rsidRPr="00A9558A">
              <w:rPr>
                <w:sz w:val="16"/>
                <w:szCs w:val="16"/>
                <w:lang w:val="es-ES_tradnl"/>
              </w:rPr>
              <w:t>propias de los PMA.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Además, la OMPI ha seguido trabajando con Mozambique, Rwanda, el Senegal y Zambia para facilitar la aplicación de las recomendaciones pertinentes en materia de P.I. en el plano nacional.</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Djibouti ha aplazado el proceso.</w:t>
            </w:r>
          </w:p>
          <w:p w:rsidR="00525604" w:rsidRPr="00A9558A" w:rsidRDefault="00525604" w:rsidP="00853209">
            <w:pPr>
              <w:rPr>
                <w:rFonts w:cs="Arial"/>
                <w:sz w:val="16"/>
                <w:szCs w:val="16"/>
                <w:lang w:val="es-ES_tradnl"/>
              </w:rPr>
            </w:pPr>
          </w:p>
        </w:tc>
        <w:tc>
          <w:tcPr>
            <w:tcW w:w="1276" w:type="dxa"/>
            <w:gridSpan w:val="2"/>
            <w:tcBorders>
              <w:bottom w:val="single" w:sz="4" w:space="0" w:color="auto"/>
            </w:tcBorders>
            <w:shd w:val="clear" w:color="auto" w:fill="auto"/>
            <w:tcMar>
              <w:top w:w="110" w:type="dxa"/>
            </w:tcMar>
          </w:tcPr>
          <w:p w:rsidR="00525604" w:rsidRPr="00A9558A" w:rsidRDefault="00525604" w:rsidP="00853209">
            <w:pPr>
              <w:jc w:val="center"/>
              <w:rPr>
                <w:rFonts w:cs="Arial"/>
                <w:sz w:val="16"/>
                <w:szCs w:val="16"/>
                <w:lang w:val="es-ES_tradnl"/>
              </w:rPr>
            </w:pPr>
            <w:r w:rsidRPr="00A9558A">
              <w:rPr>
                <w:color w:val="008000"/>
                <w:sz w:val="16"/>
                <w:szCs w:val="16"/>
                <w:lang w:val="es-ES_tradnl"/>
              </w:rPr>
              <w:t>Plenamente logrado</w:t>
            </w:r>
          </w:p>
        </w:tc>
      </w:tr>
      <w:tr w:rsidR="00525604" w:rsidRPr="00A9508D"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9931F5">
            <w:pPr>
              <w:keepNext/>
              <w:keepLines/>
              <w:spacing w:before="120" w:after="120"/>
              <w:ind w:left="1701" w:hanging="1701"/>
              <w:rPr>
                <w:rFonts w:cs="Arial"/>
                <w:b/>
                <w:bCs/>
                <w:sz w:val="16"/>
                <w:szCs w:val="16"/>
                <w:lang w:val="es-ES_tradnl"/>
              </w:rPr>
            </w:pPr>
            <w:r w:rsidRPr="00A9558A">
              <w:rPr>
                <w:b/>
                <w:sz w:val="16"/>
                <w:szCs w:val="16"/>
                <w:lang w:val="es-ES_tradnl"/>
              </w:rPr>
              <w:t>Resultado previsto:</w:t>
            </w:r>
            <w:r w:rsidRPr="00A9558A">
              <w:rPr>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525604" w:rsidRPr="00A9558A" w:rsidTr="00C13FC7">
        <w:tc>
          <w:tcPr>
            <w:tcW w:w="1881" w:type="dxa"/>
            <w:gridSpan w:val="2"/>
            <w:tcBorders>
              <w:top w:val="single" w:sz="4" w:space="0" w:color="auto"/>
            </w:tcBorders>
            <w:shd w:val="clear" w:color="auto" w:fill="auto"/>
            <w:vAlign w:val="center"/>
          </w:tcPr>
          <w:p w:rsidR="00525604" w:rsidRPr="00A9558A" w:rsidRDefault="00525604" w:rsidP="00853209">
            <w:pPr>
              <w:spacing w:after="40"/>
              <w:rPr>
                <w:rFonts w:cs="Arial"/>
                <w:color w:val="808080"/>
                <w:sz w:val="16"/>
                <w:szCs w:val="16"/>
                <w:lang w:val="es-ES_tradnl"/>
              </w:rPr>
            </w:pPr>
            <w:r w:rsidRPr="00A9558A">
              <w:rPr>
                <w:b/>
                <w:sz w:val="16"/>
                <w:szCs w:val="16"/>
                <w:lang w:val="es-ES_tradnl"/>
              </w:rPr>
              <w:t>Indicadores de rendimiento</w:t>
            </w:r>
          </w:p>
        </w:tc>
        <w:tc>
          <w:tcPr>
            <w:tcW w:w="1995" w:type="dxa"/>
            <w:gridSpan w:val="2"/>
            <w:tcBorders>
              <w:top w:val="single" w:sz="4" w:space="0" w:color="auto"/>
            </w:tcBorders>
            <w:shd w:val="clear" w:color="auto" w:fill="auto"/>
            <w:vAlign w:val="center"/>
          </w:tcPr>
          <w:p w:rsidR="00525604" w:rsidRPr="00A9558A" w:rsidRDefault="00525604" w:rsidP="00853209">
            <w:pPr>
              <w:spacing w:after="40"/>
              <w:rPr>
                <w:rFonts w:cs="Arial"/>
                <w:b/>
                <w:bCs/>
                <w:color w:val="808080"/>
                <w:sz w:val="16"/>
                <w:szCs w:val="16"/>
                <w:lang w:val="es-ES_tradnl"/>
              </w:rPr>
            </w:pPr>
            <w:r w:rsidRPr="00A9558A">
              <w:rPr>
                <w:b/>
                <w:sz w:val="16"/>
                <w:szCs w:val="16"/>
                <w:lang w:val="es-ES_tradnl"/>
              </w:rPr>
              <w:t>Referencia</w:t>
            </w:r>
          </w:p>
        </w:tc>
        <w:tc>
          <w:tcPr>
            <w:tcW w:w="1369" w:type="dxa"/>
            <w:gridSpan w:val="2"/>
            <w:tcBorders>
              <w:top w:val="single" w:sz="4" w:space="0" w:color="auto"/>
            </w:tcBorders>
            <w:shd w:val="clear" w:color="auto" w:fill="auto"/>
            <w:tcMar>
              <w:top w:w="110" w:type="dxa"/>
            </w:tcMar>
            <w:vAlign w:val="center"/>
          </w:tcPr>
          <w:p w:rsidR="00525604" w:rsidRPr="00A9558A" w:rsidRDefault="00525604" w:rsidP="00853209">
            <w:pPr>
              <w:spacing w:after="40"/>
              <w:rPr>
                <w:rFonts w:cs="Arial"/>
                <w:b/>
                <w:color w:val="808080"/>
                <w:sz w:val="16"/>
                <w:szCs w:val="16"/>
                <w:lang w:val="es-ES_tradnl"/>
              </w:rPr>
            </w:pPr>
            <w:r w:rsidRPr="00A9558A">
              <w:rPr>
                <w:b/>
                <w:sz w:val="16"/>
                <w:szCs w:val="16"/>
                <w:lang w:val="es-ES_tradnl"/>
              </w:rPr>
              <w:t>Objetivos</w:t>
            </w:r>
          </w:p>
        </w:tc>
        <w:tc>
          <w:tcPr>
            <w:tcW w:w="2977" w:type="dxa"/>
            <w:gridSpan w:val="3"/>
            <w:tcBorders>
              <w:top w:val="single" w:sz="4" w:space="0" w:color="auto"/>
            </w:tcBorders>
            <w:shd w:val="clear" w:color="auto" w:fill="FFFFFF"/>
            <w:tcMar>
              <w:top w:w="110" w:type="dxa"/>
            </w:tcMar>
            <w:vAlign w:val="center"/>
          </w:tcPr>
          <w:p w:rsidR="00525604" w:rsidRPr="00A9558A" w:rsidRDefault="00525604" w:rsidP="00853209">
            <w:pPr>
              <w:spacing w:after="40"/>
              <w:rPr>
                <w:rFonts w:cs="Arial"/>
                <w:color w:val="808080"/>
                <w:sz w:val="16"/>
                <w:szCs w:val="16"/>
                <w:lang w:val="es-ES_tradnl"/>
              </w:rPr>
            </w:pPr>
            <w:r w:rsidRPr="00A9558A">
              <w:rPr>
                <w:b/>
                <w:sz w:val="16"/>
                <w:szCs w:val="16"/>
                <w:lang w:val="es-ES_tradnl"/>
              </w:rPr>
              <w:t>Datos sobre el rendimiento</w:t>
            </w:r>
          </w:p>
        </w:tc>
        <w:tc>
          <w:tcPr>
            <w:tcW w:w="1135" w:type="dxa"/>
            <w:tcBorders>
              <w:top w:val="single" w:sz="4" w:space="0" w:color="auto"/>
            </w:tcBorders>
            <w:shd w:val="clear" w:color="auto" w:fill="auto"/>
            <w:tcMar>
              <w:top w:w="110" w:type="dxa"/>
            </w:tcMar>
            <w:vAlign w:val="center"/>
          </w:tcPr>
          <w:p w:rsidR="00525604" w:rsidRPr="00A9558A" w:rsidRDefault="00525604" w:rsidP="00853209">
            <w:pPr>
              <w:keepNext/>
              <w:keepLines/>
              <w:spacing w:after="40"/>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881" w:type="dxa"/>
            <w:gridSpan w:val="2"/>
            <w:shd w:val="clear" w:color="auto" w:fill="FFFFFF"/>
          </w:tcPr>
          <w:p w:rsidR="00525604" w:rsidRPr="00A9558A" w:rsidRDefault="00525604" w:rsidP="00853209">
            <w:pPr>
              <w:rPr>
                <w:rFonts w:cs="Arial"/>
                <w:sz w:val="16"/>
                <w:szCs w:val="16"/>
                <w:lang w:val="es-ES_tradnl"/>
              </w:rPr>
            </w:pPr>
            <w:r w:rsidRPr="00A9558A">
              <w:rPr>
                <w:sz w:val="16"/>
                <w:szCs w:val="16"/>
                <w:lang w:val="es-ES_tradnl"/>
              </w:rPr>
              <w:t xml:space="preserve">Porcentaje de encargados de la formulación de políticas, funcionarios gubernamentales, profesionales de la P.I. y examinadores, funcionarios encargados de hacer cumplir la ley y </w:t>
            </w:r>
            <w:r w:rsidRPr="00A9558A">
              <w:rPr>
                <w:sz w:val="16"/>
                <w:szCs w:val="16"/>
                <w:lang w:val="es-ES_tradnl"/>
              </w:rPr>
              <w:lastRenderedPageBreak/>
              <w:t>usuarios de la P.I. que entienden mejor las cuestiones de P.I. y cómo utilizarla en aras del desarrollo.</w:t>
            </w:r>
          </w:p>
          <w:p w:rsidR="00525604" w:rsidRPr="00A9558A" w:rsidRDefault="00525604" w:rsidP="00853209">
            <w:pPr>
              <w:rPr>
                <w:rFonts w:cs="Arial"/>
                <w:sz w:val="16"/>
                <w:szCs w:val="16"/>
                <w:lang w:val="es-ES_tradnl"/>
              </w:rPr>
            </w:pP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lastRenderedPageBreak/>
              <w:t>No se dispone de datos.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60%</w:t>
            </w:r>
          </w:p>
        </w:tc>
        <w:tc>
          <w:tcPr>
            <w:tcW w:w="2977" w:type="dxa"/>
            <w:gridSpan w:val="3"/>
            <w:shd w:val="clear" w:color="auto" w:fill="FFFFFF"/>
            <w:tcMar>
              <w:top w:w="110" w:type="dxa"/>
            </w:tcMar>
          </w:tcPr>
          <w:p w:rsidR="00525604" w:rsidRPr="00A9558A" w:rsidRDefault="00525604" w:rsidP="00714D78">
            <w:pPr>
              <w:rPr>
                <w:rFonts w:cs="Arial"/>
                <w:sz w:val="16"/>
                <w:szCs w:val="16"/>
                <w:lang w:val="es-ES_tradnl"/>
              </w:rPr>
            </w:pPr>
            <w:r w:rsidRPr="00A9558A">
              <w:rPr>
                <w:sz w:val="16"/>
                <w:szCs w:val="16"/>
                <w:lang w:val="es-ES_tradnl"/>
              </w:rPr>
              <w:t xml:space="preserve">El 70% (920 de 1.314) de los profesionales de la P.I., jefes de oficinas de P.I. y derecho de autor, examinadores, abogados, encargados de redactar leyes, funcionarios gubernamentales, creadores artísticos, inventores, investigadores, miembros de la judicatura y funcionarios judiciales, pymes, industrias agrícolas y </w:t>
            </w:r>
            <w:r w:rsidRPr="00A9558A">
              <w:rPr>
                <w:sz w:val="16"/>
                <w:szCs w:val="16"/>
                <w:lang w:val="es-ES_tradnl"/>
              </w:rPr>
              <w:lastRenderedPageBreak/>
              <w:t xml:space="preserve">agroalimentarias, y el sector académico privado recibieron formación de los siguientes países: </w:t>
            </w:r>
            <w:r w:rsidR="007E4D96" w:rsidRPr="00A9558A">
              <w:rPr>
                <w:sz w:val="16"/>
                <w:szCs w:val="16"/>
                <w:lang w:val="es-ES_tradnl"/>
              </w:rPr>
              <w:t xml:space="preserve"> </w:t>
            </w:r>
            <w:r w:rsidRPr="00A9558A">
              <w:rPr>
                <w:sz w:val="16"/>
                <w:szCs w:val="16"/>
                <w:lang w:val="es-ES_tradnl"/>
              </w:rPr>
              <w:t>Angola, Benin, Burkina Faso, Burundi, Botswana, el Camerún, Cabo Verde, el Chad, las Comoras, el Congo, Côte D'Ivoire, Guinea Ecuatorial, Eritrea, Etiopía, el Gabón, Gambia, Ghana, Guinea, Guinea-Bissau, Kenya, Lesotho, Liberia, Madagascar, Malawi, Malí, Mauricio, Mozambique, Namibia, el Níger, Nigeria, la República Centroafricana, la República Democrática del Congo, Rwanda, Santo Tomé y Príncipe, el Senegal, Seychelles, Sierra Leona, Sudáfrica, Swazilandia, la República Unida de Tanzanía, el Togo, Uganda, Zambia, Zimbabwe.</w:t>
            </w:r>
          </w:p>
        </w:tc>
        <w:tc>
          <w:tcPr>
            <w:tcW w:w="1135" w:type="dxa"/>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lastRenderedPageBreak/>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lastRenderedPageBreak/>
              <w:t>Número de países que cuentan con programas de formación en P.I. y oportunidades laborales relacionadas con la P.I. (región de los países árabes).</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Cinco países</w:t>
            </w:r>
            <w:r w:rsidRPr="00A9558A">
              <w:rPr>
                <w:sz w:val="16"/>
                <w:szCs w:val="16"/>
                <w:lang w:val="es-ES_tradnl"/>
              </w:rPr>
              <w:br w:type="page"/>
            </w:r>
            <w:r w:rsidRPr="00A9558A">
              <w:rPr>
                <w:sz w:val="16"/>
                <w:szCs w:val="16"/>
                <w:lang w:val="es-ES_tradnl"/>
              </w:rPr>
              <w:br w:type="page"/>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Tres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Un país ha creado una academia nacional de P.I. (Túnez) y un país (Egipto) ha puesto en marcha una academia nacional de P.I.</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El Institut national algérien de la propriété industrielle</w:t>
            </w:r>
            <w:r w:rsidRPr="00A9558A">
              <w:rPr>
                <w:sz w:val="16"/>
                <w:szCs w:val="16"/>
                <w:lang w:val="es-ES_tradnl"/>
              </w:rPr>
              <w:t xml:space="preserve"> (INAPI) imparte programas de formación relacionados con la P.I. en el ámbito de la información e investigación </w:t>
            </w:r>
            <w:r w:rsidR="00EF4041" w:rsidRPr="00A9558A">
              <w:rPr>
                <w:sz w:val="16"/>
                <w:szCs w:val="16"/>
                <w:lang w:val="es-ES_tradnl"/>
              </w:rPr>
              <w:t xml:space="preserve">en materia </w:t>
            </w:r>
            <w:r w:rsidRPr="00A9558A">
              <w:rPr>
                <w:sz w:val="16"/>
                <w:szCs w:val="16"/>
                <w:lang w:val="es-ES_tradnl"/>
              </w:rPr>
              <w:t>de patentes.</w:t>
            </w:r>
          </w:p>
        </w:tc>
        <w:tc>
          <w:tcPr>
            <w:tcW w:w="1135" w:type="dxa"/>
            <w:shd w:val="clear" w:color="auto" w:fill="auto"/>
          </w:tcPr>
          <w:p w:rsidR="00525604" w:rsidRPr="00A9558A" w:rsidRDefault="00525604" w:rsidP="00853209">
            <w:pPr>
              <w:keepNext/>
              <w:keepLines/>
              <w:spacing w:after="120"/>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Porcentaje de examinadores que recibieron formación y que utilizan en su trabajo las nuevas aptitudes adquiridas (Asia y el Pacífico).</w:t>
            </w:r>
          </w:p>
        </w:tc>
        <w:tc>
          <w:tcPr>
            <w:tcW w:w="1995" w:type="dxa"/>
            <w:gridSpan w:val="2"/>
            <w:shd w:val="clear" w:color="auto" w:fill="auto"/>
          </w:tcPr>
          <w:p w:rsidR="00525604" w:rsidRPr="00A9558A" w:rsidRDefault="00525604" w:rsidP="00853209">
            <w:pPr>
              <w:jc w:val="both"/>
              <w:rPr>
                <w:rFonts w:cs="Arial"/>
                <w:sz w:val="16"/>
                <w:szCs w:val="16"/>
                <w:lang w:val="es-ES_tradnl"/>
              </w:rPr>
            </w:pPr>
            <w:r w:rsidRPr="00A9558A">
              <w:rPr>
                <w:sz w:val="16"/>
                <w:szCs w:val="16"/>
                <w:lang w:val="es-ES_tradnl"/>
              </w:rPr>
              <w:t>No se dispone de datos.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70%</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Alrededor del 90% de los examinadores formados evaluados utilizan en su trabajo las nuevas aptitudes adquiridas.</w:t>
            </w:r>
          </w:p>
        </w:tc>
        <w:tc>
          <w:tcPr>
            <w:tcW w:w="1135" w:type="dxa"/>
            <w:shd w:val="clear" w:color="auto" w:fill="auto"/>
            <w:tcMar>
              <w:top w:w="110" w:type="dxa"/>
            </w:tcMar>
          </w:tcPr>
          <w:p w:rsidR="00525604" w:rsidRPr="00A9558A" w:rsidRDefault="00525604" w:rsidP="00853209">
            <w:pPr>
              <w:keepNext/>
              <w:keepLines/>
              <w:spacing w:after="120"/>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Porcentaje de encargados de la formulación de políticas, funcionarios gubernamentales y profesionales de la P.I. que entienden mejor las cuestiones de P.I., entre otras cosas, cómo utilizarla con eficacia en aras del desarrollo (Asia y el Pacífico).</w:t>
            </w:r>
          </w:p>
        </w:tc>
        <w:tc>
          <w:tcPr>
            <w:tcW w:w="1995" w:type="dxa"/>
            <w:gridSpan w:val="2"/>
            <w:shd w:val="clear" w:color="auto" w:fill="auto"/>
          </w:tcPr>
          <w:p w:rsidR="00525604" w:rsidRPr="00A9558A" w:rsidRDefault="00525604" w:rsidP="00853209">
            <w:pPr>
              <w:jc w:val="both"/>
              <w:rPr>
                <w:rFonts w:cs="Arial"/>
                <w:sz w:val="16"/>
                <w:szCs w:val="16"/>
                <w:lang w:val="es-ES_tradnl"/>
              </w:rPr>
            </w:pPr>
            <w:r w:rsidRPr="00A9558A">
              <w:rPr>
                <w:sz w:val="16"/>
                <w:szCs w:val="16"/>
                <w:lang w:val="es-ES_tradnl"/>
              </w:rPr>
              <w:t>No se dispone de datos.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60%</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Alrededor del 80% de los participantes evaluados afirmaron que entienden mejor las cuestiones de P.I.</w:t>
            </w:r>
          </w:p>
        </w:tc>
        <w:tc>
          <w:tcPr>
            <w:tcW w:w="1135" w:type="dxa"/>
            <w:shd w:val="clear" w:color="auto" w:fill="auto"/>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FFFFFF"/>
          </w:tcPr>
          <w:p w:rsidR="00525604" w:rsidRPr="00A9558A" w:rsidRDefault="00525604" w:rsidP="00853209">
            <w:pPr>
              <w:rPr>
                <w:rFonts w:cs="Arial"/>
                <w:color w:val="000000"/>
                <w:sz w:val="16"/>
                <w:szCs w:val="16"/>
                <w:lang w:val="es-ES_tradnl"/>
              </w:rPr>
            </w:pPr>
            <w:r w:rsidRPr="00A9558A">
              <w:rPr>
                <w:sz w:val="16"/>
                <w:szCs w:val="16"/>
                <w:lang w:val="es-ES_tradnl"/>
              </w:rPr>
              <w:t>Número de formadores en P.I./expertos nacionales (América Latina y el Caribe).</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151 expertos/formadores nacionales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230 </w:t>
            </w:r>
            <w:r w:rsidR="003F0C33" w:rsidRPr="00A9558A">
              <w:rPr>
                <w:sz w:val="16"/>
                <w:szCs w:val="16"/>
                <w:lang w:val="es-ES_tradnl"/>
              </w:rPr>
              <w:t xml:space="preserve">formadores/ </w:t>
            </w:r>
            <w:r w:rsidRPr="00A9558A">
              <w:rPr>
                <w:sz w:val="16"/>
                <w:szCs w:val="16"/>
                <w:lang w:val="es-ES_tradnl"/>
              </w:rPr>
              <w:t>expertos</w:t>
            </w:r>
            <w:r w:rsidR="003F0C33" w:rsidRPr="00A9558A">
              <w:rPr>
                <w:sz w:val="16"/>
                <w:szCs w:val="16"/>
                <w:lang w:val="es-ES_tradnl"/>
              </w:rPr>
              <w:t xml:space="preserve"> </w:t>
            </w:r>
            <w:r w:rsidRPr="00A9558A">
              <w:rPr>
                <w:sz w:val="16"/>
                <w:szCs w:val="16"/>
                <w:lang w:val="es-ES_tradnl"/>
              </w:rPr>
              <w:t>nacionales</w:t>
            </w:r>
          </w:p>
          <w:p w:rsidR="00525604" w:rsidRPr="00A9558A" w:rsidRDefault="00525604" w:rsidP="00853209">
            <w:pPr>
              <w:rPr>
                <w:rFonts w:cs="Arial"/>
                <w:sz w:val="16"/>
                <w:szCs w:val="16"/>
                <w:lang w:val="es-ES_tradnl"/>
              </w:rPr>
            </w:pPr>
            <w:r w:rsidRPr="00A9558A">
              <w:rPr>
                <w:sz w:val="16"/>
                <w:szCs w:val="16"/>
                <w:lang w:val="es-ES_tradnl"/>
              </w:rPr>
              <w:t>(en total)</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Total de expertos/formadores nacionales en el bienio: </w:t>
            </w:r>
            <w:r w:rsidR="007E4D96" w:rsidRPr="00A9558A">
              <w:rPr>
                <w:sz w:val="16"/>
                <w:szCs w:val="16"/>
                <w:lang w:val="es-ES_tradnl"/>
              </w:rPr>
              <w:t xml:space="preserve"> </w:t>
            </w:r>
            <w:r w:rsidRPr="00A9558A">
              <w:rPr>
                <w:sz w:val="16"/>
                <w:szCs w:val="16"/>
                <w:lang w:val="es-ES_tradnl"/>
              </w:rPr>
              <w:t xml:space="preserve">250 </w:t>
            </w:r>
          </w:p>
          <w:p w:rsidR="00525604" w:rsidRPr="00A9558A" w:rsidRDefault="00525604" w:rsidP="00525604">
            <w:pPr>
              <w:pStyle w:val="ListParagraph"/>
              <w:numPr>
                <w:ilvl w:val="0"/>
                <w:numId w:val="28"/>
              </w:numPr>
              <w:ind w:left="336" w:hanging="283"/>
              <w:rPr>
                <w:rFonts w:cs="Arial"/>
                <w:sz w:val="16"/>
                <w:szCs w:val="16"/>
                <w:lang w:val="es-ES_tradnl"/>
              </w:rPr>
            </w:pPr>
            <w:r w:rsidRPr="00A9558A">
              <w:rPr>
                <w:sz w:val="16"/>
                <w:szCs w:val="16"/>
                <w:lang w:val="es-ES_tradnl"/>
              </w:rPr>
              <w:t>80 (2012)</w:t>
            </w:r>
          </w:p>
          <w:p w:rsidR="00525604" w:rsidRPr="00A9558A" w:rsidRDefault="00525604" w:rsidP="00525604">
            <w:pPr>
              <w:pStyle w:val="ListParagraph"/>
              <w:numPr>
                <w:ilvl w:val="0"/>
                <w:numId w:val="28"/>
              </w:numPr>
              <w:ind w:left="336" w:hanging="283"/>
              <w:rPr>
                <w:rFonts w:cs="Arial"/>
                <w:sz w:val="16"/>
                <w:szCs w:val="16"/>
                <w:lang w:val="es-ES_tradnl"/>
              </w:rPr>
            </w:pPr>
            <w:r w:rsidRPr="00A9558A">
              <w:rPr>
                <w:sz w:val="16"/>
                <w:szCs w:val="16"/>
                <w:lang w:val="es-ES_tradnl"/>
              </w:rPr>
              <w:t>170 (2013)</w:t>
            </w:r>
          </w:p>
        </w:tc>
        <w:tc>
          <w:tcPr>
            <w:tcW w:w="1135" w:type="dxa"/>
            <w:shd w:val="clear" w:color="auto" w:fill="auto"/>
            <w:tcMar>
              <w:top w:w="110" w:type="dxa"/>
            </w:tcMar>
          </w:tcPr>
          <w:p w:rsidR="00525604" w:rsidRPr="00A9558A" w:rsidRDefault="00525604" w:rsidP="00853209">
            <w:pPr>
              <w:tabs>
                <w:tab w:val="left" w:pos="615"/>
              </w:tabs>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color w:val="000000"/>
                <w:sz w:val="16"/>
                <w:szCs w:val="16"/>
                <w:lang w:val="es-ES_tradnl"/>
              </w:rPr>
            </w:pPr>
            <w:r w:rsidRPr="00A9558A">
              <w:rPr>
                <w:sz w:val="16"/>
                <w:szCs w:val="16"/>
                <w:lang w:val="es-ES_tradnl"/>
              </w:rPr>
              <w:t>Número de programas nacionales de formación estructurados (América Latina y el Caribe).</w:t>
            </w:r>
          </w:p>
        </w:tc>
        <w:tc>
          <w:tcPr>
            <w:tcW w:w="1995" w:type="dxa"/>
            <w:gridSpan w:val="2"/>
            <w:shd w:val="clear" w:color="auto" w:fill="auto"/>
          </w:tcPr>
          <w:p w:rsidR="00525604" w:rsidRPr="00A9558A" w:rsidRDefault="00525604" w:rsidP="00853209">
            <w:pPr>
              <w:rPr>
                <w:rFonts w:cs="Arial"/>
                <w:color w:val="002060"/>
                <w:sz w:val="16"/>
                <w:szCs w:val="16"/>
                <w:lang w:val="es-ES_tradnl"/>
              </w:rPr>
            </w:pPr>
            <w:r w:rsidRPr="00A9558A">
              <w:rPr>
                <w:i/>
                <w:color w:val="002060"/>
                <w:sz w:val="16"/>
                <w:szCs w:val="16"/>
                <w:lang w:val="es-ES_tradnl"/>
              </w:rPr>
              <w:t xml:space="preserve">Referencia actualizada </w:t>
            </w:r>
            <w:r w:rsidRPr="00A9558A">
              <w:rPr>
                <w:rFonts w:cs="Arial"/>
                <w:i/>
                <w:color w:val="002060"/>
                <w:sz w:val="16"/>
                <w:szCs w:val="16"/>
                <w:lang w:val="es-ES_tradnl"/>
              </w:rPr>
              <w:br/>
            </w:r>
            <w:r w:rsidRPr="00A9558A">
              <w:rPr>
                <w:i/>
                <w:color w:val="002060"/>
                <w:sz w:val="16"/>
                <w:szCs w:val="16"/>
                <w:lang w:val="es-ES_tradnl"/>
              </w:rPr>
              <w:t>a fin</w:t>
            </w:r>
            <w:r w:rsidR="00293A53" w:rsidRPr="00A9558A">
              <w:rPr>
                <w:i/>
                <w:color w:val="002060"/>
                <w:sz w:val="16"/>
                <w:szCs w:val="16"/>
                <w:lang w:val="es-ES_tradnl"/>
              </w:rPr>
              <w:t>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31 actividades (no programas nacionales)</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Referencia original Presup. por prog. 2012/13:</w:t>
            </w:r>
          </w:p>
          <w:p w:rsidR="00525604" w:rsidRPr="00A9558A" w:rsidRDefault="00525604" w:rsidP="00853209">
            <w:pPr>
              <w:rPr>
                <w:rFonts w:cs="Arial"/>
                <w:color w:val="000000"/>
                <w:sz w:val="16"/>
                <w:szCs w:val="16"/>
                <w:lang w:val="es-ES_tradnl"/>
              </w:rPr>
            </w:pPr>
            <w:r w:rsidRPr="00A9558A">
              <w:rPr>
                <w:sz w:val="16"/>
                <w:szCs w:val="16"/>
                <w:lang w:val="es-ES_tradnl"/>
              </w:rPr>
              <w:t>31 programas nacionales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59 programas nacionales </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Total de actividades - 75 </w:t>
            </w:r>
          </w:p>
          <w:p w:rsidR="00525604" w:rsidRPr="00A9558A" w:rsidRDefault="00525604" w:rsidP="00853209">
            <w:pPr>
              <w:rPr>
                <w:rFonts w:cs="Arial"/>
                <w:sz w:val="16"/>
                <w:szCs w:val="16"/>
                <w:lang w:val="es-ES_tradnl"/>
              </w:rPr>
            </w:pPr>
            <w:r w:rsidRPr="00A9558A">
              <w:rPr>
                <w:sz w:val="16"/>
                <w:szCs w:val="16"/>
                <w:lang w:val="es-ES_tradnl"/>
              </w:rPr>
              <w:t>Actividades nacionales:  31 (2012) y 13 (2013)</w:t>
            </w:r>
          </w:p>
          <w:p w:rsidR="00525604" w:rsidRPr="00A9558A" w:rsidRDefault="00525604" w:rsidP="00853209">
            <w:pPr>
              <w:rPr>
                <w:rFonts w:cs="Arial"/>
                <w:sz w:val="16"/>
                <w:szCs w:val="16"/>
                <w:lang w:val="es-ES_tradnl"/>
              </w:rPr>
            </w:pPr>
            <w:r w:rsidRPr="00A9558A">
              <w:rPr>
                <w:sz w:val="16"/>
                <w:szCs w:val="16"/>
                <w:lang w:val="es-ES_tradnl"/>
              </w:rPr>
              <w:t xml:space="preserve">Actividades subregionales: </w:t>
            </w:r>
            <w:r w:rsidR="007E4D96" w:rsidRPr="00A9558A">
              <w:rPr>
                <w:sz w:val="16"/>
                <w:szCs w:val="16"/>
                <w:lang w:val="es-ES_tradnl"/>
              </w:rPr>
              <w:t xml:space="preserve"> </w:t>
            </w:r>
            <w:r w:rsidRPr="00A9558A">
              <w:rPr>
                <w:sz w:val="16"/>
                <w:szCs w:val="16"/>
                <w:lang w:val="es-ES_tradnl"/>
              </w:rPr>
              <w:t>14 (2012) y 17 (2013)</w:t>
            </w:r>
          </w:p>
        </w:tc>
        <w:tc>
          <w:tcPr>
            <w:tcW w:w="1135" w:type="dxa"/>
            <w:shd w:val="clear" w:color="auto" w:fill="auto"/>
          </w:tcPr>
          <w:p w:rsidR="00525604" w:rsidRPr="00A9558A" w:rsidRDefault="00525604" w:rsidP="00853209">
            <w:pPr>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Número de países en los que se han evaluado las necesidades de asistencia técnica y fortalecimiento de las capacidades (PMA).</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Evaluación de las necesidades de 5 PMA</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Evaluación de las necesidades de al menos 15 PMA</w:t>
            </w:r>
          </w:p>
          <w:p w:rsidR="00525604" w:rsidRPr="00A9558A" w:rsidRDefault="00525604" w:rsidP="00853209">
            <w:pPr>
              <w:rPr>
                <w:rFonts w:cs="Arial"/>
                <w:sz w:val="16"/>
                <w:szCs w:val="16"/>
                <w:lang w:val="es-ES_tradnl"/>
              </w:rPr>
            </w:pPr>
            <w:r w:rsidRPr="00A9558A">
              <w:rPr>
                <w:sz w:val="16"/>
                <w:szCs w:val="16"/>
                <w:lang w:val="es-ES_tradnl"/>
              </w:rPr>
              <w:t>(en total)</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26 PMA</w:t>
            </w:r>
          </w:p>
          <w:p w:rsidR="00525604" w:rsidRPr="00A9558A" w:rsidRDefault="00525604" w:rsidP="00853209">
            <w:pPr>
              <w:rPr>
                <w:rFonts w:cs="Arial"/>
                <w:b/>
                <w:sz w:val="16"/>
                <w:szCs w:val="16"/>
                <w:lang w:val="es-ES_tradnl"/>
              </w:rPr>
            </w:pPr>
          </w:p>
          <w:p w:rsidR="00525604" w:rsidRPr="00A9558A" w:rsidRDefault="00525604" w:rsidP="00853209">
            <w:pPr>
              <w:rPr>
                <w:rFonts w:cs="Arial"/>
                <w:sz w:val="16"/>
                <w:szCs w:val="16"/>
                <w:lang w:val="es-ES_tradnl"/>
              </w:rPr>
            </w:pPr>
            <w:r w:rsidRPr="00A9558A">
              <w:rPr>
                <w:b/>
                <w:color w:val="000000"/>
                <w:sz w:val="16"/>
                <w:szCs w:val="16"/>
                <w:lang w:val="es-ES_tradnl"/>
              </w:rPr>
              <w:t>África</w:t>
            </w:r>
          </w:p>
          <w:p w:rsidR="00525604" w:rsidRPr="00A9558A" w:rsidRDefault="00525604" w:rsidP="00525604">
            <w:pPr>
              <w:pStyle w:val="ListParagraph"/>
              <w:numPr>
                <w:ilvl w:val="0"/>
                <w:numId w:val="27"/>
              </w:numPr>
              <w:rPr>
                <w:rFonts w:cs="Arial"/>
                <w:sz w:val="16"/>
                <w:szCs w:val="16"/>
                <w:lang w:val="es-ES_tradnl"/>
              </w:rPr>
            </w:pPr>
            <w:r w:rsidRPr="00A9558A">
              <w:rPr>
                <w:sz w:val="16"/>
                <w:szCs w:val="16"/>
                <w:lang w:val="es-ES_tradnl"/>
              </w:rPr>
              <w:t xml:space="preserve">Estados miembros de la ARIPO:  Gambia, Lesotho, Malawi, Mozambique, Rwanda, Sierra Leona, el Sudán, Uganda, la República Unida de Tanzanía y Zambia, más </w:t>
            </w:r>
            <w:r w:rsidR="007F2148" w:rsidRPr="00A9558A">
              <w:rPr>
                <w:sz w:val="16"/>
                <w:szCs w:val="16"/>
                <w:lang w:val="es-ES_tradnl"/>
              </w:rPr>
              <w:t>Etiopía</w:t>
            </w:r>
            <w:r w:rsidRPr="00A9558A">
              <w:rPr>
                <w:sz w:val="16"/>
                <w:szCs w:val="16"/>
                <w:lang w:val="es-ES_tradnl"/>
              </w:rPr>
              <w:t xml:space="preserve"> </w:t>
            </w:r>
            <w:r w:rsidRPr="00A9558A">
              <w:rPr>
                <w:sz w:val="16"/>
                <w:szCs w:val="16"/>
                <w:lang w:val="es-ES_tradnl"/>
              </w:rPr>
              <w:lastRenderedPageBreak/>
              <w:t>(observador);</w:t>
            </w:r>
          </w:p>
          <w:p w:rsidR="00525604" w:rsidRPr="00A9558A" w:rsidRDefault="00525604" w:rsidP="00525604">
            <w:pPr>
              <w:pStyle w:val="ListParagraph"/>
              <w:numPr>
                <w:ilvl w:val="0"/>
                <w:numId w:val="27"/>
              </w:numPr>
              <w:rPr>
                <w:rFonts w:cs="Arial"/>
                <w:sz w:val="16"/>
                <w:szCs w:val="16"/>
                <w:lang w:val="es-ES_tradnl"/>
              </w:rPr>
            </w:pPr>
            <w:r w:rsidRPr="00A9558A">
              <w:rPr>
                <w:sz w:val="16"/>
                <w:szCs w:val="16"/>
                <w:lang w:val="es-ES_tradnl"/>
              </w:rPr>
              <w:t>Estados miembros de la OAPI:  Benin, Burkina Faso, Burundi, el Chad, Guinea, Madagascar, Mauritania, el Níger, la República Centroafricana, el Senegal y el Togo</w:t>
            </w:r>
          </w:p>
          <w:p w:rsidR="00525604" w:rsidRPr="00A9558A" w:rsidRDefault="00525604" w:rsidP="00853209">
            <w:pPr>
              <w:rPr>
                <w:rFonts w:cs="Arial"/>
                <w:b/>
                <w:sz w:val="16"/>
                <w:szCs w:val="16"/>
                <w:lang w:val="es-ES_tradnl"/>
              </w:rPr>
            </w:pPr>
          </w:p>
          <w:p w:rsidR="00525604" w:rsidRPr="00A9558A" w:rsidRDefault="00525604" w:rsidP="00853209">
            <w:pPr>
              <w:rPr>
                <w:rFonts w:cs="Arial"/>
                <w:sz w:val="16"/>
                <w:szCs w:val="16"/>
                <w:lang w:val="es-ES_tradnl"/>
              </w:rPr>
            </w:pPr>
            <w:r w:rsidRPr="00A9558A">
              <w:rPr>
                <w:b/>
                <w:sz w:val="16"/>
                <w:szCs w:val="16"/>
                <w:lang w:val="es-ES_tradnl"/>
              </w:rPr>
              <w:t>Asia y el Pacífico</w:t>
            </w:r>
            <w:r w:rsidRPr="00A9558A">
              <w:rPr>
                <w:sz w:val="16"/>
                <w:szCs w:val="16"/>
                <w:lang w:val="es-ES_tradnl"/>
              </w:rPr>
              <w:t xml:space="preserve">: </w:t>
            </w:r>
            <w:r w:rsidR="007E4D96" w:rsidRPr="00A9558A">
              <w:rPr>
                <w:sz w:val="16"/>
                <w:szCs w:val="16"/>
                <w:lang w:val="es-ES_tradnl"/>
              </w:rPr>
              <w:t xml:space="preserve"> </w:t>
            </w:r>
            <w:r w:rsidRPr="00A9558A">
              <w:rPr>
                <w:sz w:val="16"/>
                <w:szCs w:val="16"/>
                <w:lang w:val="es-ES_tradnl"/>
              </w:rPr>
              <w:t>Bangladesh, la República Democrática Popular Lao y Nepal.</w:t>
            </w:r>
          </w:p>
        </w:tc>
        <w:tc>
          <w:tcPr>
            <w:tcW w:w="1135" w:type="dxa"/>
            <w:shd w:val="clear" w:color="auto" w:fill="auto"/>
            <w:tcMar>
              <w:top w:w="110" w:type="dxa"/>
            </w:tcMar>
          </w:tcPr>
          <w:p w:rsidR="00525604" w:rsidRPr="00A9558A" w:rsidRDefault="00525604" w:rsidP="00853209">
            <w:pPr>
              <w:keepNext/>
              <w:keepLines/>
              <w:spacing w:after="120"/>
              <w:jc w:val="center"/>
              <w:rPr>
                <w:rFonts w:cs="Arial"/>
                <w:bCs/>
                <w:color w:val="008000"/>
                <w:sz w:val="16"/>
                <w:szCs w:val="16"/>
                <w:lang w:val="es-ES_tradnl"/>
              </w:rPr>
            </w:pPr>
            <w:r w:rsidRPr="00A9558A">
              <w:rPr>
                <w:color w:val="008000"/>
                <w:sz w:val="16"/>
                <w:szCs w:val="16"/>
                <w:lang w:val="es-ES_tradnl"/>
              </w:rPr>
              <w:lastRenderedPageBreak/>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lastRenderedPageBreak/>
              <w:t>Número de estudiantes/participantes por año y distribución geográfica (PMA).</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 xml:space="preserve">Un total de 502 estudiantes/participantes en todas las regiones. </w:t>
            </w:r>
          </w:p>
        </w:tc>
        <w:tc>
          <w:tcPr>
            <w:tcW w:w="1369" w:type="dxa"/>
            <w:gridSpan w:val="2"/>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Aumento de las cifras</w:t>
            </w:r>
            <w:r w:rsidR="003F0C33" w:rsidRPr="00A9558A">
              <w:rPr>
                <w:sz w:val="16"/>
                <w:szCs w:val="16"/>
                <w:lang w:val="es-ES_tradnl"/>
              </w:rPr>
              <w:t xml:space="preserve"> </w:t>
            </w:r>
            <w:r w:rsidRPr="00A9558A">
              <w:rPr>
                <w:sz w:val="16"/>
                <w:szCs w:val="16"/>
                <w:lang w:val="es-ES_tradnl"/>
              </w:rPr>
              <w:t>de estudiantes/</w:t>
            </w:r>
          </w:p>
          <w:p w:rsidR="00525604" w:rsidRPr="00A9558A" w:rsidRDefault="00525604" w:rsidP="00A9558A">
            <w:pPr>
              <w:ind w:leftChars="-6" w:left="2" w:hangingChars="9" w:hanging="14"/>
              <w:rPr>
                <w:rFonts w:cs="Arial"/>
                <w:sz w:val="16"/>
                <w:szCs w:val="16"/>
                <w:lang w:val="es-ES_tradnl"/>
              </w:rPr>
            </w:pPr>
            <w:r w:rsidRPr="00A9558A">
              <w:rPr>
                <w:sz w:val="16"/>
                <w:szCs w:val="16"/>
                <w:lang w:val="es-ES_tradnl"/>
              </w:rPr>
              <w:t>participantes</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Un total de 1.907 estudiantes/participantes de todas las regiones se beneficiaron de los programas de desarrollo de aptitudes, formación y fortalecimiento de capacidades de la OMPI. (bienio)</w:t>
            </w:r>
          </w:p>
          <w:p w:rsidR="00525604" w:rsidRPr="00A9558A" w:rsidRDefault="00525604" w:rsidP="00525604">
            <w:pPr>
              <w:pStyle w:val="ListParagraph"/>
              <w:numPr>
                <w:ilvl w:val="0"/>
                <w:numId w:val="31"/>
              </w:numPr>
              <w:rPr>
                <w:rFonts w:cs="Arial"/>
                <w:sz w:val="16"/>
                <w:szCs w:val="16"/>
                <w:lang w:val="es-ES_tradnl"/>
              </w:rPr>
            </w:pPr>
            <w:r w:rsidRPr="00A9558A">
              <w:rPr>
                <w:sz w:val="16"/>
                <w:szCs w:val="16"/>
                <w:lang w:val="es-ES_tradnl"/>
              </w:rPr>
              <w:t>1.065 (2012) (23 PMA de África y 5 PMA de Asia)</w:t>
            </w:r>
          </w:p>
          <w:p w:rsidR="00525604" w:rsidRPr="00A9558A" w:rsidRDefault="00525604" w:rsidP="00525604">
            <w:pPr>
              <w:pStyle w:val="ListParagraph"/>
              <w:numPr>
                <w:ilvl w:val="0"/>
                <w:numId w:val="31"/>
              </w:numPr>
              <w:rPr>
                <w:rFonts w:cs="Arial"/>
                <w:sz w:val="16"/>
                <w:szCs w:val="16"/>
                <w:lang w:val="es-ES_tradnl"/>
              </w:rPr>
            </w:pPr>
            <w:r w:rsidRPr="00A9558A">
              <w:rPr>
                <w:sz w:val="16"/>
                <w:szCs w:val="16"/>
                <w:lang w:val="es-ES_tradnl"/>
              </w:rPr>
              <w:t>842 (2013) (28 PMA de África y 6 PMA de Asia)</w:t>
            </w:r>
          </w:p>
        </w:tc>
        <w:tc>
          <w:tcPr>
            <w:tcW w:w="1135" w:type="dxa"/>
            <w:shd w:val="clear" w:color="auto" w:fill="auto"/>
          </w:tcPr>
          <w:p w:rsidR="00525604" w:rsidRPr="00A9558A" w:rsidRDefault="00525604" w:rsidP="00853209">
            <w:pPr>
              <w:jc w:val="center"/>
              <w:rPr>
                <w:rFonts w:cs="Arial"/>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 xml:space="preserve">Porcentaje de participantes en las actividades de la OMPI de fortalecimiento de las capacidades que manifiestan haber mejorado su capacidad de entender y aplicar los principios, sistemas e instrumentos de P.I. o de protección de los CC.TT. y las ECT, así como la gestión de las relaciones entre la P.I. y los RR.GG. </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Este indicador de rendimiento se utiliza por primera vez en este programa.</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75%</w:t>
            </w:r>
          </w:p>
        </w:tc>
        <w:tc>
          <w:tcPr>
            <w:tcW w:w="2977" w:type="dxa"/>
            <w:gridSpan w:val="3"/>
            <w:shd w:val="clear" w:color="auto" w:fill="FFFFFF"/>
            <w:tcMar>
              <w:top w:w="110" w:type="dxa"/>
            </w:tcMar>
          </w:tcPr>
          <w:p w:rsidR="00525604" w:rsidRPr="00A9558A" w:rsidRDefault="00525604" w:rsidP="00853209">
            <w:pPr>
              <w:jc w:val="center"/>
              <w:rPr>
                <w:rFonts w:cs="Arial"/>
                <w:sz w:val="16"/>
                <w:szCs w:val="16"/>
                <w:lang w:val="es-ES_tradnl"/>
              </w:rPr>
            </w:pPr>
            <w:r w:rsidRPr="00A9558A">
              <w:rPr>
                <w:sz w:val="16"/>
                <w:szCs w:val="16"/>
                <w:lang w:val="es-ES_tradnl"/>
              </w:rPr>
              <w:t>95% (cuestionario de evaluación utilizado en relación con las cinco actividades organizadas por la División de Conocimientos Tradicionales).</w:t>
            </w:r>
          </w:p>
        </w:tc>
        <w:tc>
          <w:tcPr>
            <w:tcW w:w="1135" w:type="dxa"/>
            <w:shd w:val="clear" w:color="auto" w:fill="auto"/>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Porcentaje de funcionarios de observancia que recibieron formación y que están satisfechos con la formación recibida y su utilidad en la vida profesional.</w:t>
            </w:r>
          </w:p>
        </w:tc>
        <w:tc>
          <w:tcPr>
            <w:tcW w:w="1995"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No se dispone de datos actualizados.</w:t>
            </w:r>
          </w:p>
        </w:tc>
        <w:tc>
          <w:tcPr>
            <w:tcW w:w="136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75%</w:t>
            </w:r>
          </w:p>
        </w:tc>
        <w:tc>
          <w:tcPr>
            <w:tcW w:w="2977" w:type="dxa"/>
            <w:gridSpan w:val="3"/>
            <w:shd w:val="clear" w:color="auto" w:fill="FFFFFF"/>
            <w:tcMar>
              <w:top w:w="110" w:type="dxa"/>
            </w:tcMar>
          </w:tcPr>
          <w:p w:rsidR="00525604" w:rsidRPr="00A9558A" w:rsidRDefault="00525604" w:rsidP="00AA6702">
            <w:pPr>
              <w:rPr>
                <w:rFonts w:cs="Arial"/>
                <w:sz w:val="16"/>
                <w:szCs w:val="16"/>
                <w:lang w:val="es-ES_tradnl"/>
              </w:rPr>
            </w:pPr>
            <w:r w:rsidRPr="00A9558A">
              <w:rPr>
                <w:sz w:val="16"/>
                <w:szCs w:val="16"/>
                <w:lang w:val="es-ES_tradnl"/>
              </w:rPr>
              <w:t>La tasa media de satisfacción expresada por los participantes en las actividades de fortalecimiento de capacidades por lo que respecta a los temas, al interés de los participantes en las cuestiones tratadas y la calidad de las presentaciones fue superior al</w:t>
            </w:r>
            <w:r w:rsidR="00AA6702" w:rsidRPr="00A9558A">
              <w:rPr>
                <w:sz w:val="16"/>
                <w:szCs w:val="16"/>
                <w:lang w:val="es-ES_tradnl"/>
              </w:rPr>
              <w:t> </w:t>
            </w:r>
            <w:r w:rsidRPr="00A9558A">
              <w:rPr>
                <w:sz w:val="16"/>
                <w:szCs w:val="16"/>
                <w:lang w:val="es-ES_tradnl"/>
              </w:rPr>
              <w:t>85%.  Programa 17:</w:t>
            </w:r>
          </w:p>
        </w:tc>
        <w:tc>
          <w:tcPr>
            <w:tcW w:w="1135" w:type="dxa"/>
            <w:shd w:val="clear" w:color="auto" w:fill="auto"/>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881"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Porcentaje de participantes satisfechos con la calidad de los talleres y seminarios sobre la innovación y su comercialización.</w:t>
            </w:r>
          </w:p>
        </w:tc>
        <w:tc>
          <w:tcPr>
            <w:tcW w:w="1995"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Se dispone de información general, pero no de datos específicos.</w:t>
            </w:r>
          </w:p>
        </w:tc>
        <w:tc>
          <w:tcPr>
            <w:tcW w:w="1369" w:type="dxa"/>
            <w:gridSpan w:val="2"/>
            <w:tcBorders>
              <w:bottom w:val="single" w:sz="4" w:space="0" w:color="auto"/>
            </w:tcBorders>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90%</w:t>
            </w:r>
          </w:p>
        </w:tc>
        <w:tc>
          <w:tcPr>
            <w:tcW w:w="2977" w:type="dxa"/>
            <w:gridSpan w:val="3"/>
            <w:tcBorders>
              <w:bottom w:val="single" w:sz="4" w:space="0" w:color="auto"/>
            </w:tcBorders>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Según las evaluaciones de 2013 sobre otras cuatro actividades de formación (utilizando una encuesta de reciente creación), el 100% de los participantes estaba satisfecho con la calidad de los talleres (el 93,8% los consideraba de calidad muy alta o alta) y el 100% de los participantes consideraba que la calidad de las presentaciones y los oradores era muy alta o alta.</w:t>
            </w:r>
          </w:p>
          <w:p w:rsidR="00525604" w:rsidRPr="00A9558A" w:rsidRDefault="00525604" w:rsidP="00853209">
            <w:pPr>
              <w:rPr>
                <w:rFonts w:cs="Arial"/>
                <w:sz w:val="16"/>
                <w:szCs w:val="16"/>
                <w:lang w:val="es-ES_tradnl"/>
              </w:rPr>
            </w:pPr>
          </w:p>
        </w:tc>
        <w:tc>
          <w:tcPr>
            <w:tcW w:w="1135" w:type="dxa"/>
            <w:tcBorders>
              <w:bottom w:val="single" w:sz="4" w:space="0" w:color="auto"/>
            </w:tcBorders>
            <w:shd w:val="clear" w:color="auto" w:fill="auto"/>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08D"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A9558A">
            <w:pPr>
              <w:spacing w:before="60" w:after="60"/>
              <w:ind w:left="1701" w:hanging="1701"/>
              <w:rPr>
                <w:rFonts w:cs="Arial"/>
                <w:b/>
                <w:bCs/>
                <w:sz w:val="16"/>
                <w:szCs w:val="16"/>
                <w:lang w:val="es-ES_tradnl"/>
              </w:rPr>
            </w:pPr>
            <w:r w:rsidRPr="00A9558A">
              <w:rPr>
                <w:b/>
                <w:sz w:val="16"/>
                <w:szCs w:val="16"/>
                <w:lang w:val="es-ES_tradnl"/>
              </w:rPr>
              <w:t>Resultado previsto:</w:t>
            </w:r>
            <w:r w:rsidRPr="00A9558A">
              <w:rPr>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525604" w:rsidRPr="00A9558A" w:rsidTr="00C13FC7">
        <w:tc>
          <w:tcPr>
            <w:tcW w:w="1881" w:type="dxa"/>
            <w:gridSpan w:val="2"/>
            <w:tcBorders>
              <w:top w:val="single" w:sz="4" w:space="0" w:color="auto"/>
            </w:tcBorders>
            <w:shd w:val="clear" w:color="auto" w:fill="auto"/>
            <w:vAlign w:val="center"/>
          </w:tcPr>
          <w:p w:rsidR="00525604" w:rsidRPr="00A9558A" w:rsidRDefault="00525604" w:rsidP="00A9558A">
            <w:pPr>
              <w:rPr>
                <w:rFonts w:cs="Arial"/>
                <w:color w:val="808080"/>
                <w:sz w:val="16"/>
                <w:szCs w:val="16"/>
                <w:lang w:val="es-ES_tradnl"/>
              </w:rPr>
            </w:pPr>
            <w:r w:rsidRPr="00A9558A">
              <w:rPr>
                <w:b/>
                <w:sz w:val="16"/>
                <w:szCs w:val="16"/>
                <w:lang w:val="es-ES_tradnl"/>
              </w:rPr>
              <w:t>Indicadores de rendimiento</w:t>
            </w:r>
          </w:p>
        </w:tc>
        <w:tc>
          <w:tcPr>
            <w:tcW w:w="1995" w:type="dxa"/>
            <w:gridSpan w:val="2"/>
            <w:tcBorders>
              <w:top w:val="single" w:sz="4" w:space="0" w:color="auto"/>
            </w:tcBorders>
            <w:shd w:val="clear" w:color="auto" w:fill="auto"/>
            <w:vAlign w:val="center"/>
          </w:tcPr>
          <w:p w:rsidR="00525604" w:rsidRPr="00A9558A" w:rsidRDefault="00525604" w:rsidP="00A9558A">
            <w:pPr>
              <w:rPr>
                <w:rFonts w:cs="Arial"/>
                <w:b/>
                <w:bCs/>
                <w:color w:val="808080"/>
                <w:sz w:val="16"/>
                <w:szCs w:val="16"/>
                <w:lang w:val="es-ES_tradnl"/>
              </w:rPr>
            </w:pPr>
            <w:r w:rsidRPr="00A9558A">
              <w:rPr>
                <w:b/>
                <w:sz w:val="16"/>
                <w:szCs w:val="16"/>
                <w:lang w:val="es-ES_tradnl"/>
              </w:rPr>
              <w:t>Referencia</w:t>
            </w:r>
          </w:p>
        </w:tc>
        <w:tc>
          <w:tcPr>
            <w:tcW w:w="1501" w:type="dxa"/>
            <w:gridSpan w:val="3"/>
            <w:tcBorders>
              <w:top w:val="single" w:sz="4" w:space="0" w:color="auto"/>
            </w:tcBorders>
            <w:shd w:val="clear" w:color="auto" w:fill="auto"/>
            <w:tcMar>
              <w:top w:w="110" w:type="dxa"/>
            </w:tcMar>
            <w:vAlign w:val="center"/>
          </w:tcPr>
          <w:p w:rsidR="00525604" w:rsidRPr="00A9558A" w:rsidRDefault="00525604" w:rsidP="00A9558A">
            <w:pPr>
              <w:rPr>
                <w:rFonts w:cs="Arial"/>
                <w:b/>
                <w:color w:val="808080"/>
                <w:sz w:val="16"/>
                <w:szCs w:val="16"/>
                <w:lang w:val="es-ES_tradnl"/>
              </w:rPr>
            </w:pPr>
            <w:r w:rsidRPr="00A9558A">
              <w:rPr>
                <w:b/>
                <w:sz w:val="16"/>
                <w:szCs w:val="16"/>
                <w:lang w:val="es-ES_tradnl"/>
              </w:rPr>
              <w:t>Objetivos</w:t>
            </w:r>
          </w:p>
        </w:tc>
        <w:tc>
          <w:tcPr>
            <w:tcW w:w="2845" w:type="dxa"/>
            <w:gridSpan w:val="2"/>
            <w:tcBorders>
              <w:top w:val="single" w:sz="4" w:space="0" w:color="auto"/>
            </w:tcBorders>
            <w:shd w:val="clear" w:color="auto" w:fill="FFFFFF"/>
            <w:tcMar>
              <w:top w:w="110" w:type="dxa"/>
            </w:tcMar>
            <w:vAlign w:val="center"/>
          </w:tcPr>
          <w:p w:rsidR="00525604" w:rsidRPr="00A9558A" w:rsidRDefault="00525604" w:rsidP="00A9558A">
            <w:pPr>
              <w:rPr>
                <w:rFonts w:cs="Arial"/>
                <w:color w:val="808080"/>
                <w:sz w:val="16"/>
                <w:szCs w:val="16"/>
                <w:lang w:val="es-ES_tradnl"/>
              </w:rPr>
            </w:pPr>
            <w:r w:rsidRPr="00A9558A">
              <w:rPr>
                <w:b/>
                <w:sz w:val="16"/>
                <w:szCs w:val="16"/>
                <w:lang w:val="es-ES_tradnl"/>
              </w:rPr>
              <w:t>Datos sobre el rendimiento</w:t>
            </w:r>
          </w:p>
        </w:tc>
        <w:tc>
          <w:tcPr>
            <w:tcW w:w="1135" w:type="dxa"/>
            <w:tcBorders>
              <w:top w:val="single" w:sz="4" w:space="0" w:color="auto"/>
            </w:tcBorders>
            <w:shd w:val="clear" w:color="auto" w:fill="auto"/>
            <w:tcMar>
              <w:top w:w="110" w:type="dxa"/>
            </w:tcMar>
            <w:vAlign w:val="center"/>
          </w:tcPr>
          <w:p w:rsidR="00525604" w:rsidRPr="00A9558A" w:rsidRDefault="00525604" w:rsidP="00A9558A">
            <w:pPr>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881" w:type="dxa"/>
            <w:gridSpan w:val="2"/>
            <w:shd w:val="clear" w:color="auto" w:fill="FFFFFF"/>
          </w:tcPr>
          <w:p w:rsidR="00525604" w:rsidRPr="00A9558A" w:rsidRDefault="00525604" w:rsidP="00A9558A">
            <w:pPr>
              <w:rPr>
                <w:rFonts w:cs="Arial"/>
                <w:sz w:val="16"/>
                <w:szCs w:val="16"/>
                <w:lang w:val="es-ES_tradnl"/>
              </w:rPr>
            </w:pPr>
            <w:r w:rsidRPr="00A9558A">
              <w:rPr>
                <w:sz w:val="16"/>
                <w:szCs w:val="16"/>
                <w:lang w:val="es-ES_tradnl"/>
              </w:rPr>
              <w:t>Número de redes nacionales de CATI puestas en marcha.</w:t>
            </w:r>
          </w:p>
        </w:tc>
        <w:tc>
          <w:tcPr>
            <w:tcW w:w="1995" w:type="dxa"/>
            <w:gridSpan w:val="2"/>
            <w:shd w:val="clear" w:color="auto" w:fill="auto"/>
          </w:tcPr>
          <w:p w:rsidR="00525604" w:rsidRPr="00A9558A" w:rsidRDefault="00525604" w:rsidP="00A9558A">
            <w:pPr>
              <w:rPr>
                <w:rFonts w:cs="Arial"/>
                <w:color w:val="002060"/>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18 redes de CATI</w:t>
            </w:r>
            <w:r w:rsidRPr="00A9558A">
              <w:rPr>
                <w:rStyle w:val="FootnoteReference"/>
                <w:color w:val="002060"/>
                <w:sz w:val="16"/>
                <w:szCs w:val="16"/>
                <w:lang w:val="es-ES_tradnl"/>
              </w:rPr>
              <w:footnoteReference w:id="20"/>
            </w:r>
            <w:r w:rsidRPr="00A9558A">
              <w:rPr>
                <w:color w:val="002060"/>
                <w:sz w:val="16"/>
                <w:szCs w:val="16"/>
                <w:lang w:val="es-ES_tradnl"/>
              </w:rPr>
              <w:t xml:space="preserve"> África (7), </w:t>
            </w:r>
          </w:p>
          <w:p w:rsidR="00525604" w:rsidRPr="00A9558A" w:rsidRDefault="00525604" w:rsidP="00A9558A">
            <w:pPr>
              <w:rPr>
                <w:rFonts w:cs="Arial"/>
                <w:color w:val="002060"/>
                <w:sz w:val="16"/>
                <w:szCs w:val="16"/>
                <w:lang w:val="es-ES_tradnl"/>
              </w:rPr>
            </w:pPr>
            <w:r w:rsidRPr="00A9558A">
              <w:rPr>
                <w:color w:val="002060"/>
                <w:sz w:val="16"/>
                <w:szCs w:val="16"/>
                <w:lang w:val="es-ES_tradnl"/>
              </w:rPr>
              <w:t>región de los países árabes (4),</w:t>
            </w:r>
          </w:p>
          <w:p w:rsidR="00525604" w:rsidRPr="00A9558A" w:rsidRDefault="00525604" w:rsidP="00A9558A">
            <w:pPr>
              <w:rPr>
                <w:rFonts w:cs="Arial"/>
                <w:color w:val="002060"/>
                <w:sz w:val="16"/>
                <w:szCs w:val="16"/>
                <w:lang w:val="es-ES_tradnl"/>
              </w:rPr>
            </w:pPr>
            <w:r w:rsidRPr="00A9558A">
              <w:rPr>
                <w:color w:val="002060"/>
                <w:sz w:val="16"/>
                <w:szCs w:val="16"/>
                <w:lang w:val="es-ES_tradnl"/>
              </w:rPr>
              <w:t xml:space="preserve">Asia y el Pacífico (2), América Latina y el </w:t>
            </w:r>
            <w:r w:rsidRPr="00A9558A">
              <w:rPr>
                <w:color w:val="002060"/>
                <w:sz w:val="16"/>
                <w:szCs w:val="16"/>
                <w:lang w:val="es-ES_tradnl"/>
              </w:rPr>
              <w:lastRenderedPageBreak/>
              <w:t>Caribe (5)</w:t>
            </w:r>
          </w:p>
          <w:p w:rsidR="00525604" w:rsidRPr="00A9558A" w:rsidRDefault="00525604" w:rsidP="00A9558A">
            <w:pPr>
              <w:rPr>
                <w:rFonts w:cs="Arial"/>
                <w:i/>
                <w:sz w:val="16"/>
                <w:szCs w:val="16"/>
                <w:lang w:val="es-ES_tradnl"/>
              </w:rPr>
            </w:pPr>
          </w:p>
          <w:p w:rsidR="00525604" w:rsidRPr="00A9558A" w:rsidRDefault="00525604" w:rsidP="00A9558A">
            <w:pPr>
              <w:rPr>
                <w:rFonts w:cs="Arial"/>
                <w:sz w:val="16"/>
                <w:szCs w:val="16"/>
                <w:lang w:val="es-ES_tradnl"/>
              </w:rPr>
            </w:pPr>
            <w:r w:rsidRPr="00A9558A">
              <w:rPr>
                <w:i/>
                <w:sz w:val="16"/>
                <w:szCs w:val="16"/>
                <w:lang w:val="es-ES_tradnl"/>
              </w:rPr>
              <w:t>Referencia original Presup. por prog. 2012/13:</w:t>
            </w:r>
          </w:p>
          <w:p w:rsidR="00525604" w:rsidRPr="00A9558A" w:rsidRDefault="00525604" w:rsidP="00A9558A">
            <w:pPr>
              <w:rPr>
                <w:rFonts w:cs="Arial"/>
                <w:sz w:val="16"/>
                <w:szCs w:val="16"/>
                <w:lang w:val="es-ES_tradnl"/>
              </w:rPr>
            </w:pPr>
            <w:r w:rsidRPr="00A9558A">
              <w:rPr>
                <w:sz w:val="16"/>
                <w:szCs w:val="16"/>
                <w:lang w:val="es-ES_tradnl"/>
              </w:rPr>
              <w:t xml:space="preserve">Puesta en marcha de nueve redes nacionales de CATI (primer trimestre 2011): África (3); </w:t>
            </w:r>
            <w:r w:rsidR="003F0C33" w:rsidRPr="00A9558A">
              <w:rPr>
                <w:sz w:val="16"/>
                <w:szCs w:val="16"/>
                <w:lang w:val="es-ES_tradnl"/>
              </w:rPr>
              <w:t xml:space="preserve"> </w:t>
            </w:r>
            <w:r w:rsidRPr="00A9558A">
              <w:rPr>
                <w:sz w:val="16"/>
                <w:szCs w:val="16"/>
                <w:lang w:val="es-ES_tradnl"/>
              </w:rPr>
              <w:t>región de los países árabes (3);  Asia y el Pacífico (1);  América Latina y el Caribe (2).</w:t>
            </w:r>
          </w:p>
        </w:tc>
        <w:tc>
          <w:tcPr>
            <w:tcW w:w="1501" w:type="dxa"/>
            <w:gridSpan w:val="3"/>
            <w:shd w:val="clear" w:color="auto" w:fill="auto"/>
            <w:tcMar>
              <w:top w:w="110" w:type="dxa"/>
            </w:tcMar>
          </w:tcPr>
          <w:p w:rsidR="00525604" w:rsidRPr="00A9558A" w:rsidRDefault="00525604" w:rsidP="00A9558A">
            <w:pPr>
              <w:rPr>
                <w:rFonts w:cs="Arial"/>
                <w:sz w:val="16"/>
                <w:szCs w:val="16"/>
                <w:lang w:val="es-ES_tradnl"/>
              </w:rPr>
            </w:pPr>
            <w:r w:rsidRPr="00A9558A">
              <w:rPr>
                <w:sz w:val="16"/>
                <w:szCs w:val="16"/>
                <w:lang w:val="es-ES_tradnl"/>
              </w:rPr>
              <w:lastRenderedPageBreak/>
              <w:t>Puesta en marcha de 18 redes nacionales de CATI adicionales:  África (9), todas en PMA</w:t>
            </w:r>
            <w:r w:rsidR="003F0C33" w:rsidRPr="00A9558A">
              <w:rPr>
                <w:sz w:val="16"/>
                <w:szCs w:val="16"/>
                <w:lang w:val="es-ES_tradnl"/>
              </w:rPr>
              <w:t xml:space="preserve">;  </w:t>
            </w:r>
            <w:r w:rsidRPr="00A9558A">
              <w:rPr>
                <w:sz w:val="16"/>
                <w:szCs w:val="16"/>
                <w:lang w:val="es-ES_tradnl"/>
              </w:rPr>
              <w:t xml:space="preserve">región de los países </w:t>
            </w:r>
            <w:r w:rsidRPr="00A9558A">
              <w:rPr>
                <w:sz w:val="16"/>
                <w:szCs w:val="16"/>
                <w:lang w:val="es-ES_tradnl"/>
              </w:rPr>
              <w:lastRenderedPageBreak/>
              <w:t>árabes (2)</w:t>
            </w:r>
            <w:r w:rsidR="003F0C33" w:rsidRPr="00A9558A">
              <w:rPr>
                <w:sz w:val="16"/>
                <w:szCs w:val="16"/>
                <w:lang w:val="es-ES_tradnl"/>
              </w:rPr>
              <w:t xml:space="preserve">;  </w:t>
            </w:r>
            <w:r w:rsidRPr="00A9558A">
              <w:rPr>
                <w:sz w:val="16"/>
                <w:szCs w:val="16"/>
                <w:lang w:val="es-ES_tradnl"/>
              </w:rPr>
              <w:t>Asia y el Pacífico (3), todas en PMA</w:t>
            </w:r>
            <w:r w:rsidR="003F0C33" w:rsidRPr="00A9558A">
              <w:rPr>
                <w:sz w:val="16"/>
                <w:szCs w:val="16"/>
                <w:lang w:val="es-ES_tradnl"/>
              </w:rPr>
              <w:t xml:space="preserve">; </w:t>
            </w:r>
            <w:r w:rsidR="00267DA6" w:rsidRPr="00A9558A">
              <w:rPr>
                <w:sz w:val="16"/>
                <w:szCs w:val="16"/>
                <w:lang w:val="es-ES_tradnl"/>
              </w:rPr>
              <w:t xml:space="preserve"> </w:t>
            </w:r>
            <w:r w:rsidRPr="00A9558A">
              <w:rPr>
                <w:sz w:val="16"/>
                <w:szCs w:val="16"/>
                <w:lang w:val="es-ES_tradnl"/>
              </w:rPr>
              <w:t>América Latina y el Caribe (4)</w:t>
            </w:r>
          </w:p>
        </w:tc>
        <w:tc>
          <w:tcPr>
            <w:tcW w:w="2845" w:type="dxa"/>
            <w:gridSpan w:val="2"/>
            <w:shd w:val="clear" w:color="auto" w:fill="FFFFFF"/>
            <w:tcMar>
              <w:top w:w="110" w:type="dxa"/>
            </w:tcMar>
          </w:tcPr>
          <w:p w:rsidR="00525604" w:rsidRPr="00A9558A" w:rsidRDefault="00525604" w:rsidP="00A9558A">
            <w:pPr>
              <w:rPr>
                <w:rFonts w:cs="Arial"/>
                <w:sz w:val="16"/>
                <w:szCs w:val="16"/>
                <w:lang w:val="es-ES_tradnl"/>
              </w:rPr>
            </w:pPr>
            <w:r w:rsidRPr="00A9558A">
              <w:rPr>
                <w:sz w:val="16"/>
                <w:szCs w:val="16"/>
                <w:lang w:val="es-ES_tradnl"/>
              </w:rPr>
              <w:lastRenderedPageBreak/>
              <w:t xml:space="preserve">Puesta en marcha de 18 redes de CATI adicionales en 2012/13:  África (12), región de los países árabes (2), América Latina y el Caribe (4). </w:t>
            </w:r>
          </w:p>
          <w:p w:rsidR="00525604" w:rsidRPr="00A9558A" w:rsidRDefault="00525604" w:rsidP="00A9558A">
            <w:pPr>
              <w:rPr>
                <w:rFonts w:cs="Arial"/>
                <w:sz w:val="16"/>
                <w:szCs w:val="16"/>
                <w:lang w:val="es-ES_tradnl"/>
              </w:rPr>
            </w:pPr>
          </w:p>
          <w:p w:rsidR="00525604" w:rsidRPr="00A9558A" w:rsidRDefault="00525604" w:rsidP="00A9558A">
            <w:pPr>
              <w:rPr>
                <w:rFonts w:cs="Arial"/>
                <w:sz w:val="16"/>
                <w:szCs w:val="16"/>
                <w:lang w:val="es-ES_tradnl"/>
              </w:rPr>
            </w:pPr>
            <w:r w:rsidRPr="00A9558A">
              <w:rPr>
                <w:sz w:val="16"/>
                <w:szCs w:val="16"/>
                <w:lang w:val="es-ES_tradnl"/>
              </w:rPr>
              <w:t>36 redes de CATI establecidas:  África (19)</w:t>
            </w:r>
            <w:r w:rsidR="003F0C33" w:rsidRPr="00A9558A">
              <w:rPr>
                <w:sz w:val="16"/>
                <w:szCs w:val="16"/>
                <w:lang w:val="es-ES_tradnl"/>
              </w:rPr>
              <w:t>;</w:t>
            </w:r>
            <w:r w:rsidRPr="00A9558A">
              <w:rPr>
                <w:sz w:val="16"/>
                <w:szCs w:val="16"/>
                <w:lang w:val="es-ES_tradnl"/>
              </w:rPr>
              <w:t xml:space="preserve"> </w:t>
            </w:r>
            <w:r w:rsidR="003F0C33" w:rsidRPr="00A9558A">
              <w:rPr>
                <w:sz w:val="16"/>
                <w:szCs w:val="16"/>
                <w:lang w:val="es-ES_tradnl"/>
              </w:rPr>
              <w:t xml:space="preserve"> </w:t>
            </w:r>
            <w:r w:rsidRPr="00A9558A">
              <w:rPr>
                <w:sz w:val="16"/>
                <w:szCs w:val="16"/>
                <w:lang w:val="es-ES_tradnl"/>
              </w:rPr>
              <w:t>región de los países árabes (6)</w:t>
            </w:r>
            <w:r w:rsidR="003F0C33" w:rsidRPr="00A9558A">
              <w:rPr>
                <w:sz w:val="16"/>
                <w:szCs w:val="16"/>
                <w:lang w:val="es-ES_tradnl"/>
              </w:rPr>
              <w:t xml:space="preserve">; </w:t>
            </w:r>
            <w:r w:rsidRPr="00A9558A">
              <w:rPr>
                <w:sz w:val="16"/>
                <w:szCs w:val="16"/>
                <w:lang w:val="es-ES_tradnl"/>
              </w:rPr>
              <w:t xml:space="preserve"> Asia y el Pacífico (2)</w:t>
            </w:r>
            <w:r w:rsidR="003F0C33" w:rsidRPr="00A9558A">
              <w:rPr>
                <w:sz w:val="16"/>
                <w:szCs w:val="16"/>
                <w:lang w:val="es-ES_tradnl"/>
              </w:rPr>
              <w:t xml:space="preserve">; </w:t>
            </w:r>
            <w:r w:rsidRPr="00A9558A">
              <w:rPr>
                <w:sz w:val="16"/>
                <w:szCs w:val="16"/>
                <w:lang w:val="es-ES_tradnl"/>
              </w:rPr>
              <w:t xml:space="preserve"> </w:t>
            </w:r>
            <w:r w:rsidRPr="00A9558A">
              <w:rPr>
                <w:sz w:val="16"/>
                <w:szCs w:val="16"/>
                <w:lang w:val="es-ES_tradnl"/>
              </w:rPr>
              <w:lastRenderedPageBreak/>
              <w:t>América Latina y el Caribe (9) (en total).</w:t>
            </w:r>
          </w:p>
        </w:tc>
        <w:tc>
          <w:tcPr>
            <w:tcW w:w="1135" w:type="dxa"/>
            <w:shd w:val="clear" w:color="auto" w:fill="auto"/>
            <w:tcMar>
              <w:top w:w="110" w:type="dxa"/>
            </w:tcMar>
          </w:tcPr>
          <w:p w:rsidR="00525604" w:rsidRPr="00A9558A" w:rsidRDefault="00525604" w:rsidP="00A9558A">
            <w:pPr>
              <w:jc w:val="center"/>
              <w:rPr>
                <w:rFonts w:cs="Arial"/>
                <w:color w:val="008000"/>
                <w:sz w:val="16"/>
                <w:szCs w:val="16"/>
                <w:lang w:val="es-ES_tradnl"/>
              </w:rPr>
            </w:pPr>
            <w:r w:rsidRPr="00A9558A">
              <w:rPr>
                <w:color w:val="008000"/>
                <w:sz w:val="16"/>
                <w:szCs w:val="16"/>
                <w:lang w:val="es-ES_tradnl"/>
              </w:rPr>
              <w:lastRenderedPageBreak/>
              <w:t>Plenamente logrado</w:t>
            </w:r>
          </w:p>
        </w:tc>
      </w:tr>
      <w:tr w:rsidR="00525604" w:rsidRPr="00A9558A" w:rsidTr="00C13FC7">
        <w:tc>
          <w:tcPr>
            <w:tcW w:w="1881" w:type="dxa"/>
            <w:gridSpan w:val="2"/>
            <w:shd w:val="clear" w:color="auto" w:fill="FFFFFF"/>
          </w:tcPr>
          <w:p w:rsidR="00525604" w:rsidRPr="00A9558A" w:rsidRDefault="00525604" w:rsidP="00853209">
            <w:pPr>
              <w:rPr>
                <w:rFonts w:cs="Arial"/>
                <w:sz w:val="16"/>
                <w:szCs w:val="16"/>
                <w:lang w:val="es-ES_tradnl"/>
              </w:rPr>
            </w:pPr>
            <w:r w:rsidRPr="00A9558A">
              <w:rPr>
                <w:sz w:val="16"/>
                <w:szCs w:val="16"/>
                <w:lang w:val="es-ES_tradnl"/>
              </w:rPr>
              <w:lastRenderedPageBreak/>
              <w:t>Número de usuarios que utilizan los servicios de los CATI por trimestre y por país.</w:t>
            </w:r>
          </w:p>
        </w:tc>
        <w:tc>
          <w:tcPr>
            <w:tcW w:w="1995" w:type="dxa"/>
            <w:gridSpan w:val="2"/>
            <w:shd w:val="clear" w:color="auto" w:fill="auto"/>
          </w:tcPr>
          <w:p w:rsidR="00525604" w:rsidRPr="00A9558A" w:rsidRDefault="00525604" w:rsidP="00853209">
            <w:pPr>
              <w:rPr>
                <w:rFonts w:cs="Arial"/>
                <w:i/>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color w:val="002060"/>
                <w:sz w:val="16"/>
                <w:szCs w:val="16"/>
                <w:lang w:val="es-ES_tradnl"/>
              </w:rPr>
              <w:t xml:space="preserve">  Entre 200 y 630 usuarios diarios en promedio atendidos por los CATI.</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Referencia original Presup. por prog 2012/13:</w:t>
            </w:r>
            <w:r w:rsidRPr="00A9558A">
              <w:rPr>
                <w:sz w:val="16"/>
                <w:szCs w:val="16"/>
                <w:lang w:val="es-ES_tradnl"/>
              </w:rPr>
              <w:t xml:space="preserve"> </w:t>
            </w:r>
            <w:r w:rsidR="007E4D96" w:rsidRPr="00A9558A">
              <w:rPr>
                <w:sz w:val="16"/>
                <w:szCs w:val="16"/>
                <w:lang w:val="es-ES_tradnl"/>
              </w:rPr>
              <w:t xml:space="preserve"> </w:t>
            </w:r>
            <w:r w:rsidRPr="00A9558A">
              <w:rPr>
                <w:sz w:val="16"/>
                <w:szCs w:val="16"/>
                <w:lang w:val="es-ES_tradnl"/>
              </w:rPr>
              <w:t>por determinar a fines de 2011</w:t>
            </w:r>
          </w:p>
        </w:tc>
        <w:tc>
          <w:tcPr>
            <w:tcW w:w="1501" w:type="dxa"/>
            <w:gridSpan w:val="3"/>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Por determinar a fines de 2011.</w:t>
            </w:r>
          </w:p>
        </w:tc>
        <w:tc>
          <w:tcPr>
            <w:tcW w:w="2845" w:type="dxa"/>
            <w:gridSpan w:val="2"/>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Entre 532 y 1.370 usuarios diarios en promedio atendidos por los CATI durante 2013.</w:t>
            </w:r>
          </w:p>
        </w:tc>
        <w:tc>
          <w:tcPr>
            <w:tcW w:w="1135" w:type="dxa"/>
            <w:shd w:val="clear" w:color="auto" w:fill="auto"/>
            <w:tcMar>
              <w:top w:w="110" w:type="dxa"/>
            </w:tcMar>
          </w:tcPr>
          <w:p w:rsidR="00525604" w:rsidRPr="00A9558A" w:rsidRDefault="00525604" w:rsidP="00853209">
            <w:pPr>
              <w:keepNext/>
              <w:keepLines/>
              <w:jc w:val="center"/>
              <w:rPr>
                <w:rFonts w:cs="Arial"/>
                <w:bCs/>
                <w:color w:val="404040" w:themeColor="text1" w:themeTint="BF"/>
                <w:sz w:val="16"/>
                <w:szCs w:val="16"/>
                <w:lang w:val="es-ES_tradnl"/>
              </w:rPr>
            </w:pPr>
            <w:r w:rsidRPr="00A9558A">
              <w:rPr>
                <w:color w:val="404040" w:themeColor="text1" w:themeTint="BF"/>
                <w:sz w:val="16"/>
                <w:szCs w:val="16"/>
                <w:lang w:val="es-ES_tradnl"/>
              </w:rPr>
              <w:t>No mensurable</w:t>
            </w:r>
          </w:p>
        </w:tc>
      </w:tr>
      <w:tr w:rsidR="00525604" w:rsidRPr="00A9558A" w:rsidTr="00C13FC7">
        <w:tc>
          <w:tcPr>
            <w:tcW w:w="1881" w:type="dxa"/>
            <w:gridSpan w:val="2"/>
            <w:tcBorders>
              <w:bottom w:val="single" w:sz="4" w:space="0" w:color="auto"/>
            </w:tcBorders>
            <w:shd w:val="clear" w:color="auto" w:fill="FFFFFF"/>
          </w:tcPr>
          <w:p w:rsidR="00525604" w:rsidRPr="00A9558A" w:rsidRDefault="00525604" w:rsidP="00853209">
            <w:pPr>
              <w:rPr>
                <w:rFonts w:cs="Arial"/>
                <w:sz w:val="16"/>
                <w:szCs w:val="16"/>
                <w:lang w:val="es-ES_tradnl"/>
              </w:rPr>
            </w:pPr>
            <w:r w:rsidRPr="00A9558A">
              <w:rPr>
                <w:sz w:val="16"/>
                <w:szCs w:val="16"/>
                <w:lang w:val="es-ES_tradnl"/>
              </w:rPr>
              <w:t xml:space="preserve">Número de Estados miembros que han desarrollado su marco de P.I. y establecido oficinas universitarias de transferencia de tecnología (OTT). </w:t>
            </w:r>
          </w:p>
        </w:tc>
        <w:tc>
          <w:tcPr>
            <w:tcW w:w="1995"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Se ha adoptado el proyecto piloto de marco de P.I. y se ha asignado la financiación correspondiente.</w:t>
            </w:r>
          </w:p>
        </w:tc>
        <w:tc>
          <w:tcPr>
            <w:tcW w:w="1501" w:type="dxa"/>
            <w:gridSpan w:val="3"/>
            <w:tcBorders>
              <w:bottom w:val="single" w:sz="4" w:space="0" w:color="auto"/>
            </w:tcBorders>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Metas regionales por determinar</w:t>
            </w:r>
          </w:p>
        </w:tc>
        <w:tc>
          <w:tcPr>
            <w:tcW w:w="2845" w:type="dxa"/>
            <w:gridSpan w:val="2"/>
            <w:tcBorders>
              <w:bottom w:val="single" w:sz="4" w:space="0" w:color="auto"/>
            </w:tcBorders>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Las siguientes universidades o instituciones recibieron ayuda directa para el desarrollo de su ecosistema de transferencia de conocimientos, política e infraestructura:  i) cinco en Chile:  Instituto de Investigaciones Agropecuarias (INIA); </w:t>
            </w:r>
            <w:r w:rsidR="00267DA6" w:rsidRPr="00A9558A">
              <w:rPr>
                <w:sz w:val="16"/>
                <w:szCs w:val="16"/>
                <w:lang w:val="es-ES_tradnl"/>
              </w:rPr>
              <w:t xml:space="preserve"> </w:t>
            </w:r>
            <w:r w:rsidRPr="00A9558A">
              <w:rPr>
                <w:sz w:val="16"/>
                <w:szCs w:val="16"/>
                <w:lang w:val="es-ES_tradnl"/>
              </w:rPr>
              <w:t xml:space="preserve">Pontificia Universidad Católica de Chile (Santiago); </w:t>
            </w:r>
            <w:r w:rsidR="00267DA6" w:rsidRPr="00A9558A">
              <w:rPr>
                <w:sz w:val="16"/>
                <w:szCs w:val="16"/>
                <w:lang w:val="es-ES_tradnl"/>
              </w:rPr>
              <w:t xml:space="preserve"> </w:t>
            </w:r>
            <w:r w:rsidRPr="00A9558A">
              <w:rPr>
                <w:sz w:val="16"/>
                <w:szCs w:val="16"/>
                <w:lang w:val="es-ES_tradnl"/>
              </w:rPr>
              <w:t xml:space="preserve">Universidad de Concepción; </w:t>
            </w:r>
            <w:r w:rsidR="00267DA6" w:rsidRPr="00A9558A">
              <w:rPr>
                <w:sz w:val="16"/>
                <w:szCs w:val="16"/>
                <w:lang w:val="es-ES_tradnl"/>
              </w:rPr>
              <w:t xml:space="preserve"> </w:t>
            </w:r>
            <w:r w:rsidRPr="00A9558A">
              <w:rPr>
                <w:sz w:val="16"/>
                <w:szCs w:val="16"/>
                <w:lang w:val="es-ES_tradnl"/>
              </w:rPr>
              <w:t xml:space="preserve">Pontificia Universidad Católica de Valparaíso y Universidad de La Frontera;  ii) cinco en la CESPAO;  iii) seis en Marruecos;  iv) cinco en </w:t>
            </w:r>
            <w:r w:rsidR="00640EF0" w:rsidRPr="00A9558A">
              <w:rPr>
                <w:sz w:val="16"/>
                <w:szCs w:val="16"/>
                <w:lang w:val="es-ES_tradnl"/>
              </w:rPr>
              <w:t>Filipinas</w:t>
            </w:r>
            <w:r w:rsidRPr="00A9558A">
              <w:rPr>
                <w:sz w:val="16"/>
                <w:szCs w:val="16"/>
                <w:lang w:val="es-ES_tradnl"/>
              </w:rPr>
              <w:t>;  y v) una en Ghana.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Además, se completó una evaluación de las necesidades para la puesta en marcha de un proyecto de OTT en Túnez, tomando en consideración las necesidades en materia de tecnología de las instituciones siguientes:  Instituto Pasteur, Universidad de Monastir, Centro de Biotecnología de Sfax, Centro Nacional del Cuero y Calzado y el parque tecnológico de El Ghazala.  También se adoptó un plan de acción para Túnez.</w:t>
            </w:r>
          </w:p>
          <w:p w:rsidR="00525604" w:rsidRPr="00A9558A" w:rsidRDefault="00525604" w:rsidP="00853209">
            <w:pPr>
              <w:rPr>
                <w:rFonts w:cs="Arial"/>
                <w:sz w:val="16"/>
                <w:szCs w:val="16"/>
                <w:lang w:val="es-ES_tradnl"/>
              </w:rPr>
            </w:pPr>
          </w:p>
        </w:tc>
        <w:tc>
          <w:tcPr>
            <w:tcW w:w="1135" w:type="dxa"/>
            <w:tcBorders>
              <w:bottom w:val="single" w:sz="4" w:space="0" w:color="auto"/>
            </w:tcBorders>
            <w:shd w:val="clear" w:color="auto" w:fill="auto"/>
            <w:tcMar>
              <w:top w:w="110" w:type="dxa"/>
            </w:tcMar>
          </w:tcPr>
          <w:p w:rsidR="00525604" w:rsidRPr="00A9558A" w:rsidRDefault="00525604" w:rsidP="00853209">
            <w:pPr>
              <w:keepNext/>
              <w:keepLines/>
              <w:jc w:val="center"/>
              <w:rPr>
                <w:rFonts w:cs="Arial"/>
                <w:bCs/>
                <w:color w:val="404040" w:themeColor="text1" w:themeTint="BF"/>
                <w:sz w:val="16"/>
                <w:szCs w:val="16"/>
                <w:lang w:val="es-ES_tradnl"/>
              </w:rPr>
            </w:pPr>
            <w:r w:rsidRPr="00A9558A">
              <w:rPr>
                <w:color w:val="404040" w:themeColor="text1" w:themeTint="BF"/>
                <w:sz w:val="16"/>
                <w:szCs w:val="16"/>
                <w:lang w:val="es-ES_tradnl"/>
              </w:rPr>
              <w:t>No mensurable</w:t>
            </w:r>
          </w:p>
        </w:tc>
      </w:tr>
      <w:tr w:rsidR="00525604" w:rsidRPr="00A9508D" w:rsidTr="00C13FC7">
        <w:trPr>
          <w:trHeight w:val="559"/>
        </w:trPr>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A9558A">
            <w:pPr>
              <w:keepNext/>
              <w:keepLines/>
              <w:spacing w:before="60" w:after="60"/>
              <w:ind w:left="1701" w:hanging="1701"/>
              <w:rPr>
                <w:rFonts w:cs="Arial"/>
                <w:b/>
                <w:bCs/>
                <w:sz w:val="16"/>
                <w:szCs w:val="16"/>
                <w:lang w:val="es-ES_tradnl"/>
              </w:rPr>
            </w:pPr>
            <w:r w:rsidRPr="00A9558A">
              <w:rPr>
                <w:b/>
                <w:sz w:val="16"/>
                <w:szCs w:val="16"/>
                <w:lang w:val="es-ES_tradnl"/>
              </w:rPr>
              <w:t>Resultado previsto:</w:t>
            </w:r>
            <w:r w:rsidRPr="00A9558A">
              <w:rPr>
                <w:sz w:val="16"/>
                <w:szCs w:val="16"/>
                <w:lang w:val="es-ES_tradnl"/>
              </w:rPr>
              <w:tab/>
              <w:t>Mejora en la infraestructura técnica y de conocimientos de las oficinas y demás instituciones de P.I. que les permite prestar mejores servicios (más económicos, más rápidos y de mejor calidad) a sus usuarios.</w:t>
            </w:r>
          </w:p>
        </w:tc>
      </w:tr>
      <w:tr w:rsidR="00525604" w:rsidRPr="00A9558A" w:rsidTr="00C13FC7">
        <w:tc>
          <w:tcPr>
            <w:tcW w:w="1701" w:type="dxa"/>
            <w:tcBorders>
              <w:top w:val="single" w:sz="4" w:space="0" w:color="auto"/>
            </w:tcBorders>
            <w:shd w:val="clear" w:color="auto" w:fill="auto"/>
            <w:vAlign w:val="center"/>
          </w:tcPr>
          <w:p w:rsidR="00525604" w:rsidRPr="00A9558A" w:rsidRDefault="00525604" w:rsidP="00853209">
            <w:pPr>
              <w:keepNext/>
              <w:keepLines/>
              <w:rPr>
                <w:rFonts w:cs="Arial"/>
                <w:color w:val="808080"/>
                <w:sz w:val="16"/>
                <w:szCs w:val="16"/>
                <w:lang w:val="es-ES_tradnl"/>
              </w:rPr>
            </w:pPr>
            <w:r w:rsidRPr="00A9558A">
              <w:rPr>
                <w:b/>
                <w:sz w:val="16"/>
                <w:szCs w:val="16"/>
                <w:lang w:val="es-ES_tradnl"/>
              </w:rPr>
              <w:t>Indicadores de rendimiento</w:t>
            </w:r>
          </w:p>
        </w:tc>
        <w:tc>
          <w:tcPr>
            <w:tcW w:w="1843" w:type="dxa"/>
            <w:gridSpan w:val="2"/>
            <w:tcBorders>
              <w:top w:val="single" w:sz="4" w:space="0" w:color="auto"/>
            </w:tcBorders>
            <w:shd w:val="clear" w:color="auto" w:fill="auto"/>
            <w:vAlign w:val="center"/>
          </w:tcPr>
          <w:p w:rsidR="00525604" w:rsidRPr="00A9558A" w:rsidRDefault="00525604" w:rsidP="00853209">
            <w:pPr>
              <w:keepNext/>
              <w:keepLines/>
              <w:rPr>
                <w:rFonts w:cs="Arial"/>
                <w:b/>
                <w:bCs/>
                <w:color w:val="808080"/>
                <w:sz w:val="16"/>
                <w:szCs w:val="16"/>
                <w:lang w:val="es-ES_tradnl"/>
              </w:rPr>
            </w:pPr>
            <w:r w:rsidRPr="00A9558A">
              <w:rPr>
                <w:b/>
                <w:sz w:val="16"/>
                <w:szCs w:val="16"/>
                <w:lang w:val="es-ES_tradnl"/>
              </w:rPr>
              <w:t>Referencia</w:t>
            </w:r>
          </w:p>
        </w:tc>
        <w:tc>
          <w:tcPr>
            <w:tcW w:w="1559" w:type="dxa"/>
            <w:gridSpan w:val="2"/>
            <w:tcBorders>
              <w:top w:val="single" w:sz="4" w:space="0" w:color="auto"/>
            </w:tcBorders>
            <w:shd w:val="clear" w:color="auto" w:fill="auto"/>
            <w:tcMar>
              <w:top w:w="110" w:type="dxa"/>
            </w:tcMar>
            <w:vAlign w:val="center"/>
          </w:tcPr>
          <w:p w:rsidR="00525604" w:rsidRPr="00A9558A" w:rsidRDefault="00525604" w:rsidP="00853209">
            <w:pPr>
              <w:keepNext/>
              <w:keepLines/>
              <w:rPr>
                <w:rFonts w:cs="Arial"/>
                <w:b/>
                <w:color w:val="808080"/>
                <w:sz w:val="16"/>
                <w:szCs w:val="16"/>
                <w:lang w:val="es-ES_tradnl"/>
              </w:rPr>
            </w:pPr>
            <w:r w:rsidRPr="00A9558A">
              <w:rPr>
                <w:b/>
                <w:sz w:val="16"/>
                <w:szCs w:val="16"/>
                <w:lang w:val="es-ES_tradnl"/>
              </w:rPr>
              <w:t>Objetivos</w:t>
            </w:r>
          </w:p>
        </w:tc>
        <w:tc>
          <w:tcPr>
            <w:tcW w:w="3119" w:type="dxa"/>
            <w:gridSpan w:val="4"/>
            <w:tcBorders>
              <w:top w:val="single" w:sz="4" w:space="0" w:color="auto"/>
            </w:tcBorders>
            <w:shd w:val="clear" w:color="auto" w:fill="FFFFFF"/>
            <w:tcMar>
              <w:top w:w="110" w:type="dxa"/>
            </w:tcMar>
            <w:vAlign w:val="center"/>
          </w:tcPr>
          <w:p w:rsidR="00525604" w:rsidRPr="00A9558A" w:rsidRDefault="00525604" w:rsidP="00853209">
            <w:pPr>
              <w:keepNext/>
              <w:keepLines/>
              <w:rPr>
                <w:rFonts w:cs="Arial"/>
                <w:color w:val="808080"/>
                <w:sz w:val="16"/>
                <w:szCs w:val="16"/>
                <w:lang w:val="es-ES_tradnl"/>
              </w:rPr>
            </w:pPr>
            <w:r w:rsidRPr="00A9558A">
              <w:rPr>
                <w:b/>
                <w:sz w:val="16"/>
                <w:szCs w:val="16"/>
                <w:lang w:val="es-ES_tradnl"/>
              </w:rPr>
              <w:t>Datos sobre el rendimiento</w:t>
            </w:r>
          </w:p>
        </w:tc>
        <w:tc>
          <w:tcPr>
            <w:tcW w:w="1135" w:type="dxa"/>
            <w:tcBorders>
              <w:top w:val="single" w:sz="4" w:space="0" w:color="auto"/>
            </w:tcBorders>
            <w:shd w:val="clear" w:color="auto" w:fill="auto"/>
            <w:tcMar>
              <w:top w:w="110" w:type="dxa"/>
            </w:tcMar>
            <w:vAlign w:val="center"/>
          </w:tcPr>
          <w:p w:rsidR="00525604" w:rsidRPr="00A9558A" w:rsidRDefault="00525604" w:rsidP="00853209">
            <w:pPr>
              <w:keepNext/>
              <w:keepLines/>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 xml:space="preserve">Número de oficinas que disponen de sistemas de administración de P.I. totalmente automatizados proporcionados por la OMPI, en comparación con las que disponen de sistemas automatizados parcialmente. </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África (14);</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región de los países árabes (13);</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Asia y el Pacífico (7);  América Latina y el Caribe (12)</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África (4 adicionales)</w:t>
            </w:r>
          </w:p>
          <w:p w:rsidR="00525604" w:rsidRPr="00A9558A" w:rsidRDefault="00525604" w:rsidP="00853209">
            <w:pPr>
              <w:rPr>
                <w:rFonts w:cs="Arial"/>
                <w:sz w:val="16"/>
                <w:szCs w:val="16"/>
                <w:lang w:val="es-ES_tradnl"/>
              </w:rPr>
            </w:pPr>
            <w:r w:rsidRPr="00A9558A">
              <w:rPr>
                <w:sz w:val="16"/>
                <w:szCs w:val="16"/>
                <w:lang w:val="es-ES_tradnl"/>
              </w:rPr>
              <w:t>región de los países árabes (4 adicionales)</w:t>
            </w:r>
          </w:p>
          <w:p w:rsidR="00525604" w:rsidRPr="00A9558A" w:rsidRDefault="00525604" w:rsidP="00853209">
            <w:pPr>
              <w:rPr>
                <w:rFonts w:cs="Arial"/>
                <w:sz w:val="16"/>
                <w:szCs w:val="16"/>
                <w:lang w:val="es-ES_tradnl"/>
              </w:rPr>
            </w:pPr>
            <w:r w:rsidRPr="00A9558A">
              <w:rPr>
                <w:sz w:val="16"/>
                <w:szCs w:val="16"/>
                <w:lang w:val="es-ES_tradnl"/>
              </w:rPr>
              <w:t>Asia y el Pacífico</w:t>
            </w:r>
          </w:p>
          <w:p w:rsidR="00525604" w:rsidRPr="00A9558A" w:rsidRDefault="00525604" w:rsidP="00853209">
            <w:pPr>
              <w:rPr>
                <w:rFonts w:cs="Arial"/>
                <w:sz w:val="16"/>
                <w:szCs w:val="16"/>
                <w:lang w:val="es-ES_tradnl"/>
              </w:rPr>
            </w:pPr>
            <w:r w:rsidRPr="00A9558A">
              <w:rPr>
                <w:sz w:val="16"/>
                <w:szCs w:val="16"/>
                <w:lang w:val="es-ES_tradnl"/>
              </w:rPr>
              <w:t>(4 adicionales)</w:t>
            </w:r>
          </w:p>
          <w:p w:rsidR="00525604" w:rsidRPr="00A9558A" w:rsidRDefault="00525604" w:rsidP="00853209">
            <w:pPr>
              <w:rPr>
                <w:rFonts w:cs="Arial"/>
                <w:sz w:val="16"/>
                <w:szCs w:val="16"/>
                <w:lang w:val="es-ES_tradnl"/>
              </w:rPr>
            </w:pPr>
            <w:r w:rsidRPr="00A9558A">
              <w:rPr>
                <w:sz w:val="16"/>
                <w:szCs w:val="16"/>
                <w:lang w:val="es-ES_tradnl"/>
              </w:rPr>
              <w:t>América Latina y</w:t>
            </w:r>
          </w:p>
          <w:p w:rsidR="00525604" w:rsidRPr="00A9558A" w:rsidRDefault="00525604" w:rsidP="00853209">
            <w:pPr>
              <w:rPr>
                <w:rFonts w:cs="Arial"/>
                <w:sz w:val="16"/>
                <w:szCs w:val="16"/>
                <w:lang w:val="es-ES_tradnl"/>
              </w:rPr>
            </w:pPr>
            <w:r w:rsidRPr="00A9558A">
              <w:rPr>
                <w:sz w:val="16"/>
                <w:szCs w:val="16"/>
                <w:lang w:val="es-ES_tradnl"/>
              </w:rPr>
              <w:t>el Caribe</w:t>
            </w:r>
          </w:p>
          <w:p w:rsidR="00525604" w:rsidRPr="00A9558A" w:rsidRDefault="00525604" w:rsidP="00853209">
            <w:pPr>
              <w:rPr>
                <w:rFonts w:cs="Arial"/>
                <w:sz w:val="16"/>
                <w:szCs w:val="16"/>
                <w:lang w:val="es-ES_tradnl"/>
              </w:rPr>
            </w:pPr>
            <w:r w:rsidRPr="00A9558A">
              <w:rPr>
                <w:sz w:val="16"/>
                <w:szCs w:val="16"/>
                <w:lang w:val="es-ES_tradnl"/>
              </w:rPr>
              <w:t>(7 adicionales)</w:t>
            </w:r>
          </w:p>
        </w:tc>
        <w:tc>
          <w:tcPr>
            <w:tcW w:w="3119" w:type="dxa"/>
            <w:gridSpan w:val="4"/>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Número de oficinas con sistemas totalmente automatizados a finales del bienio 2012/13:  38</w:t>
            </w:r>
          </w:p>
          <w:p w:rsidR="00525604" w:rsidRPr="00A9558A" w:rsidRDefault="00525604" w:rsidP="00525604">
            <w:pPr>
              <w:numPr>
                <w:ilvl w:val="0"/>
                <w:numId w:val="19"/>
              </w:numPr>
              <w:tabs>
                <w:tab w:val="clear" w:pos="794"/>
                <w:tab w:val="num" w:pos="572"/>
              </w:tabs>
              <w:spacing w:after="40"/>
              <w:ind w:left="193"/>
              <w:rPr>
                <w:rFonts w:cs="Arial"/>
                <w:sz w:val="16"/>
                <w:szCs w:val="16"/>
                <w:lang w:val="es-ES_tradnl"/>
              </w:rPr>
            </w:pPr>
            <w:r w:rsidRPr="00A9558A">
              <w:rPr>
                <w:sz w:val="16"/>
                <w:szCs w:val="16"/>
                <w:lang w:val="es-ES_tradnl"/>
              </w:rPr>
              <w:t>África (10) (Botswana, Kenya, Madagascar, Malawi, Mozambique, Namibia, Seychelles, la República Unida de Tanzanía, Zambia, Zimbabwe),</w:t>
            </w:r>
          </w:p>
          <w:p w:rsidR="00525604" w:rsidRPr="00A9558A" w:rsidRDefault="00525604" w:rsidP="00525604">
            <w:pPr>
              <w:numPr>
                <w:ilvl w:val="0"/>
                <w:numId w:val="19"/>
              </w:numPr>
              <w:tabs>
                <w:tab w:val="clear" w:pos="794"/>
                <w:tab w:val="num" w:pos="572"/>
              </w:tabs>
              <w:spacing w:after="80"/>
              <w:ind w:left="194"/>
              <w:rPr>
                <w:rFonts w:cs="Arial"/>
                <w:sz w:val="16"/>
                <w:szCs w:val="16"/>
                <w:lang w:val="es-ES_tradnl"/>
              </w:rPr>
            </w:pPr>
            <w:r w:rsidRPr="00A9558A">
              <w:rPr>
                <w:sz w:val="16"/>
                <w:szCs w:val="16"/>
                <w:lang w:val="es-ES_tradnl"/>
              </w:rPr>
              <w:t xml:space="preserve">región de los países árabes (10) (Argelia, Bahrein, Egipto, Estado de Palestina, Kuwait, Libia, Omán, Qatar, la República </w:t>
            </w:r>
            <w:r w:rsidR="00EF4041" w:rsidRPr="00A9558A">
              <w:rPr>
                <w:sz w:val="16"/>
                <w:szCs w:val="16"/>
                <w:lang w:val="es-ES_tradnl"/>
              </w:rPr>
              <w:t>Árabe Siria</w:t>
            </w:r>
            <w:r w:rsidRPr="00A9558A">
              <w:rPr>
                <w:sz w:val="16"/>
                <w:szCs w:val="16"/>
                <w:lang w:val="es-ES_tradnl"/>
              </w:rPr>
              <w:t>, Túnez),</w:t>
            </w:r>
          </w:p>
          <w:p w:rsidR="00525604" w:rsidRPr="00A9558A" w:rsidRDefault="00525604" w:rsidP="00525604">
            <w:pPr>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 xml:space="preserve">Asia y el Pacífico (9) (Bangladesh, Bhután, Brunei Darussalam, </w:t>
            </w:r>
            <w:r w:rsidR="00640EF0" w:rsidRPr="00A9558A">
              <w:rPr>
                <w:sz w:val="16"/>
                <w:szCs w:val="16"/>
                <w:lang w:val="es-ES_tradnl"/>
              </w:rPr>
              <w:lastRenderedPageBreak/>
              <w:t>Filipinas</w:t>
            </w:r>
            <w:r w:rsidRPr="00A9558A">
              <w:rPr>
                <w:sz w:val="16"/>
                <w:szCs w:val="16"/>
                <w:lang w:val="es-ES_tradnl"/>
              </w:rPr>
              <w:t xml:space="preserve">, Indonesia, Nepal, Pakistán, </w:t>
            </w:r>
            <w:proofErr w:type="spellStart"/>
            <w:r w:rsidRPr="00A9558A">
              <w:rPr>
                <w:sz w:val="16"/>
                <w:szCs w:val="16"/>
                <w:lang w:val="es-ES_tradnl"/>
              </w:rPr>
              <w:t>Papua</w:t>
            </w:r>
            <w:proofErr w:type="spellEnd"/>
            <w:r w:rsidRPr="00A9558A">
              <w:rPr>
                <w:sz w:val="16"/>
                <w:szCs w:val="16"/>
                <w:lang w:val="es-ES_tradnl"/>
              </w:rPr>
              <w:t xml:space="preserve"> Nueva Guinea, Sri Lanka),</w:t>
            </w:r>
          </w:p>
          <w:p w:rsidR="00525604" w:rsidRPr="00A9558A" w:rsidRDefault="00525604" w:rsidP="00525604">
            <w:pPr>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 xml:space="preserve">América Latina y el Caribe (9) (Barbados, Belice, Chile, Cuba, Jamaica, República Dominicana, Santa Lucía, Trinidad y </w:t>
            </w:r>
            <w:proofErr w:type="spellStart"/>
            <w:r w:rsidRPr="00A9558A">
              <w:rPr>
                <w:sz w:val="16"/>
                <w:szCs w:val="16"/>
                <w:lang w:val="es-ES_tradnl"/>
              </w:rPr>
              <w:t>Tabago</w:t>
            </w:r>
            <w:proofErr w:type="spellEnd"/>
            <w:r w:rsidRPr="00A9558A">
              <w:rPr>
                <w:sz w:val="16"/>
                <w:szCs w:val="16"/>
                <w:lang w:val="es-ES_tradnl"/>
              </w:rPr>
              <w:t>, Uruguay)</w:t>
            </w:r>
          </w:p>
          <w:p w:rsidR="00525604" w:rsidRPr="00A9558A" w:rsidRDefault="00525604" w:rsidP="00853209">
            <w:pPr>
              <w:keepNext/>
              <w:keepLines/>
              <w:rPr>
                <w:rFonts w:cs="Arial"/>
                <w:sz w:val="16"/>
                <w:szCs w:val="16"/>
                <w:lang w:val="es-ES_tradnl"/>
              </w:rPr>
            </w:pPr>
            <w:r w:rsidRPr="00A9558A">
              <w:rPr>
                <w:sz w:val="16"/>
                <w:szCs w:val="16"/>
                <w:lang w:val="es-ES_tradnl"/>
              </w:rPr>
              <w:t>Número de oficinas automatizadas parcialmente a finales del bienio 2012/13:  20</w:t>
            </w:r>
          </w:p>
          <w:p w:rsidR="00525604" w:rsidRPr="00A9558A" w:rsidRDefault="00525604" w:rsidP="00853209">
            <w:pPr>
              <w:keepNext/>
              <w:keepLines/>
              <w:rPr>
                <w:rFonts w:cs="Arial"/>
                <w:sz w:val="16"/>
                <w:szCs w:val="16"/>
                <w:lang w:val="es-ES_tradnl"/>
              </w:rPr>
            </w:pPr>
          </w:p>
          <w:p w:rsidR="00525604" w:rsidRPr="00A9558A" w:rsidRDefault="00525604" w:rsidP="00525604">
            <w:pPr>
              <w:keepNext/>
              <w:keepLines/>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África (9) (ARIPO, Gambia, Ghana, Mauricio, República Unida de Tanzanía, Rwanda, Sudáfrica Uganda, Zimbabwe),</w:t>
            </w:r>
          </w:p>
          <w:p w:rsidR="00525604" w:rsidRPr="00A9558A" w:rsidRDefault="00525604" w:rsidP="00525604">
            <w:pPr>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la región de los países árabes (4) (</w:t>
            </w:r>
            <w:proofErr w:type="spellStart"/>
            <w:r w:rsidRPr="00A9558A">
              <w:rPr>
                <w:sz w:val="16"/>
                <w:szCs w:val="16"/>
                <w:lang w:val="es-ES_tradnl"/>
              </w:rPr>
              <w:t>Djibouti</w:t>
            </w:r>
            <w:proofErr w:type="spellEnd"/>
            <w:r w:rsidRPr="00A9558A">
              <w:rPr>
                <w:sz w:val="16"/>
                <w:szCs w:val="16"/>
                <w:lang w:val="es-ES_tradnl"/>
              </w:rPr>
              <w:t>, Emiratos Árabes Unidos, Jordania, Líbano, Marruecos, Omán)</w:t>
            </w:r>
          </w:p>
          <w:p w:rsidR="00525604" w:rsidRPr="00A9558A" w:rsidRDefault="00525604" w:rsidP="00525604">
            <w:pPr>
              <w:numPr>
                <w:ilvl w:val="0"/>
                <w:numId w:val="19"/>
              </w:numPr>
              <w:tabs>
                <w:tab w:val="clear" w:pos="794"/>
                <w:tab w:val="num" w:pos="336"/>
              </w:tabs>
              <w:spacing w:after="80"/>
              <w:ind w:left="336" w:hanging="283"/>
              <w:rPr>
                <w:rFonts w:cs="Arial"/>
                <w:sz w:val="16"/>
                <w:szCs w:val="16"/>
                <w:lang w:val="es-ES_tradnl"/>
              </w:rPr>
            </w:pPr>
            <w:r w:rsidRPr="00A9558A">
              <w:rPr>
                <w:sz w:val="16"/>
                <w:szCs w:val="16"/>
                <w:lang w:val="es-ES_tradnl"/>
              </w:rPr>
              <w:t xml:space="preserve">Asia y el Pacífico (2) (Camboya, República </w:t>
            </w:r>
            <w:proofErr w:type="spellStart"/>
            <w:r w:rsidRPr="00A9558A">
              <w:rPr>
                <w:sz w:val="16"/>
                <w:szCs w:val="16"/>
                <w:lang w:val="es-ES_tradnl"/>
              </w:rPr>
              <w:t>Dem</w:t>
            </w:r>
            <w:proofErr w:type="spellEnd"/>
            <w:r w:rsidR="000250A9">
              <w:rPr>
                <w:sz w:val="16"/>
                <w:szCs w:val="16"/>
                <w:lang w:val="es-ES_tradnl"/>
              </w:rPr>
              <w:t>.</w:t>
            </w:r>
            <w:r w:rsidRPr="00A9558A">
              <w:rPr>
                <w:sz w:val="16"/>
                <w:szCs w:val="16"/>
                <w:lang w:val="es-ES_tradnl"/>
              </w:rPr>
              <w:t xml:space="preserve"> Popular Lao)</w:t>
            </w:r>
          </w:p>
          <w:p w:rsidR="00525604" w:rsidRPr="00A9558A" w:rsidRDefault="00525604" w:rsidP="00525604">
            <w:pPr>
              <w:numPr>
                <w:ilvl w:val="0"/>
                <w:numId w:val="19"/>
              </w:numPr>
              <w:tabs>
                <w:tab w:val="clear" w:pos="794"/>
                <w:tab w:val="num" w:pos="336"/>
              </w:tabs>
              <w:spacing w:after="120"/>
              <w:ind w:left="336" w:hanging="283"/>
              <w:rPr>
                <w:rFonts w:cs="Arial"/>
                <w:sz w:val="16"/>
                <w:szCs w:val="16"/>
                <w:lang w:val="es-ES_tradnl"/>
              </w:rPr>
            </w:pPr>
            <w:r w:rsidRPr="00A9558A">
              <w:rPr>
                <w:sz w:val="16"/>
                <w:szCs w:val="16"/>
                <w:lang w:val="es-ES_tradnl"/>
              </w:rPr>
              <w:t>América Latina y el Caribe (5) (Argentina, Bahamas, Brasil, Costa Rica, Panamá)</w:t>
            </w:r>
          </w:p>
          <w:p w:rsidR="00525604" w:rsidRPr="00A9558A" w:rsidRDefault="00525604" w:rsidP="00853209">
            <w:pPr>
              <w:rPr>
                <w:rFonts w:cs="Arial"/>
                <w:sz w:val="16"/>
                <w:szCs w:val="16"/>
                <w:lang w:val="es-ES_tradnl"/>
              </w:rPr>
            </w:pPr>
            <w:r w:rsidRPr="00A9558A">
              <w:rPr>
                <w:sz w:val="16"/>
                <w:szCs w:val="16"/>
                <w:lang w:val="es-ES_tradnl"/>
              </w:rPr>
              <w:t>Total:  58 oficinas utilizan sistemas de administración de P.I. proporcionados por la OMPI al final del bienio 2012/13.</w:t>
            </w:r>
          </w:p>
          <w:p w:rsidR="00525604" w:rsidRPr="00A9558A" w:rsidRDefault="00525604" w:rsidP="00525604">
            <w:pPr>
              <w:pStyle w:val="ListParagraph"/>
              <w:numPr>
                <w:ilvl w:val="0"/>
                <w:numId w:val="20"/>
              </w:numPr>
              <w:tabs>
                <w:tab w:val="left" w:pos="336"/>
              </w:tabs>
              <w:ind w:left="336" w:hanging="283"/>
              <w:rPr>
                <w:rFonts w:cs="Arial"/>
                <w:sz w:val="16"/>
                <w:szCs w:val="16"/>
                <w:lang w:val="es-ES_tradnl"/>
              </w:rPr>
            </w:pPr>
            <w:r w:rsidRPr="00A9558A">
              <w:rPr>
                <w:sz w:val="16"/>
                <w:szCs w:val="16"/>
                <w:lang w:val="es-ES_tradnl"/>
              </w:rPr>
              <w:t>África (19)</w:t>
            </w:r>
          </w:p>
          <w:p w:rsidR="00525604" w:rsidRPr="00A9558A" w:rsidRDefault="00525604" w:rsidP="00525604">
            <w:pPr>
              <w:pStyle w:val="ListParagraph"/>
              <w:numPr>
                <w:ilvl w:val="0"/>
                <w:numId w:val="20"/>
              </w:numPr>
              <w:tabs>
                <w:tab w:val="left" w:pos="336"/>
              </w:tabs>
              <w:ind w:left="336" w:hanging="283"/>
              <w:rPr>
                <w:rFonts w:cs="Arial"/>
                <w:sz w:val="16"/>
                <w:szCs w:val="16"/>
                <w:lang w:val="es-ES_tradnl"/>
              </w:rPr>
            </w:pPr>
            <w:r w:rsidRPr="00A9558A">
              <w:rPr>
                <w:sz w:val="16"/>
                <w:szCs w:val="16"/>
                <w:lang w:val="es-ES_tradnl"/>
              </w:rPr>
              <w:t>región de los países árabes (14)</w:t>
            </w:r>
          </w:p>
          <w:p w:rsidR="00525604" w:rsidRPr="00A9558A" w:rsidRDefault="00525604" w:rsidP="00525604">
            <w:pPr>
              <w:pStyle w:val="ListParagraph"/>
              <w:numPr>
                <w:ilvl w:val="0"/>
                <w:numId w:val="20"/>
              </w:numPr>
              <w:tabs>
                <w:tab w:val="left" w:pos="336"/>
              </w:tabs>
              <w:ind w:left="336" w:hanging="283"/>
              <w:rPr>
                <w:rFonts w:cs="Arial"/>
                <w:sz w:val="16"/>
                <w:szCs w:val="16"/>
                <w:lang w:val="es-ES_tradnl"/>
              </w:rPr>
            </w:pPr>
            <w:r w:rsidRPr="00A9558A">
              <w:rPr>
                <w:sz w:val="16"/>
                <w:szCs w:val="16"/>
                <w:lang w:val="es-ES_tradnl"/>
              </w:rPr>
              <w:t>Asia y el Pacífico (11)</w:t>
            </w:r>
          </w:p>
          <w:p w:rsidR="00525604" w:rsidRPr="00A9558A" w:rsidRDefault="00525604" w:rsidP="00525604">
            <w:pPr>
              <w:pStyle w:val="ListParagraph"/>
              <w:numPr>
                <w:ilvl w:val="0"/>
                <w:numId w:val="20"/>
              </w:numPr>
              <w:tabs>
                <w:tab w:val="left" w:pos="336"/>
              </w:tabs>
              <w:ind w:left="336" w:hanging="283"/>
              <w:rPr>
                <w:rFonts w:cs="Arial"/>
                <w:spacing w:val="-2"/>
                <w:sz w:val="16"/>
                <w:szCs w:val="16"/>
                <w:lang w:val="es-ES_tradnl"/>
              </w:rPr>
            </w:pPr>
            <w:r w:rsidRPr="00A9558A">
              <w:rPr>
                <w:spacing w:val="-2"/>
                <w:sz w:val="16"/>
                <w:szCs w:val="16"/>
                <w:lang w:val="es-ES_tradnl"/>
              </w:rPr>
              <w:t>América Latina y el Caribe (14)</w:t>
            </w:r>
          </w:p>
        </w:tc>
        <w:tc>
          <w:tcPr>
            <w:tcW w:w="1135" w:type="dxa"/>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lastRenderedPageBreak/>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lastRenderedPageBreak/>
              <w:t>Número de oficinas cuyos datos de P.I. están disponibles en las bases de datos de la OMPI en Internet.</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Total: 20 (desglose regional por determinar).</w:t>
            </w:r>
          </w:p>
        </w:tc>
        <w:tc>
          <w:tcPr>
            <w:tcW w:w="1559" w:type="dxa"/>
            <w:gridSpan w:val="2"/>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t>Total 40</w:t>
            </w:r>
          </w:p>
          <w:p w:rsidR="00525604" w:rsidRPr="00A9558A" w:rsidRDefault="000250A9" w:rsidP="00853209">
            <w:pPr>
              <w:rPr>
                <w:rFonts w:cs="Arial"/>
                <w:color w:val="993300"/>
                <w:sz w:val="16"/>
                <w:szCs w:val="16"/>
                <w:lang w:val="es-ES_tradnl"/>
              </w:rPr>
            </w:pPr>
            <w:r>
              <w:rPr>
                <w:sz w:val="16"/>
                <w:szCs w:val="16"/>
                <w:lang w:val="es-ES_tradnl"/>
              </w:rPr>
              <w:t>(</w:t>
            </w:r>
            <w:r w:rsidR="00525604" w:rsidRPr="00A9558A">
              <w:rPr>
                <w:sz w:val="16"/>
                <w:szCs w:val="16"/>
                <w:lang w:val="es-ES_tradnl"/>
              </w:rPr>
              <w:t>Desglose regional por determinar</w:t>
            </w:r>
            <w:r>
              <w:rPr>
                <w:sz w:val="16"/>
                <w:szCs w:val="16"/>
                <w:lang w:val="es-ES_tradnl"/>
              </w:rPr>
              <w:t>)</w:t>
            </w:r>
          </w:p>
        </w:tc>
        <w:tc>
          <w:tcPr>
            <w:tcW w:w="3119" w:type="dxa"/>
            <w:gridSpan w:val="4"/>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35 (28 en PATENTSCOPE y siete en la Base Mundial de Datos sobre Marcas) oficinas cuyos datos de P.I. están disponibles en las bases de datos de la OMPI (en total)</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PATENTSCOPE:</w:t>
            </w:r>
          </w:p>
          <w:p w:rsidR="00525604" w:rsidRPr="00A9558A" w:rsidRDefault="00525604" w:rsidP="00525604">
            <w:pPr>
              <w:pStyle w:val="ListParagraph"/>
              <w:numPr>
                <w:ilvl w:val="0"/>
                <w:numId w:val="21"/>
              </w:numPr>
              <w:ind w:left="336" w:hanging="283"/>
              <w:rPr>
                <w:rFonts w:cs="Arial"/>
                <w:sz w:val="16"/>
                <w:szCs w:val="16"/>
                <w:lang w:val="es-ES_tradnl"/>
              </w:rPr>
            </w:pPr>
            <w:r w:rsidRPr="00A9558A">
              <w:rPr>
                <w:sz w:val="16"/>
                <w:szCs w:val="16"/>
                <w:lang w:val="es-ES_tradnl"/>
              </w:rPr>
              <w:t>África (3) (ARIPO, Kenya, Sudáfrica)</w:t>
            </w:r>
          </w:p>
          <w:p w:rsidR="00525604" w:rsidRPr="00A9558A" w:rsidRDefault="00525604" w:rsidP="00525604">
            <w:pPr>
              <w:pStyle w:val="ListParagraph"/>
              <w:numPr>
                <w:ilvl w:val="0"/>
                <w:numId w:val="21"/>
              </w:numPr>
              <w:ind w:left="336" w:hanging="283"/>
              <w:rPr>
                <w:rFonts w:cs="Arial"/>
                <w:sz w:val="16"/>
                <w:szCs w:val="16"/>
                <w:lang w:val="es-ES_tradnl"/>
              </w:rPr>
            </w:pPr>
            <w:r w:rsidRPr="00A9558A">
              <w:rPr>
                <w:sz w:val="16"/>
                <w:szCs w:val="16"/>
                <w:lang w:val="es-ES_tradnl"/>
              </w:rPr>
              <w:t>región de los países árabes (5) (</w:t>
            </w:r>
            <w:proofErr w:type="spellStart"/>
            <w:r w:rsidRPr="00A9558A">
              <w:rPr>
                <w:sz w:val="16"/>
                <w:szCs w:val="16"/>
                <w:lang w:val="es-ES_tradnl"/>
              </w:rPr>
              <w:t>Bahrein</w:t>
            </w:r>
            <w:proofErr w:type="spellEnd"/>
            <w:r w:rsidRPr="00A9558A">
              <w:rPr>
                <w:sz w:val="16"/>
                <w:szCs w:val="16"/>
                <w:lang w:val="es-ES_tradnl"/>
              </w:rPr>
              <w:t>, Egipto, Emiratos Árabes Unidos, Jordania, Marruecos)</w:t>
            </w:r>
          </w:p>
          <w:p w:rsidR="00525604" w:rsidRPr="00A9558A" w:rsidRDefault="00525604" w:rsidP="00525604">
            <w:pPr>
              <w:pStyle w:val="ListParagraph"/>
              <w:numPr>
                <w:ilvl w:val="0"/>
                <w:numId w:val="21"/>
              </w:numPr>
              <w:ind w:left="336" w:hanging="283"/>
              <w:rPr>
                <w:rFonts w:cs="Arial"/>
                <w:sz w:val="16"/>
                <w:szCs w:val="16"/>
                <w:lang w:val="es-ES_tradnl"/>
              </w:rPr>
            </w:pPr>
            <w:r w:rsidRPr="00A9558A">
              <w:rPr>
                <w:sz w:val="16"/>
                <w:szCs w:val="16"/>
                <w:lang w:val="es-ES_tradnl"/>
              </w:rPr>
              <w:t>Asia y el Pacífico (4) (China, República de Corea, Singapur, Viet Nam)</w:t>
            </w:r>
          </w:p>
          <w:p w:rsidR="00525604" w:rsidRPr="00A9558A" w:rsidRDefault="00525604" w:rsidP="00525604">
            <w:pPr>
              <w:pStyle w:val="ListParagraph"/>
              <w:numPr>
                <w:ilvl w:val="0"/>
                <w:numId w:val="21"/>
              </w:numPr>
              <w:ind w:left="336" w:hanging="283"/>
              <w:rPr>
                <w:rFonts w:cs="Arial"/>
                <w:sz w:val="16"/>
                <w:szCs w:val="16"/>
                <w:lang w:val="es-ES_tradnl"/>
              </w:rPr>
            </w:pPr>
            <w:r w:rsidRPr="00A9558A">
              <w:rPr>
                <w:sz w:val="16"/>
                <w:szCs w:val="16"/>
                <w:lang w:val="es-ES_tradnl"/>
              </w:rPr>
              <w:t>América Latina y el Caribe (16) (Argentina, Brasil, Chile, Colombia, Costa Rica, Cuba, Ecuador, El</w:t>
            </w:r>
            <w:r w:rsidR="000250A9">
              <w:rPr>
                <w:sz w:val="16"/>
                <w:szCs w:val="16"/>
                <w:lang w:val="es-ES_tradnl"/>
              </w:rPr>
              <w:t xml:space="preserve"> </w:t>
            </w:r>
            <w:r w:rsidRPr="00A9558A">
              <w:rPr>
                <w:sz w:val="16"/>
                <w:szCs w:val="16"/>
                <w:lang w:val="es-ES_tradnl"/>
              </w:rPr>
              <w:t xml:space="preserve">Salvador, Guatemala, Honduras, México, Nicaragua, Panamá, Perú, República Dominicana </w:t>
            </w:r>
            <w:r w:rsidR="0065614B" w:rsidRPr="00A9558A">
              <w:rPr>
                <w:sz w:val="16"/>
                <w:szCs w:val="16"/>
                <w:lang w:val="es-ES_tradnl"/>
              </w:rPr>
              <w:t xml:space="preserve">y </w:t>
            </w:r>
            <w:r w:rsidRPr="00A9558A">
              <w:rPr>
                <w:sz w:val="16"/>
                <w:szCs w:val="16"/>
                <w:lang w:val="es-ES_tradnl"/>
              </w:rPr>
              <w:t>Uruguay)</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Base Mundial de Datos sobre Marcas:</w:t>
            </w:r>
          </w:p>
          <w:p w:rsidR="00525604" w:rsidRPr="00A9558A" w:rsidRDefault="00525604" w:rsidP="00525604">
            <w:pPr>
              <w:pStyle w:val="ListParagraph"/>
              <w:numPr>
                <w:ilvl w:val="0"/>
                <w:numId w:val="22"/>
              </w:numPr>
              <w:ind w:left="430" w:hanging="284"/>
              <w:rPr>
                <w:rFonts w:cs="Arial"/>
                <w:sz w:val="16"/>
                <w:szCs w:val="16"/>
                <w:lang w:val="es-ES_tradnl"/>
              </w:rPr>
            </w:pPr>
            <w:r w:rsidRPr="00A9558A">
              <w:rPr>
                <w:sz w:val="16"/>
                <w:szCs w:val="16"/>
                <w:lang w:val="es-ES_tradnl"/>
              </w:rPr>
              <w:t>región de los países árabes (4) (Argelia, Egipto, Emiratos Árabes Unidos, Marruecos)</w:t>
            </w:r>
          </w:p>
          <w:p w:rsidR="00525604" w:rsidRPr="00A9558A" w:rsidRDefault="00525604" w:rsidP="00525604">
            <w:pPr>
              <w:pStyle w:val="ListParagraph"/>
              <w:numPr>
                <w:ilvl w:val="0"/>
                <w:numId w:val="22"/>
              </w:numPr>
              <w:ind w:left="430" w:hanging="284"/>
              <w:rPr>
                <w:rFonts w:cs="Arial"/>
                <w:sz w:val="16"/>
                <w:szCs w:val="16"/>
                <w:lang w:val="es-ES_tradnl"/>
              </w:rPr>
            </w:pPr>
            <w:r w:rsidRPr="00A9558A">
              <w:rPr>
                <w:sz w:val="16"/>
                <w:szCs w:val="16"/>
                <w:lang w:val="es-ES_tradnl"/>
              </w:rPr>
              <w:t>Asia y el Pacífico (2) (</w:t>
            </w:r>
            <w:r w:rsidR="00640EF0" w:rsidRPr="00A9558A">
              <w:rPr>
                <w:sz w:val="16"/>
                <w:szCs w:val="16"/>
                <w:lang w:val="es-ES_tradnl"/>
              </w:rPr>
              <w:t>Filipinas</w:t>
            </w:r>
            <w:r w:rsidRPr="00A9558A">
              <w:rPr>
                <w:sz w:val="16"/>
                <w:szCs w:val="16"/>
                <w:lang w:val="es-ES_tradnl"/>
              </w:rPr>
              <w:t>, Singapur)</w:t>
            </w:r>
          </w:p>
        </w:tc>
        <w:tc>
          <w:tcPr>
            <w:tcW w:w="1135" w:type="dxa"/>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grupos de oficinas que participan en una plataforma común.</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Uno</w:t>
            </w:r>
          </w:p>
        </w:tc>
        <w:tc>
          <w:tcPr>
            <w:tcW w:w="1559" w:type="dxa"/>
            <w:gridSpan w:val="2"/>
            <w:shd w:val="clear" w:color="auto" w:fill="auto"/>
            <w:tcMar>
              <w:top w:w="110" w:type="dxa"/>
            </w:tcMar>
          </w:tcPr>
          <w:p w:rsidR="00525604" w:rsidRPr="00A9558A" w:rsidRDefault="00525604" w:rsidP="00853209">
            <w:pPr>
              <w:rPr>
                <w:rFonts w:cs="Arial"/>
                <w:color w:val="993300"/>
                <w:sz w:val="16"/>
                <w:szCs w:val="16"/>
                <w:lang w:val="es-ES_tradnl"/>
              </w:rPr>
            </w:pPr>
            <w:r w:rsidRPr="00A9558A">
              <w:rPr>
                <w:sz w:val="16"/>
                <w:szCs w:val="16"/>
                <w:lang w:val="es-ES_tradnl"/>
              </w:rPr>
              <w:t>Tres (en total)</w:t>
            </w:r>
          </w:p>
        </w:tc>
        <w:tc>
          <w:tcPr>
            <w:tcW w:w="3119" w:type="dxa"/>
            <w:gridSpan w:val="4"/>
            <w:shd w:val="clear" w:color="auto" w:fill="FFFFFF"/>
            <w:tcMar>
              <w:top w:w="110" w:type="dxa"/>
            </w:tcMar>
          </w:tcPr>
          <w:p w:rsidR="00525604" w:rsidRPr="00A9558A" w:rsidRDefault="00525604" w:rsidP="00EF4041">
            <w:pPr>
              <w:rPr>
                <w:rFonts w:cs="Arial"/>
                <w:sz w:val="16"/>
                <w:szCs w:val="16"/>
                <w:lang w:val="es-ES_tradnl"/>
              </w:rPr>
            </w:pPr>
            <w:r w:rsidRPr="00A9558A">
              <w:rPr>
                <w:sz w:val="16"/>
                <w:szCs w:val="16"/>
                <w:lang w:val="es-ES_tradnl"/>
              </w:rPr>
              <w:t xml:space="preserve">Siete oficinas participantes de diferentes regiones.  Las cuestión de contar con diferentes grupos de oficinas ya no es </w:t>
            </w:r>
            <w:r w:rsidR="00EF4041" w:rsidRPr="00A9558A">
              <w:rPr>
                <w:sz w:val="16"/>
                <w:szCs w:val="16"/>
                <w:lang w:val="es-ES_tradnl"/>
              </w:rPr>
              <w:t>pertinente;</w:t>
            </w:r>
            <w:r w:rsidRPr="00A9558A">
              <w:rPr>
                <w:sz w:val="16"/>
                <w:szCs w:val="16"/>
                <w:lang w:val="es-ES_tradnl"/>
              </w:rPr>
              <w:t xml:space="preserve"> </w:t>
            </w:r>
            <w:r w:rsidR="00537926" w:rsidRPr="00A9558A">
              <w:rPr>
                <w:sz w:val="16"/>
                <w:szCs w:val="16"/>
                <w:lang w:val="es-ES_tradnl"/>
              </w:rPr>
              <w:t xml:space="preserve"> </w:t>
            </w:r>
            <w:r w:rsidR="00EF4041" w:rsidRPr="00A9558A">
              <w:rPr>
                <w:sz w:val="16"/>
                <w:szCs w:val="16"/>
                <w:lang w:val="es-ES_tradnl"/>
              </w:rPr>
              <w:t xml:space="preserve">las </w:t>
            </w:r>
            <w:r w:rsidRPr="00A9558A">
              <w:rPr>
                <w:sz w:val="16"/>
                <w:szCs w:val="16"/>
                <w:lang w:val="es-ES_tradnl"/>
              </w:rPr>
              <w:t>oficinas se adhieren a la plataforma común en todo el mundo y no en grupos regionales.</w:t>
            </w:r>
          </w:p>
        </w:tc>
        <w:tc>
          <w:tcPr>
            <w:tcW w:w="1135" w:type="dxa"/>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w:t>
            </w:r>
            <w:r w:rsidRPr="00A9558A">
              <w:rPr>
                <w:rFonts w:cs="Arial"/>
                <w:bCs/>
                <w:color w:val="008000"/>
                <w:sz w:val="16"/>
                <w:szCs w:val="16"/>
                <w:lang w:val="es-ES_tradnl"/>
              </w:rPr>
              <w:br/>
            </w:r>
            <w:r w:rsidRPr="00A9558A">
              <w:rPr>
                <w:color w:val="008000"/>
                <w:sz w:val="16"/>
                <w:szCs w:val="16"/>
                <w:lang w:val="es-ES_tradnl"/>
              </w:rPr>
              <w:t>logrado</w:t>
            </w:r>
          </w:p>
        </w:tc>
      </w:tr>
      <w:tr w:rsidR="00525604" w:rsidRPr="00A9558A" w:rsidTr="00C13FC7">
        <w:tc>
          <w:tcPr>
            <w:tcW w:w="1701" w:type="dxa"/>
            <w:tcBorders>
              <w:bottom w:val="single" w:sz="4" w:space="0" w:color="auto"/>
            </w:tcBorders>
            <w:shd w:val="clear" w:color="auto" w:fill="FFFFFF"/>
          </w:tcPr>
          <w:p w:rsidR="00525604" w:rsidRPr="00A9558A" w:rsidRDefault="00525604" w:rsidP="00853209">
            <w:pPr>
              <w:rPr>
                <w:rFonts w:cs="Arial"/>
                <w:sz w:val="16"/>
                <w:szCs w:val="16"/>
                <w:lang w:val="es-ES_tradnl"/>
              </w:rPr>
            </w:pPr>
            <w:r w:rsidRPr="00A9558A">
              <w:rPr>
                <w:sz w:val="16"/>
                <w:szCs w:val="16"/>
                <w:lang w:val="es-ES_tradnl"/>
              </w:rPr>
              <w:t xml:space="preserve">Número de oficinas que tramitan los datos del PCT y del Sistema de Madrid con el apoyo de sistemas </w:t>
            </w:r>
            <w:r w:rsidRPr="00A9558A">
              <w:rPr>
                <w:sz w:val="16"/>
                <w:szCs w:val="16"/>
                <w:lang w:val="es-ES_tradnl"/>
              </w:rPr>
              <w:lastRenderedPageBreak/>
              <w:t>proporcionados por la OMPI.</w:t>
            </w:r>
          </w:p>
        </w:tc>
        <w:tc>
          <w:tcPr>
            <w:tcW w:w="1843"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lastRenderedPageBreak/>
              <w:t>Total: 5 (desglose regional por determinar).</w:t>
            </w:r>
          </w:p>
        </w:tc>
        <w:tc>
          <w:tcPr>
            <w:tcW w:w="1559" w:type="dxa"/>
            <w:gridSpan w:val="2"/>
            <w:tcBorders>
              <w:bottom w:val="single" w:sz="4" w:space="0" w:color="auto"/>
            </w:tcBorders>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Total 20 (en total)</w:t>
            </w:r>
          </w:p>
          <w:p w:rsidR="00525604" w:rsidRPr="00A9558A" w:rsidRDefault="00525604" w:rsidP="00853209">
            <w:pPr>
              <w:rPr>
                <w:rFonts w:cs="Arial"/>
                <w:sz w:val="16"/>
                <w:szCs w:val="16"/>
                <w:lang w:val="es-ES_tradnl"/>
              </w:rPr>
            </w:pPr>
            <w:r w:rsidRPr="00A9558A">
              <w:rPr>
                <w:sz w:val="16"/>
                <w:szCs w:val="16"/>
                <w:lang w:val="es-ES_tradnl"/>
              </w:rPr>
              <w:t>(desglose regional por determinar)</w:t>
            </w:r>
          </w:p>
        </w:tc>
        <w:tc>
          <w:tcPr>
            <w:tcW w:w="3119" w:type="dxa"/>
            <w:gridSpan w:val="4"/>
            <w:tcBorders>
              <w:bottom w:val="single" w:sz="4" w:space="0" w:color="auto"/>
            </w:tcBorders>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32 oficinas tramitan los datos del PCT y del Sistema de Madrid con el apoyo de sistemas proporcionados por la OMPI.</w:t>
            </w:r>
          </w:p>
          <w:p w:rsidR="00525604" w:rsidRPr="00A9558A" w:rsidRDefault="00525604" w:rsidP="00853209">
            <w:pPr>
              <w:rPr>
                <w:rFonts w:cs="Arial"/>
                <w:sz w:val="16"/>
                <w:szCs w:val="16"/>
                <w:lang w:val="es-ES_tradnl"/>
              </w:rPr>
            </w:pPr>
          </w:p>
          <w:p w:rsidR="00525604" w:rsidRPr="00A9558A" w:rsidRDefault="00525604" w:rsidP="00853209">
            <w:pPr>
              <w:keepNext/>
              <w:keepLines/>
              <w:rPr>
                <w:rFonts w:cs="Arial"/>
                <w:sz w:val="16"/>
                <w:szCs w:val="16"/>
                <w:lang w:val="es-ES_tradnl"/>
              </w:rPr>
            </w:pPr>
            <w:r w:rsidRPr="00A9558A">
              <w:rPr>
                <w:sz w:val="16"/>
                <w:szCs w:val="16"/>
                <w:lang w:val="es-ES_tradnl"/>
              </w:rPr>
              <w:t>Datos del PCT:</w:t>
            </w:r>
          </w:p>
          <w:p w:rsidR="00525604" w:rsidRPr="00A9558A" w:rsidRDefault="00525604" w:rsidP="00525604">
            <w:pPr>
              <w:pStyle w:val="ListParagraph"/>
              <w:keepNext/>
              <w:keepLines/>
              <w:numPr>
                <w:ilvl w:val="0"/>
                <w:numId w:val="23"/>
              </w:numPr>
              <w:ind w:left="432"/>
              <w:rPr>
                <w:rFonts w:cs="Arial"/>
                <w:sz w:val="16"/>
                <w:szCs w:val="16"/>
                <w:lang w:val="es-ES_tradnl"/>
              </w:rPr>
            </w:pPr>
            <w:r w:rsidRPr="00A9558A">
              <w:rPr>
                <w:sz w:val="16"/>
                <w:szCs w:val="16"/>
                <w:lang w:val="es-ES_tradnl"/>
              </w:rPr>
              <w:t xml:space="preserve">África (6) (Botswana, </w:t>
            </w:r>
            <w:proofErr w:type="spellStart"/>
            <w:r w:rsidRPr="00A9558A">
              <w:rPr>
                <w:sz w:val="16"/>
                <w:szCs w:val="16"/>
                <w:lang w:val="es-ES_tradnl"/>
              </w:rPr>
              <w:t>Kenya</w:t>
            </w:r>
            <w:proofErr w:type="spellEnd"/>
            <w:r w:rsidRPr="00A9558A">
              <w:rPr>
                <w:sz w:val="16"/>
                <w:szCs w:val="16"/>
                <w:lang w:val="es-ES_tradnl"/>
              </w:rPr>
              <w:t xml:space="preserve">, </w:t>
            </w:r>
            <w:r w:rsidRPr="00A9558A">
              <w:rPr>
                <w:sz w:val="16"/>
                <w:szCs w:val="16"/>
                <w:lang w:val="es-ES_tradnl"/>
              </w:rPr>
              <w:lastRenderedPageBreak/>
              <w:t xml:space="preserve">Madagascar, Mozambique, República Unida de </w:t>
            </w:r>
            <w:proofErr w:type="spellStart"/>
            <w:r w:rsidRPr="00A9558A">
              <w:rPr>
                <w:sz w:val="16"/>
                <w:szCs w:val="16"/>
                <w:lang w:val="es-ES_tradnl"/>
              </w:rPr>
              <w:t>Tanzanía</w:t>
            </w:r>
            <w:proofErr w:type="spellEnd"/>
            <w:r w:rsidRPr="00A9558A">
              <w:rPr>
                <w:sz w:val="16"/>
                <w:szCs w:val="16"/>
                <w:lang w:val="es-ES_tradnl"/>
              </w:rPr>
              <w:t>, Zambia),</w:t>
            </w:r>
          </w:p>
          <w:p w:rsidR="00525604" w:rsidRPr="00A9558A" w:rsidRDefault="00525604" w:rsidP="00525604">
            <w:pPr>
              <w:pStyle w:val="ListParagraph"/>
              <w:keepNext/>
              <w:keepLines/>
              <w:numPr>
                <w:ilvl w:val="0"/>
                <w:numId w:val="23"/>
              </w:numPr>
              <w:ind w:left="432"/>
              <w:rPr>
                <w:rFonts w:cs="Arial"/>
                <w:sz w:val="16"/>
                <w:szCs w:val="16"/>
                <w:lang w:val="es-ES_tradnl"/>
              </w:rPr>
            </w:pPr>
            <w:r w:rsidRPr="00A9558A">
              <w:rPr>
                <w:sz w:val="16"/>
                <w:szCs w:val="16"/>
                <w:lang w:val="es-ES_tradnl"/>
              </w:rPr>
              <w:t>la región de los países árabes (5) (Argelia, Bahrein, Egipto, Marruecos, Túnez)</w:t>
            </w:r>
          </w:p>
          <w:p w:rsidR="00525604" w:rsidRPr="00A9558A" w:rsidRDefault="00525604" w:rsidP="00525604">
            <w:pPr>
              <w:pStyle w:val="ListParagraph"/>
              <w:keepNext/>
              <w:keepLines/>
              <w:numPr>
                <w:ilvl w:val="0"/>
                <w:numId w:val="23"/>
              </w:numPr>
              <w:ind w:left="432"/>
              <w:rPr>
                <w:rFonts w:cs="Arial"/>
                <w:sz w:val="16"/>
                <w:szCs w:val="16"/>
                <w:lang w:val="es-ES_tradnl"/>
              </w:rPr>
            </w:pPr>
            <w:r w:rsidRPr="00A9558A">
              <w:rPr>
                <w:sz w:val="16"/>
                <w:szCs w:val="16"/>
                <w:lang w:val="es-ES_tradnl"/>
              </w:rPr>
              <w:t xml:space="preserve">Asia y el Pacífico (4) (Indonesia, </w:t>
            </w:r>
            <w:r w:rsidR="00640EF0" w:rsidRPr="00A9558A">
              <w:rPr>
                <w:sz w:val="16"/>
                <w:szCs w:val="16"/>
                <w:lang w:val="es-ES_tradnl"/>
              </w:rPr>
              <w:t>Filipinas</w:t>
            </w:r>
            <w:r w:rsidRPr="00A9558A">
              <w:rPr>
                <w:sz w:val="16"/>
                <w:szCs w:val="16"/>
                <w:lang w:val="es-ES_tradnl"/>
              </w:rPr>
              <w:t>, Papua Nueva Guinea, Sri Lanka),</w:t>
            </w:r>
          </w:p>
          <w:p w:rsidR="00525604" w:rsidRPr="00A9558A" w:rsidRDefault="00525604" w:rsidP="00525604">
            <w:pPr>
              <w:pStyle w:val="ListParagraph"/>
              <w:keepNext/>
              <w:keepLines/>
              <w:numPr>
                <w:ilvl w:val="0"/>
                <w:numId w:val="23"/>
              </w:numPr>
              <w:ind w:left="432"/>
              <w:rPr>
                <w:rFonts w:cs="Arial"/>
                <w:sz w:val="16"/>
                <w:szCs w:val="16"/>
                <w:lang w:val="es-ES_tradnl"/>
              </w:rPr>
            </w:pPr>
            <w:r w:rsidRPr="00A9558A">
              <w:rPr>
                <w:sz w:val="16"/>
                <w:szCs w:val="16"/>
                <w:lang w:val="es-ES_tradnl"/>
              </w:rPr>
              <w:t>América Latina y el Caribe (7) (Barbados, Belice, Chile, Cuba, República Dominicana, Santa Lucía, Trinidad y Tabago)</w:t>
            </w:r>
          </w:p>
          <w:p w:rsidR="00525604" w:rsidRPr="00A9558A" w:rsidRDefault="00525604" w:rsidP="00853209">
            <w:pPr>
              <w:pStyle w:val="ListParagraph"/>
              <w:ind w:left="432"/>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TOTAL: </w:t>
            </w:r>
            <w:r w:rsidR="007E4D96" w:rsidRPr="00A9558A">
              <w:rPr>
                <w:sz w:val="16"/>
                <w:szCs w:val="16"/>
                <w:lang w:val="es-ES_tradnl"/>
              </w:rPr>
              <w:t xml:space="preserve"> </w:t>
            </w:r>
            <w:r w:rsidRPr="00A9558A">
              <w:rPr>
                <w:sz w:val="16"/>
                <w:szCs w:val="16"/>
                <w:lang w:val="es-ES_tradnl"/>
              </w:rPr>
              <w:t>22</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Datos del Sistema de Madrid:</w:t>
            </w:r>
          </w:p>
          <w:p w:rsidR="00525604" w:rsidRPr="00A9558A" w:rsidRDefault="00525604" w:rsidP="00525604">
            <w:pPr>
              <w:pStyle w:val="ListParagraph"/>
              <w:numPr>
                <w:ilvl w:val="0"/>
                <w:numId w:val="24"/>
              </w:numPr>
              <w:ind w:left="432"/>
              <w:rPr>
                <w:rFonts w:cs="Arial"/>
                <w:sz w:val="16"/>
                <w:szCs w:val="16"/>
                <w:lang w:val="es-ES_tradnl"/>
              </w:rPr>
            </w:pPr>
            <w:r w:rsidRPr="00A9558A">
              <w:rPr>
                <w:sz w:val="16"/>
                <w:szCs w:val="16"/>
                <w:lang w:val="es-ES_tradnl"/>
              </w:rPr>
              <w:t>África (7) (Botswana, Ghana, Kenya, Madagascar, Mozambique, Namibia, Zambia)</w:t>
            </w:r>
          </w:p>
          <w:p w:rsidR="00525604" w:rsidRPr="00A9558A" w:rsidRDefault="00525604" w:rsidP="00525604">
            <w:pPr>
              <w:pStyle w:val="ListParagraph"/>
              <w:numPr>
                <w:ilvl w:val="0"/>
                <w:numId w:val="24"/>
              </w:numPr>
              <w:ind w:left="432"/>
              <w:rPr>
                <w:rFonts w:cs="Arial"/>
                <w:sz w:val="16"/>
                <w:szCs w:val="16"/>
                <w:lang w:val="es-ES_tradnl"/>
              </w:rPr>
            </w:pPr>
            <w:r w:rsidRPr="00A9558A">
              <w:rPr>
                <w:sz w:val="16"/>
                <w:szCs w:val="16"/>
                <w:lang w:val="es-ES_tradnl"/>
              </w:rPr>
              <w:t>región de los países árabes (1) (Argelia)</w:t>
            </w:r>
          </w:p>
          <w:p w:rsidR="00525604" w:rsidRPr="00A9558A" w:rsidRDefault="00525604" w:rsidP="00525604">
            <w:pPr>
              <w:pStyle w:val="ListParagraph"/>
              <w:numPr>
                <w:ilvl w:val="0"/>
                <w:numId w:val="24"/>
              </w:numPr>
              <w:ind w:left="432"/>
              <w:rPr>
                <w:rFonts w:cs="Arial"/>
                <w:sz w:val="16"/>
                <w:szCs w:val="16"/>
                <w:lang w:val="es-ES_tradnl"/>
              </w:rPr>
            </w:pPr>
            <w:r w:rsidRPr="00A9558A">
              <w:rPr>
                <w:sz w:val="16"/>
                <w:szCs w:val="16"/>
                <w:lang w:val="es-ES_tradnl"/>
              </w:rPr>
              <w:t>Asia y el Pacífico (1) (Bhután)</w:t>
            </w:r>
          </w:p>
          <w:p w:rsidR="00525604" w:rsidRPr="00A9558A" w:rsidRDefault="00525604" w:rsidP="00525604">
            <w:pPr>
              <w:pStyle w:val="ListParagraph"/>
              <w:numPr>
                <w:ilvl w:val="0"/>
                <w:numId w:val="24"/>
              </w:numPr>
              <w:ind w:left="432"/>
              <w:rPr>
                <w:rFonts w:cs="Arial"/>
                <w:sz w:val="16"/>
                <w:szCs w:val="16"/>
                <w:lang w:val="es-ES_tradnl"/>
              </w:rPr>
            </w:pPr>
            <w:r w:rsidRPr="00A9558A">
              <w:rPr>
                <w:sz w:val="16"/>
                <w:szCs w:val="16"/>
                <w:lang w:val="es-ES_tradnl"/>
              </w:rPr>
              <w:t>América Latina y el Caribe (1 en total) (Cuba)</w:t>
            </w:r>
          </w:p>
          <w:p w:rsidR="00525604" w:rsidRPr="00A9558A" w:rsidRDefault="00525604" w:rsidP="00853209">
            <w:pPr>
              <w:pStyle w:val="ListParagraph"/>
              <w:ind w:left="432"/>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TOTAL: </w:t>
            </w:r>
            <w:r w:rsidR="007E4D96" w:rsidRPr="00A9558A">
              <w:rPr>
                <w:sz w:val="16"/>
                <w:szCs w:val="16"/>
                <w:lang w:val="es-ES_tradnl"/>
              </w:rPr>
              <w:t xml:space="preserve"> </w:t>
            </w:r>
            <w:r w:rsidRPr="00A9558A">
              <w:rPr>
                <w:sz w:val="16"/>
                <w:szCs w:val="16"/>
                <w:lang w:val="es-ES_tradnl"/>
              </w:rPr>
              <w:t>10</w:t>
            </w:r>
          </w:p>
          <w:p w:rsidR="00525604" w:rsidRPr="00A9558A" w:rsidRDefault="00525604" w:rsidP="00853209">
            <w:pPr>
              <w:rPr>
                <w:rFonts w:cs="Arial"/>
                <w:sz w:val="16"/>
                <w:szCs w:val="16"/>
                <w:lang w:val="es-ES_tradnl"/>
              </w:rPr>
            </w:pPr>
          </w:p>
        </w:tc>
        <w:tc>
          <w:tcPr>
            <w:tcW w:w="1135" w:type="dxa"/>
            <w:tcBorders>
              <w:bottom w:val="single" w:sz="4" w:space="0" w:color="auto"/>
            </w:tcBorders>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lastRenderedPageBreak/>
              <w:t>Plenamente logrado</w:t>
            </w:r>
          </w:p>
        </w:tc>
      </w:tr>
      <w:tr w:rsidR="00525604" w:rsidRPr="00A9508D"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853209">
            <w:pPr>
              <w:keepNext/>
              <w:keepLines/>
              <w:tabs>
                <w:tab w:val="left" w:pos="1452"/>
              </w:tabs>
              <w:spacing w:before="120" w:after="120"/>
              <w:ind w:left="1452" w:hanging="1452"/>
              <w:rPr>
                <w:rFonts w:cs="Arial"/>
                <w:b/>
                <w:bCs/>
                <w:sz w:val="16"/>
                <w:szCs w:val="16"/>
                <w:lang w:val="es-ES_tradnl"/>
              </w:rPr>
            </w:pPr>
            <w:r w:rsidRPr="00A9558A">
              <w:rPr>
                <w:b/>
                <w:sz w:val="16"/>
                <w:szCs w:val="16"/>
                <w:lang w:val="es-ES_tradnl"/>
              </w:rPr>
              <w:lastRenderedPageBreak/>
              <w:t>Resultado previsto:</w:t>
            </w:r>
            <w:r w:rsidRPr="00A9558A">
              <w:rPr>
                <w:sz w:val="16"/>
                <w:szCs w:val="16"/>
                <w:lang w:val="es-ES_tradnl"/>
              </w:rPr>
              <w:tab/>
              <w:t>Marcos de P.I. adaptados y equilibrados en el ámbito legislativo, reglamentario y de política</w:t>
            </w:r>
          </w:p>
        </w:tc>
      </w:tr>
      <w:tr w:rsidR="00525604" w:rsidRPr="00A9558A" w:rsidTr="00C13FC7">
        <w:tc>
          <w:tcPr>
            <w:tcW w:w="1701" w:type="dxa"/>
            <w:tcBorders>
              <w:top w:val="single" w:sz="4" w:space="0" w:color="auto"/>
            </w:tcBorders>
            <w:shd w:val="clear" w:color="auto" w:fill="auto"/>
            <w:vAlign w:val="center"/>
          </w:tcPr>
          <w:p w:rsidR="00525604" w:rsidRPr="00A9558A" w:rsidRDefault="00525604" w:rsidP="00853209">
            <w:pPr>
              <w:spacing w:after="40"/>
              <w:rPr>
                <w:rFonts w:cs="Arial"/>
                <w:color w:val="808080"/>
                <w:sz w:val="16"/>
                <w:szCs w:val="16"/>
                <w:lang w:val="es-ES_tradnl"/>
              </w:rPr>
            </w:pPr>
            <w:r w:rsidRPr="00A9558A">
              <w:rPr>
                <w:b/>
                <w:sz w:val="16"/>
                <w:szCs w:val="16"/>
                <w:lang w:val="es-ES_tradnl"/>
              </w:rPr>
              <w:t>Indicadores de rendimiento</w:t>
            </w:r>
          </w:p>
        </w:tc>
        <w:tc>
          <w:tcPr>
            <w:tcW w:w="1843" w:type="dxa"/>
            <w:gridSpan w:val="2"/>
            <w:tcBorders>
              <w:top w:val="single" w:sz="4" w:space="0" w:color="auto"/>
            </w:tcBorders>
            <w:shd w:val="clear" w:color="auto" w:fill="auto"/>
            <w:vAlign w:val="center"/>
          </w:tcPr>
          <w:p w:rsidR="00525604" w:rsidRPr="00A9558A" w:rsidRDefault="00525604" w:rsidP="00853209">
            <w:pPr>
              <w:spacing w:after="40"/>
              <w:rPr>
                <w:rFonts w:cs="Arial"/>
                <w:b/>
                <w:bCs/>
                <w:color w:val="808080"/>
                <w:sz w:val="16"/>
                <w:szCs w:val="16"/>
                <w:lang w:val="es-ES_tradnl"/>
              </w:rPr>
            </w:pPr>
            <w:r w:rsidRPr="00A9558A">
              <w:rPr>
                <w:b/>
                <w:sz w:val="16"/>
                <w:szCs w:val="16"/>
                <w:lang w:val="es-ES_tradnl"/>
              </w:rPr>
              <w:t>Referencia</w:t>
            </w:r>
          </w:p>
        </w:tc>
        <w:tc>
          <w:tcPr>
            <w:tcW w:w="1559" w:type="dxa"/>
            <w:gridSpan w:val="2"/>
            <w:tcBorders>
              <w:top w:val="single" w:sz="4" w:space="0" w:color="auto"/>
            </w:tcBorders>
            <w:shd w:val="clear" w:color="auto" w:fill="auto"/>
            <w:tcMar>
              <w:top w:w="110" w:type="dxa"/>
            </w:tcMar>
            <w:vAlign w:val="center"/>
          </w:tcPr>
          <w:p w:rsidR="00525604" w:rsidRPr="00A9558A" w:rsidRDefault="00525604" w:rsidP="00853209">
            <w:pPr>
              <w:spacing w:after="40"/>
              <w:rPr>
                <w:rFonts w:cs="Arial"/>
                <w:b/>
                <w:color w:val="808080"/>
                <w:sz w:val="16"/>
                <w:szCs w:val="16"/>
                <w:lang w:val="es-ES_tradnl"/>
              </w:rPr>
            </w:pPr>
            <w:r w:rsidRPr="00A9558A">
              <w:rPr>
                <w:b/>
                <w:sz w:val="16"/>
                <w:szCs w:val="16"/>
                <w:lang w:val="es-ES_tradnl"/>
              </w:rPr>
              <w:t>Objetivos</w:t>
            </w:r>
          </w:p>
        </w:tc>
        <w:tc>
          <w:tcPr>
            <w:tcW w:w="2978" w:type="dxa"/>
            <w:gridSpan w:val="3"/>
            <w:tcBorders>
              <w:top w:val="single" w:sz="4" w:space="0" w:color="auto"/>
            </w:tcBorders>
            <w:shd w:val="clear" w:color="auto" w:fill="FFFFFF"/>
            <w:tcMar>
              <w:top w:w="110" w:type="dxa"/>
            </w:tcMar>
            <w:vAlign w:val="center"/>
          </w:tcPr>
          <w:p w:rsidR="00525604" w:rsidRPr="00A9558A" w:rsidRDefault="00525604" w:rsidP="00853209">
            <w:pPr>
              <w:spacing w:after="40"/>
              <w:rPr>
                <w:rFonts w:cs="Arial"/>
                <w:color w:val="808080"/>
                <w:sz w:val="16"/>
                <w:szCs w:val="16"/>
                <w:lang w:val="es-ES_tradnl"/>
              </w:rPr>
            </w:pPr>
            <w:r w:rsidRPr="00A9558A">
              <w:rPr>
                <w:b/>
                <w:sz w:val="16"/>
                <w:szCs w:val="16"/>
                <w:lang w:val="es-ES_tradnl"/>
              </w:rPr>
              <w:t>Datos sobre el rendimiento</w:t>
            </w:r>
          </w:p>
        </w:tc>
        <w:tc>
          <w:tcPr>
            <w:tcW w:w="1276" w:type="dxa"/>
            <w:gridSpan w:val="2"/>
            <w:tcBorders>
              <w:top w:val="single" w:sz="4" w:space="0" w:color="auto"/>
            </w:tcBorders>
            <w:shd w:val="clear" w:color="auto" w:fill="auto"/>
            <w:tcMar>
              <w:top w:w="110" w:type="dxa"/>
            </w:tcMar>
            <w:vAlign w:val="center"/>
          </w:tcPr>
          <w:p w:rsidR="00525604" w:rsidRPr="00A9558A" w:rsidRDefault="00525604" w:rsidP="00853209">
            <w:pPr>
              <w:keepNext/>
              <w:keepLines/>
              <w:spacing w:after="40"/>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peticiones de asesoramiento en materia legislativa, y tipos de asesoramiento brindado en relación con las patentes, los modelos de utilidad, los secretos comerciales y los circuitos integrados, incluidas las flexibilidades pertinentes en materia de P.I.</w:t>
            </w:r>
          </w:p>
        </w:tc>
        <w:tc>
          <w:tcPr>
            <w:tcW w:w="1843" w:type="dxa"/>
            <w:gridSpan w:val="2"/>
            <w:shd w:val="clear" w:color="auto" w:fill="auto"/>
          </w:tcPr>
          <w:p w:rsidR="00525604" w:rsidRPr="00A9558A" w:rsidRDefault="00525604" w:rsidP="00853209">
            <w:pPr>
              <w:rPr>
                <w:rFonts w:cs="Arial"/>
                <w:i/>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color w:val="002060"/>
                <w:sz w:val="16"/>
                <w:szCs w:val="16"/>
                <w:lang w:val="es-ES_tradnl"/>
              </w:rPr>
              <w:t xml:space="preserve">  En 2011 se proporcionaron 10 comentarios por escrito a los Estados miembros. </w:t>
            </w:r>
            <w:r w:rsidR="00537926" w:rsidRPr="00A9558A">
              <w:rPr>
                <w:color w:val="002060"/>
                <w:sz w:val="16"/>
                <w:szCs w:val="16"/>
                <w:lang w:val="es-ES_tradnl"/>
              </w:rPr>
              <w:t xml:space="preserve"> </w:t>
            </w:r>
            <w:r w:rsidRPr="000250A9">
              <w:rPr>
                <w:color w:val="002060"/>
                <w:sz w:val="16"/>
                <w:szCs w:val="16"/>
                <w:lang w:val="es-ES_tradnl"/>
              </w:rPr>
              <w:t>Además, se organizaron 8 actividades con el fin de debatir, revisar y redactar textos jurídicos o analizar opciones de política.</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Referencia original Presup. por prog. 2012/13:</w:t>
            </w:r>
            <w:r w:rsidRPr="00A9558A">
              <w:rPr>
                <w:sz w:val="16"/>
                <w:szCs w:val="16"/>
                <w:lang w:val="es-ES_tradnl"/>
              </w:rPr>
              <w:t xml:space="preserve">  En 2010, se proporcionaron 12 comentarios a los Estados miembros.</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25 comentarios sobre</w:t>
            </w:r>
          </w:p>
          <w:p w:rsidR="00525604" w:rsidRPr="00A9558A" w:rsidRDefault="00525604" w:rsidP="00853209">
            <w:pPr>
              <w:rPr>
                <w:rFonts w:cs="Arial"/>
                <w:sz w:val="16"/>
                <w:szCs w:val="16"/>
                <w:lang w:val="es-ES_tradnl"/>
              </w:rPr>
            </w:pPr>
            <w:r w:rsidRPr="00A9558A">
              <w:rPr>
                <w:sz w:val="16"/>
                <w:szCs w:val="16"/>
                <w:lang w:val="es-ES_tradnl"/>
              </w:rPr>
              <w:t>proyectos preparados por los Estados miembros y 10 proyectos de ley redactados por la Secretaría (en 2012/13) (desglose regional por determinar)</w:t>
            </w:r>
          </w:p>
        </w:tc>
        <w:tc>
          <w:tcPr>
            <w:tcW w:w="2978" w:type="dxa"/>
            <w:gridSpan w:val="3"/>
            <w:shd w:val="clear" w:color="auto" w:fill="FFFFFF"/>
            <w:tcMar>
              <w:top w:w="110" w:type="dxa"/>
            </w:tcMar>
          </w:tcPr>
          <w:p w:rsidR="00525604" w:rsidRPr="00A9558A" w:rsidRDefault="00525604" w:rsidP="00EF4041">
            <w:pPr>
              <w:rPr>
                <w:rFonts w:cs="Arial"/>
                <w:sz w:val="16"/>
                <w:szCs w:val="16"/>
                <w:lang w:val="es-ES_tradnl"/>
              </w:rPr>
            </w:pPr>
            <w:r w:rsidRPr="00A9558A">
              <w:rPr>
                <w:sz w:val="16"/>
                <w:szCs w:val="16"/>
                <w:lang w:val="es-ES_tradnl"/>
              </w:rPr>
              <w:t>Se brindaron 18 comentarios por escrito/proyectos de ley sobre patentes a los Estados miembros</w:t>
            </w:r>
          </w:p>
          <w:p w:rsidR="00525604" w:rsidRPr="00A9558A" w:rsidRDefault="00525604" w:rsidP="00525604">
            <w:pPr>
              <w:pStyle w:val="ListParagraph"/>
              <w:numPr>
                <w:ilvl w:val="0"/>
                <w:numId w:val="25"/>
              </w:numPr>
              <w:ind w:left="336" w:hanging="284"/>
              <w:jc w:val="both"/>
              <w:rPr>
                <w:rFonts w:cs="Arial"/>
                <w:sz w:val="16"/>
                <w:szCs w:val="16"/>
                <w:lang w:val="es-ES_tradnl"/>
              </w:rPr>
            </w:pPr>
            <w:r w:rsidRPr="00A9558A">
              <w:rPr>
                <w:sz w:val="16"/>
                <w:szCs w:val="16"/>
                <w:lang w:val="es-ES_tradnl"/>
              </w:rPr>
              <w:t xml:space="preserve">África (3) </w:t>
            </w:r>
          </w:p>
          <w:p w:rsidR="00525604" w:rsidRPr="00A9558A" w:rsidRDefault="00525604" w:rsidP="00525604">
            <w:pPr>
              <w:pStyle w:val="ListParagraph"/>
              <w:numPr>
                <w:ilvl w:val="0"/>
                <w:numId w:val="25"/>
              </w:numPr>
              <w:ind w:left="336" w:hanging="284"/>
              <w:jc w:val="both"/>
              <w:rPr>
                <w:rFonts w:cs="Arial"/>
                <w:sz w:val="16"/>
                <w:szCs w:val="16"/>
                <w:lang w:val="es-ES_tradnl"/>
              </w:rPr>
            </w:pPr>
            <w:r w:rsidRPr="00A9558A">
              <w:rPr>
                <w:sz w:val="16"/>
                <w:szCs w:val="16"/>
                <w:lang w:val="es-ES_tradnl"/>
              </w:rPr>
              <w:t>Asia y el Pacífico (9)</w:t>
            </w:r>
          </w:p>
          <w:p w:rsidR="00525604" w:rsidRPr="00A9558A" w:rsidRDefault="00525604" w:rsidP="00525604">
            <w:pPr>
              <w:pStyle w:val="ListParagraph"/>
              <w:numPr>
                <w:ilvl w:val="0"/>
                <w:numId w:val="25"/>
              </w:numPr>
              <w:ind w:left="336" w:hanging="284"/>
              <w:rPr>
                <w:rFonts w:cs="Arial"/>
                <w:sz w:val="16"/>
                <w:szCs w:val="16"/>
                <w:lang w:val="es-ES_tradnl"/>
              </w:rPr>
            </w:pPr>
            <w:r w:rsidRPr="00A9558A">
              <w:rPr>
                <w:sz w:val="16"/>
                <w:szCs w:val="16"/>
                <w:lang w:val="es-ES_tradnl"/>
              </w:rPr>
              <w:t>América Latina y el Caribe (6)</w:t>
            </w:r>
          </w:p>
          <w:p w:rsidR="00525604" w:rsidRPr="00A9558A" w:rsidRDefault="00525604" w:rsidP="00853209">
            <w:pPr>
              <w:pStyle w:val="ListParagraph"/>
              <w:ind w:left="336"/>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Además, con el fin de debatir, revisar y redactar textos jurídicos o analizar opciones de política, se organizó un creciente número de consultas con las autoridades y otros sectores interesados </w:t>
            </w:r>
          </w:p>
          <w:p w:rsidR="00525604" w:rsidRPr="00A9558A" w:rsidRDefault="00525604" w:rsidP="00525604">
            <w:pPr>
              <w:pStyle w:val="ListParagraph"/>
              <w:numPr>
                <w:ilvl w:val="0"/>
                <w:numId w:val="26"/>
              </w:numPr>
              <w:ind w:left="336" w:hanging="283"/>
              <w:jc w:val="both"/>
              <w:rPr>
                <w:rFonts w:cs="Arial"/>
                <w:sz w:val="16"/>
                <w:szCs w:val="16"/>
                <w:lang w:val="es-ES_tradnl"/>
              </w:rPr>
            </w:pPr>
            <w:r w:rsidRPr="00A9558A">
              <w:rPr>
                <w:sz w:val="16"/>
                <w:szCs w:val="16"/>
                <w:lang w:val="es-ES_tradnl"/>
              </w:rPr>
              <w:t>África (4)</w:t>
            </w:r>
          </w:p>
          <w:p w:rsidR="00525604" w:rsidRPr="00A9558A" w:rsidRDefault="00525604" w:rsidP="00525604">
            <w:pPr>
              <w:pStyle w:val="ListParagraph"/>
              <w:numPr>
                <w:ilvl w:val="0"/>
                <w:numId w:val="26"/>
              </w:numPr>
              <w:ind w:left="336" w:hanging="283"/>
              <w:jc w:val="both"/>
              <w:rPr>
                <w:rFonts w:cs="Arial"/>
                <w:sz w:val="16"/>
                <w:szCs w:val="16"/>
                <w:lang w:val="es-ES_tradnl"/>
              </w:rPr>
            </w:pPr>
            <w:r w:rsidRPr="00A9558A">
              <w:rPr>
                <w:sz w:val="16"/>
                <w:szCs w:val="16"/>
                <w:lang w:val="es-ES_tradnl"/>
              </w:rPr>
              <w:t>Asia y el Pacífico (9)</w:t>
            </w:r>
          </w:p>
          <w:p w:rsidR="00525604" w:rsidRPr="00A9558A" w:rsidRDefault="00525604" w:rsidP="00525604">
            <w:pPr>
              <w:pStyle w:val="ListParagraph"/>
              <w:numPr>
                <w:ilvl w:val="0"/>
                <w:numId w:val="26"/>
              </w:numPr>
              <w:ind w:left="336" w:hanging="283"/>
              <w:jc w:val="both"/>
              <w:rPr>
                <w:rFonts w:cs="Arial"/>
                <w:sz w:val="16"/>
                <w:szCs w:val="16"/>
                <w:lang w:val="es-ES_tradnl"/>
              </w:rPr>
            </w:pPr>
            <w:r w:rsidRPr="00A9558A">
              <w:rPr>
                <w:sz w:val="16"/>
                <w:szCs w:val="16"/>
                <w:lang w:val="es-ES_tradnl"/>
              </w:rPr>
              <w:t>América Latina y el Caribe (7)</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países que consideraron útil el asesoramiento en materia legislativa relacionado con las patentes, los modelos de utilidad, los secretos comerciales y los circuitos integrados.</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No se dispone de datos.</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90%</w:t>
            </w:r>
          </w:p>
        </w:tc>
        <w:tc>
          <w:tcPr>
            <w:tcW w:w="2978"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Una encuesta realizada por la DASI en la que participó un número representativo de Estados miembros que recibieron asesoramiento legislativo por parte de la OMPI y los cuestionarios de evaluación recibidos por la Secretaría demuestran un nivel de satisfacción superior al 90% por lo que respecta a la calidad de la asistencia proporcionada.  Se ha establecido un mecanismo para una evaluación sistemática para el bienio 2014/15.</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 xml:space="preserve">Porcentaje de países que consideraron útil la información proporcionada en relación con los principios y prácticas del sistema de patentes, y ello </w:t>
            </w:r>
            <w:r w:rsidRPr="00A9558A">
              <w:rPr>
                <w:sz w:val="16"/>
                <w:szCs w:val="16"/>
                <w:lang w:val="es-ES_tradnl"/>
              </w:rPr>
              <w:lastRenderedPageBreak/>
              <w:t>incluye las flexibilidades que ofrece el sistema y los desafíos que se plantean en la materia.</w:t>
            </w:r>
          </w:p>
        </w:tc>
        <w:tc>
          <w:tcPr>
            <w:tcW w:w="1843" w:type="dxa"/>
            <w:gridSpan w:val="2"/>
            <w:shd w:val="clear" w:color="auto" w:fill="auto"/>
          </w:tcPr>
          <w:p w:rsidR="00525604" w:rsidRPr="00A9558A" w:rsidRDefault="00525604" w:rsidP="00853209">
            <w:pPr>
              <w:rPr>
                <w:rFonts w:cs="Arial"/>
                <w:color w:val="002060"/>
                <w:sz w:val="16"/>
                <w:szCs w:val="16"/>
                <w:lang w:val="es-ES_tradnl"/>
              </w:rPr>
            </w:pPr>
            <w:r w:rsidRPr="00A9558A">
              <w:rPr>
                <w:i/>
                <w:color w:val="002060"/>
                <w:sz w:val="16"/>
                <w:szCs w:val="16"/>
                <w:lang w:val="es-ES_tradnl"/>
              </w:rPr>
              <w:lastRenderedPageBreak/>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color w:val="002060"/>
                <w:sz w:val="16"/>
                <w:szCs w:val="16"/>
                <w:lang w:val="es-ES_tradnl"/>
              </w:rPr>
              <w:t xml:space="preserve">  Los informes del SCP y del CDIP permiten conocer las opiniones de los Estados miembros (no se dispone de estadísticas)</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Referencia original Presup. por prog. 2012/13:</w:t>
            </w:r>
            <w:r w:rsidRPr="00A9558A">
              <w:rPr>
                <w:sz w:val="16"/>
                <w:szCs w:val="16"/>
                <w:lang w:val="es-ES_tradnl"/>
              </w:rPr>
              <w:t xml:space="preserve">  No se dispone de datos.</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lastRenderedPageBreak/>
              <w:t>90%</w:t>
            </w:r>
          </w:p>
        </w:tc>
        <w:tc>
          <w:tcPr>
            <w:tcW w:w="2978"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Todos los comentarios recibidos señalaban que la información facilitada resultó útil.  De acuerdo con una encuesta organizada conjuntamente con la evaluación del programa 1 por la DASI, más del 90% de los encuestados calificó de "excelente" o "buena" la calidad de los documentos sustantivos preparados </w:t>
            </w:r>
            <w:r w:rsidRPr="00A9558A">
              <w:rPr>
                <w:sz w:val="16"/>
                <w:szCs w:val="16"/>
                <w:lang w:val="es-ES_tradnl"/>
              </w:rPr>
              <w:lastRenderedPageBreak/>
              <w:t>por la Secretaría.</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lastRenderedPageBreak/>
              <w:t>Plenamente logrado</w:t>
            </w:r>
          </w:p>
        </w:tc>
      </w:tr>
      <w:tr w:rsidR="00525604" w:rsidRPr="00A9558A" w:rsidTr="00C13FC7">
        <w:tc>
          <w:tcPr>
            <w:tcW w:w="1701" w:type="dxa"/>
            <w:shd w:val="clear" w:color="auto" w:fill="FFFFFF"/>
          </w:tcPr>
          <w:p w:rsidR="00525604" w:rsidRPr="00A9558A" w:rsidRDefault="00525604" w:rsidP="00853209">
            <w:pPr>
              <w:keepNext/>
              <w:keepLines/>
              <w:rPr>
                <w:rFonts w:cs="Arial"/>
                <w:sz w:val="16"/>
                <w:szCs w:val="16"/>
                <w:lang w:val="es-ES_tradnl"/>
              </w:rPr>
            </w:pPr>
            <w:r w:rsidRPr="00A9558A">
              <w:rPr>
                <w:sz w:val="16"/>
                <w:szCs w:val="16"/>
                <w:lang w:val="es-ES_tradnl"/>
              </w:rPr>
              <w:lastRenderedPageBreak/>
              <w:t xml:space="preserve">Porcentaje de participantes en talleres/seminarios sobre cuestiones específicas relacionadas con las patentes que expresaron satisfacción al respecto. </w:t>
            </w:r>
          </w:p>
        </w:tc>
        <w:tc>
          <w:tcPr>
            <w:tcW w:w="1843" w:type="dxa"/>
            <w:gridSpan w:val="2"/>
            <w:shd w:val="clear" w:color="auto" w:fill="auto"/>
          </w:tcPr>
          <w:p w:rsidR="00525604" w:rsidRPr="00A9558A" w:rsidRDefault="00525604" w:rsidP="00853209">
            <w:pPr>
              <w:keepNext/>
              <w:keepLines/>
              <w:rPr>
                <w:rFonts w:cs="Arial"/>
                <w:sz w:val="16"/>
                <w:szCs w:val="16"/>
                <w:lang w:val="es-ES_tradnl"/>
              </w:rPr>
            </w:pPr>
            <w:r w:rsidRPr="00A9558A">
              <w:rPr>
                <w:sz w:val="16"/>
                <w:szCs w:val="16"/>
                <w:lang w:val="es-ES_tradnl"/>
              </w:rPr>
              <w:t>No se dispone de datos.</w:t>
            </w:r>
          </w:p>
        </w:tc>
        <w:tc>
          <w:tcPr>
            <w:tcW w:w="1559" w:type="dxa"/>
            <w:gridSpan w:val="2"/>
            <w:shd w:val="clear" w:color="auto" w:fill="auto"/>
            <w:tcMar>
              <w:top w:w="110" w:type="dxa"/>
            </w:tcMar>
          </w:tcPr>
          <w:p w:rsidR="00525604" w:rsidRPr="00A9558A" w:rsidRDefault="00525604" w:rsidP="00853209">
            <w:pPr>
              <w:keepNext/>
              <w:keepLines/>
              <w:rPr>
                <w:rFonts w:cs="Arial"/>
                <w:sz w:val="16"/>
                <w:szCs w:val="16"/>
                <w:lang w:val="es-ES_tradnl"/>
              </w:rPr>
            </w:pPr>
            <w:r w:rsidRPr="00A9558A">
              <w:rPr>
                <w:sz w:val="16"/>
                <w:szCs w:val="16"/>
                <w:lang w:val="es-ES_tradnl"/>
              </w:rPr>
              <w:t>90%</w:t>
            </w:r>
          </w:p>
        </w:tc>
        <w:tc>
          <w:tcPr>
            <w:tcW w:w="2978" w:type="dxa"/>
            <w:gridSpan w:val="3"/>
            <w:shd w:val="clear" w:color="auto" w:fill="FFFFFF"/>
            <w:tcMar>
              <w:top w:w="110" w:type="dxa"/>
            </w:tcMar>
          </w:tcPr>
          <w:p w:rsidR="00525604" w:rsidRPr="00A9558A" w:rsidRDefault="00525604" w:rsidP="00853209">
            <w:pPr>
              <w:keepNext/>
              <w:keepLines/>
              <w:rPr>
                <w:rFonts w:cs="Arial"/>
                <w:sz w:val="16"/>
                <w:szCs w:val="16"/>
                <w:lang w:val="es-ES_tradnl"/>
              </w:rPr>
            </w:pPr>
            <w:r w:rsidRPr="00A9558A">
              <w:rPr>
                <w:sz w:val="16"/>
                <w:szCs w:val="16"/>
                <w:lang w:val="es-ES_tradnl"/>
              </w:rPr>
              <w:t xml:space="preserve">El 92,5% de los participantes en talleres y seminarios organizados por el programa se mostraron satisfechos con los eventos organizados. </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color w:val="000000"/>
                <w:sz w:val="16"/>
                <w:szCs w:val="16"/>
                <w:lang w:val="es-ES_tradnl"/>
              </w:rPr>
            </w:pPr>
            <w:r w:rsidRPr="00A9558A">
              <w:rPr>
                <w:sz w:val="16"/>
                <w:szCs w:val="16"/>
                <w:lang w:val="es-ES_tradnl"/>
              </w:rPr>
              <w:t>Número de Estados miembros que recibieron asesoramiento en materia legislativa en la esfera de las marcas, los dibujos y modelos industriales y las indicaciones geográficas.</w:t>
            </w:r>
            <w:r w:rsidRPr="00A9558A">
              <w:rPr>
                <w:color w:val="000000"/>
                <w:sz w:val="16"/>
                <w:szCs w:val="16"/>
                <w:lang w:val="es-ES_tradnl"/>
              </w:rPr>
              <w:t xml:space="preserve"> </w:t>
            </w:r>
          </w:p>
        </w:tc>
        <w:tc>
          <w:tcPr>
            <w:tcW w:w="1843" w:type="dxa"/>
            <w:gridSpan w:val="2"/>
            <w:shd w:val="clear" w:color="auto" w:fill="auto"/>
          </w:tcPr>
          <w:p w:rsidR="00525604" w:rsidRPr="00A9558A" w:rsidRDefault="00525604" w:rsidP="00853209">
            <w:pPr>
              <w:rPr>
                <w:rFonts w:cs="Arial"/>
                <w:color w:val="002060"/>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19 (2010)</w:t>
            </w:r>
          </w:p>
          <w:p w:rsidR="00525604" w:rsidRPr="00A9558A" w:rsidRDefault="00525604" w:rsidP="00853209">
            <w:pPr>
              <w:rPr>
                <w:rFonts w:cs="Arial"/>
                <w:color w:val="002060"/>
                <w:sz w:val="16"/>
                <w:szCs w:val="16"/>
                <w:lang w:val="es-ES_tradnl"/>
              </w:rPr>
            </w:pPr>
            <w:r w:rsidRPr="00A9558A">
              <w:rPr>
                <w:color w:val="002060"/>
                <w:sz w:val="16"/>
                <w:szCs w:val="16"/>
                <w:lang w:val="es-ES_tradnl"/>
              </w:rPr>
              <w:t>20 (2011)</w:t>
            </w:r>
          </w:p>
          <w:p w:rsidR="00525604" w:rsidRPr="00A9558A" w:rsidRDefault="00525604" w:rsidP="00853209">
            <w:pPr>
              <w:rPr>
                <w:rFonts w:cs="Arial"/>
                <w:i/>
                <w:sz w:val="16"/>
                <w:szCs w:val="16"/>
                <w:lang w:val="es-ES_tradnl"/>
              </w:rPr>
            </w:pPr>
          </w:p>
          <w:p w:rsidR="00525604" w:rsidRPr="00A9558A" w:rsidRDefault="00525604" w:rsidP="00853209">
            <w:pPr>
              <w:rPr>
                <w:rFonts w:cs="Arial"/>
                <w:i/>
                <w:sz w:val="16"/>
                <w:szCs w:val="16"/>
                <w:lang w:val="es-ES_tradnl"/>
              </w:rPr>
            </w:pPr>
            <w:r w:rsidRPr="00A9558A">
              <w:rPr>
                <w:i/>
                <w:sz w:val="16"/>
                <w:szCs w:val="16"/>
                <w:lang w:val="es-ES_tradnl"/>
              </w:rPr>
              <w:t>Referencia original Presup. por prog. 2012/13:</w:t>
            </w:r>
          </w:p>
          <w:p w:rsidR="00525604" w:rsidRPr="00A9558A" w:rsidRDefault="00525604" w:rsidP="00853209">
            <w:pPr>
              <w:rPr>
                <w:rFonts w:cs="Arial"/>
                <w:sz w:val="16"/>
                <w:szCs w:val="16"/>
                <w:lang w:val="es-ES_tradnl"/>
              </w:rPr>
            </w:pPr>
            <w:r w:rsidRPr="00A9558A">
              <w:rPr>
                <w:sz w:val="16"/>
                <w:szCs w:val="16"/>
                <w:lang w:val="es-ES_tradnl"/>
              </w:rPr>
              <w:t>18 (2010)</w:t>
            </w:r>
          </w:p>
          <w:p w:rsidR="00525604" w:rsidRPr="00A9558A" w:rsidRDefault="00525604" w:rsidP="00853209">
            <w:pPr>
              <w:rPr>
                <w:rFonts w:cs="Arial"/>
                <w:sz w:val="16"/>
                <w:szCs w:val="16"/>
                <w:lang w:val="es-ES_tradnl"/>
              </w:rPr>
            </w:pPr>
            <w:r w:rsidRPr="00A9558A">
              <w:rPr>
                <w:sz w:val="16"/>
                <w:szCs w:val="16"/>
                <w:lang w:val="es-ES_tradnl"/>
              </w:rPr>
              <w:t>19 (2011)</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Asesoramiento en materia legislativa</w:t>
            </w:r>
          </w:p>
          <w:p w:rsidR="00525604" w:rsidRPr="00A9558A" w:rsidRDefault="00525604" w:rsidP="00853209">
            <w:pPr>
              <w:rPr>
                <w:rFonts w:cs="Arial"/>
                <w:sz w:val="16"/>
                <w:szCs w:val="16"/>
                <w:lang w:val="es-ES_tradnl"/>
              </w:rPr>
            </w:pPr>
            <w:r w:rsidRPr="00A9558A">
              <w:rPr>
                <w:sz w:val="16"/>
                <w:szCs w:val="16"/>
                <w:lang w:val="es-ES_tradnl"/>
              </w:rPr>
              <w:t>proporcionado a 38 Estados miembros y/o grupos regionales de Estados miembros (en 2012/13) (desglose regional por determinar)</w:t>
            </w:r>
          </w:p>
        </w:tc>
        <w:tc>
          <w:tcPr>
            <w:tcW w:w="2978"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2012:  Se proporcionó asesoramiento a 11 Estados miembros sobre 18 proyectos de legislación específicos (África (2);  Países Árabes (1);  Asia y el Pacífico (1);  América Latina y el Caribe (7)).</w:t>
            </w:r>
          </w:p>
          <w:p w:rsidR="00525604" w:rsidRPr="00A9558A" w:rsidRDefault="00525604" w:rsidP="00853209">
            <w:pPr>
              <w:rPr>
                <w:rFonts w:cs="Arial"/>
                <w:sz w:val="16"/>
                <w:szCs w:val="16"/>
                <w:lang w:val="es-ES_tradnl"/>
              </w:rPr>
            </w:pPr>
          </w:p>
          <w:p w:rsidR="00525604" w:rsidRPr="00A9558A" w:rsidRDefault="00525604" w:rsidP="00EF4041">
            <w:pPr>
              <w:rPr>
                <w:rFonts w:cs="Arial"/>
                <w:sz w:val="16"/>
                <w:szCs w:val="16"/>
                <w:lang w:val="es-ES_tradnl"/>
              </w:rPr>
            </w:pPr>
            <w:r w:rsidRPr="00A9558A">
              <w:rPr>
                <w:sz w:val="16"/>
                <w:szCs w:val="16"/>
                <w:lang w:val="es-ES_tradnl"/>
              </w:rPr>
              <w:t xml:space="preserve">2013: </w:t>
            </w:r>
            <w:r w:rsidR="007E4D96" w:rsidRPr="00A9558A">
              <w:rPr>
                <w:sz w:val="16"/>
                <w:szCs w:val="16"/>
                <w:lang w:val="es-ES_tradnl"/>
              </w:rPr>
              <w:t xml:space="preserve"> </w:t>
            </w:r>
            <w:r w:rsidRPr="00A9558A">
              <w:rPr>
                <w:sz w:val="16"/>
                <w:szCs w:val="16"/>
                <w:lang w:val="es-ES_tradnl"/>
              </w:rPr>
              <w:t>Se proporcionó asesoramiento a 13 Estados miembros sobre 18 proyectos de leg</w:t>
            </w:r>
            <w:r w:rsidR="00EF4041" w:rsidRPr="00A9558A">
              <w:rPr>
                <w:sz w:val="16"/>
                <w:szCs w:val="16"/>
                <w:lang w:val="es-ES_tradnl"/>
              </w:rPr>
              <w:t xml:space="preserve">islación específicos (África, </w:t>
            </w:r>
            <w:r w:rsidRPr="00A9558A">
              <w:rPr>
                <w:sz w:val="16"/>
                <w:szCs w:val="16"/>
                <w:lang w:val="es-ES_tradnl"/>
              </w:rPr>
              <w:t xml:space="preserve">2; </w:t>
            </w:r>
            <w:r w:rsidR="00267DA6" w:rsidRPr="00A9558A">
              <w:rPr>
                <w:sz w:val="16"/>
                <w:szCs w:val="16"/>
                <w:lang w:val="es-ES_tradnl"/>
              </w:rPr>
              <w:t xml:space="preserve"> </w:t>
            </w:r>
            <w:r w:rsidRPr="00A9558A">
              <w:rPr>
                <w:sz w:val="16"/>
                <w:szCs w:val="16"/>
                <w:lang w:val="es-ES_tradnl"/>
              </w:rPr>
              <w:t>Asia y el Pacífico</w:t>
            </w:r>
            <w:r w:rsidR="00EF4041" w:rsidRPr="00A9558A">
              <w:rPr>
                <w:sz w:val="16"/>
                <w:szCs w:val="16"/>
                <w:lang w:val="es-ES_tradnl"/>
              </w:rPr>
              <w:t>,</w:t>
            </w:r>
            <w:r w:rsidRPr="00A9558A">
              <w:rPr>
                <w:sz w:val="16"/>
                <w:szCs w:val="16"/>
                <w:lang w:val="es-ES_tradnl"/>
              </w:rPr>
              <w:t xml:space="preserve"> 8, y América Latina y el Caribe</w:t>
            </w:r>
            <w:r w:rsidR="00EF4041" w:rsidRPr="00A9558A">
              <w:rPr>
                <w:sz w:val="16"/>
                <w:szCs w:val="16"/>
                <w:lang w:val="es-ES_tradnl"/>
              </w:rPr>
              <w:t>,</w:t>
            </w:r>
            <w:r w:rsidRPr="00A9558A">
              <w:rPr>
                <w:sz w:val="16"/>
                <w:szCs w:val="16"/>
                <w:lang w:val="es-ES_tradnl"/>
              </w:rPr>
              <w:t xml:space="preserve"> 3).</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E36C0A" w:themeColor="accent6" w:themeShade="BF"/>
                <w:sz w:val="16"/>
                <w:szCs w:val="16"/>
                <w:lang w:val="es-ES_tradnl"/>
              </w:rPr>
              <w:t>Parcialmente logrado</w:t>
            </w:r>
          </w:p>
        </w:tc>
      </w:tr>
      <w:tr w:rsidR="00525604" w:rsidRPr="00A9558A" w:rsidTr="00C13FC7">
        <w:tc>
          <w:tcPr>
            <w:tcW w:w="1701" w:type="dxa"/>
            <w:shd w:val="clear" w:color="auto" w:fill="FFFFFF"/>
          </w:tcPr>
          <w:p w:rsidR="00525604" w:rsidRPr="00A9558A" w:rsidRDefault="00525604" w:rsidP="00853209">
            <w:pPr>
              <w:rPr>
                <w:rFonts w:cs="Arial"/>
                <w:color w:val="000000"/>
                <w:sz w:val="16"/>
                <w:szCs w:val="16"/>
                <w:lang w:val="es-ES_tradnl"/>
              </w:rPr>
            </w:pPr>
            <w:r w:rsidRPr="00A9558A">
              <w:rPr>
                <w:sz w:val="16"/>
                <w:szCs w:val="16"/>
                <w:lang w:val="es-ES_tradnl"/>
              </w:rPr>
              <w:t>Número de países que presentaron comentarios positivos sobre la utilidad del asesoramiento proporcionado en materia legislativa en la esfera de las marcas, los dibujos y modelos industriales y las indicaciones geográficas.</w:t>
            </w:r>
            <w:r w:rsidRPr="00A9558A">
              <w:rPr>
                <w:color w:val="000000"/>
                <w:sz w:val="16"/>
                <w:szCs w:val="16"/>
                <w:lang w:val="es-ES_tradnl"/>
              </w:rPr>
              <w:t xml:space="preserve"> </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No se dispone de datos.</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70%</w:t>
            </w:r>
          </w:p>
        </w:tc>
        <w:tc>
          <w:tcPr>
            <w:tcW w:w="2978" w:type="dxa"/>
            <w:gridSpan w:val="3"/>
            <w:shd w:val="clear" w:color="auto" w:fill="FFFFFF"/>
            <w:tcMar>
              <w:top w:w="110" w:type="dxa"/>
            </w:tcMar>
          </w:tcPr>
          <w:p w:rsidR="00525604" w:rsidRPr="00A9558A" w:rsidRDefault="00525604" w:rsidP="00253889">
            <w:pPr>
              <w:rPr>
                <w:rFonts w:cs="Arial"/>
                <w:sz w:val="16"/>
                <w:szCs w:val="16"/>
                <w:lang w:val="es-ES_tradnl"/>
              </w:rPr>
            </w:pPr>
            <w:r w:rsidRPr="00A9558A">
              <w:rPr>
                <w:sz w:val="16"/>
                <w:szCs w:val="16"/>
                <w:lang w:val="es-ES_tradnl"/>
              </w:rPr>
              <w:t xml:space="preserve">Nueve de 13 países </w:t>
            </w:r>
            <w:r w:rsidR="00253889">
              <w:rPr>
                <w:sz w:val="16"/>
                <w:szCs w:val="16"/>
                <w:lang w:val="es-ES_tradnl"/>
              </w:rPr>
              <w:t>formularon</w:t>
            </w:r>
            <w:r w:rsidRPr="00A9558A">
              <w:rPr>
                <w:sz w:val="16"/>
                <w:szCs w:val="16"/>
                <w:lang w:val="es-ES_tradnl"/>
              </w:rPr>
              <w:t xml:space="preserve"> comentarios positivos.  Cuatro países no respondieron.</w:t>
            </w:r>
          </w:p>
        </w:tc>
        <w:tc>
          <w:tcPr>
            <w:tcW w:w="1276"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58A" w:rsidTr="00C13FC7">
        <w:tc>
          <w:tcPr>
            <w:tcW w:w="1701" w:type="dxa"/>
            <w:tcBorders>
              <w:bottom w:val="single" w:sz="4" w:space="0" w:color="auto"/>
            </w:tcBorders>
            <w:shd w:val="clear" w:color="auto" w:fill="FFFFFF"/>
          </w:tcPr>
          <w:p w:rsidR="00525604" w:rsidRPr="00A9558A" w:rsidRDefault="00525604" w:rsidP="00853209">
            <w:pPr>
              <w:rPr>
                <w:rFonts w:cs="Arial"/>
                <w:color w:val="000000"/>
                <w:sz w:val="16"/>
                <w:szCs w:val="16"/>
                <w:lang w:val="es-ES_tradnl"/>
              </w:rPr>
            </w:pPr>
            <w:r w:rsidRPr="00A9558A">
              <w:rPr>
                <w:sz w:val="16"/>
                <w:szCs w:val="16"/>
                <w:lang w:val="es-ES_tradnl"/>
              </w:rPr>
              <w:t>Número de países que han recibido asistencia técnica sobre marcos legislativos nuevos o actualizados de observancia de los derechos en los que se tienen en cuenta las flexibilidades previstas en la Parte III del Acuerdo sobre los ADPIC.</w:t>
            </w:r>
          </w:p>
        </w:tc>
        <w:tc>
          <w:tcPr>
            <w:tcW w:w="1843" w:type="dxa"/>
            <w:gridSpan w:val="2"/>
            <w:tcBorders>
              <w:bottom w:val="single" w:sz="4" w:space="0" w:color="auto"/>
            </w:tcBorders>
            <w:shd w:val="clear" w:color="auto" w:fill="auto"/>
          </w:tcPr>
          <w:p w:rsidR="00525604" w:rsidRPr="00A9558A" w:rsidRDefault="00525604" w:rsidP="00853209">
            <w:pPr>
              <w:rPr>
                <w:rFonts w:cs="Arial"/>
                <w:sz w:val="16"/>
                <w:szCs w:val="16"/>
                <w:lang w:val="es-ES_tradnl"/>
              </w:rPr>
            </w:pPr>
            <w:r w:rsidRPr="00A9558A">
              <w:rPr>
                <w:sz w:val="16"/>
                <w:szCs w:val="16"/>
                <w:lang w:val="es-ES_tradnl"/>
              </w:rPr>
              <w:t>Un grupo regional (África)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Un país (Asia)</w:t>
            </w:r>
          </w:p>
        </w:tc>
        <w:tc>
          <w:tcPr>
            <w:tcW w:w="1559" w:type="dxa"/>
            <w:gridSpan w:val="2"/>
            <w:tcBorders>
              <w:bottom w:val="single" w:sz="4" w:space="0" w:color="auto"/>
            </w:tcBorders>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Cuatro países</w:t>
            </w:r>
          </w:p>
          <w:p w:rsidR="00525604" w:rsidRPr="00A9558A" w:rsidRDefault="00525604" w:rsidP="00853209">
            <w:pPr>
              <w:rPr>
                <w:rFonts w:cs="Arial"/>
                <w:sz w:val="16"/>
                <w:szCs w:val="16"/>
                <w:lang w:val="es-ES_tradnl"/>
              </w:rPr>
            </w:pPr>
            <w:r w:rsidRPr="00A9558A">
              <w:rPr>
                <w:sz w:val="16"/>
                <w:szCs w:val="16"/>
                <w:lang w:val="es-ES_tradnl"/>
              </w:rPr>
              <w:t>(en 2012/13)</w:t>
            </w:r>
          </w:p>
        </w:tc>
        <w:tc>
          <w:tcPr>
            <w:tcW w:w="2978" w:type="dxa"/>
            <w:gridSpan w:val="3"/>
            <w:tcBorders>
              <w:bottom w:val="single" w:sz="4" w:space="0" w:color="auto"/>
            </w:tcBorders>
            <w:shd w:val="clear" w:color="auto" w:fill="FFFFFF"/>
            <w:tcMar>
              <w:top w:w="110" w:type="dxa"/>
            </w:tcMar>
          </w:tcPr>
          <w:p w:rsidR="00525604" w:rsidRPr="00A9558A" w:rsidRDefault="00525604" w:rsidP="00525604">
            <w:pPr>
              <w:pStyle w:val="ListParagraph"/>
              <w:numPr>
                <w:ilvl w:val="0"/>
                <w:numId w:val="18"/>
              </w:numPr>
              <w:ind w:left="315" w:hanging="315"/>
              <w:rPr>
                <w:rFonts w:cs="Arial"/>
                <w:sz w:val="16"/>
                <w:szCs w:val="16"/>
                <w:lang w:val="es-ES_tradnl"/>
              </w:rPr>
            </w:pPr>
            <w:r w:rsidRPr="00A9558A">
              <w:rPr>
                <w:sz w:val="16"/>
                <w:szCs w:val="16"/>
                <w:lang w:val="es-ES_tradnl"/>
              </w:rPr>
              <w:t>Un grupo regional (África) y nueve países - África (3), Asia y el Pacífico (5), América Latina y el Caribe (1) - recibieron comentarios en materia legislativa;</w:t>
            </w:r>
          </w:p>
          <w:p w:rsidR="00525604" w:rsidRPr="00A9558A" w:rsidRDefault="00525604" w:rsidP="00525604">
            <w:pPr>
              <w:pStyle w:val="ListParagraph"/>
              <w:numPr>
                <w:ilvl w:val="0"/>
                <w:numId w:val="18"/>
              </w:numPr>
              <w:ind w:left="315" w:hanging="315"/>
              <w:rPr>
                <w:rFonts w:cs="Arial"/>
                <w:sz w:val="16"/>
                <w:szCs w:val="16"/>
                <w:lang w:val="es-ES_tradnl"/>
              </w:rPr>
            </w:pPr>
            <w:r w:rsidRPr="00A9558A">
              <w:rPr>
                <w:sz w:val="16"/>
                <w:szCs w:val="16"/>
                <w:lang w:val="es-ES_tradnl"/>
              </w:rPr>
              <w:t xml:space="preserve">Se llevaron a cabo misiones de diagnóstico en dos países - África (1) y Asia y el Pacífico (1);  </w:t>
            </w:r>
            <w:r w:rsidR="00EF4041" w:rsidRPr="00A9558A">
              <w:rPr>
                <w:sz w:val="16"/>
                <w:szCs w:val="16"/>
                <w:lang w:val="es-ES_tradnl"/>
              </w:rPr>
              <w:t xml:space="preserve">los </w:t>
            </w:r>
            <w:r w:rsidRPr="00A9558A">
              <w:rPr>
                <w:sz w:val="16"/>
                <w:szCs w:val="16"/>
                <w:lang w:val="es-ES_tradnl"/>
              </w:rPr>
              <w:t>responsables de la redacción de textos jurídicos de cuatro Estados miembros - África (2) y Asia y el Pacífico (2) - fueron invitados a Ginebra.</w:t>
            </w:r>
          </w:p>
          <w:p w:rsidR="00525604" w:rsidRPr="00A9558A" w:rsidRDefault="00525604" w:rsidP="00853209">
            <w:pPr>
              <w:rPr>
                <w:rFonts w:cs="Arial"/>
                <w:sz w:val="16"/>
                <w:szCs w:val="16"/>
                <w:lang w:val="es-ES_tradnl"/>
              </w:rPr>
            </w:pPr>
          </w:p>
        </w:tc>
        <w:tc>
          <w:tcPr>
            <w:tcW w:w="1276" w:type="dxa"/>
            <w:gridSpan w:val="2"/>
            <w:tcBorders>
              <w:bottom w:val="single" w:sz="4" w:space="0" w:color="auto"/>
            </w:tcBorders>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008000"/>
                <w:sz w:val="16"/>
                <w:szCs w:val="16"/>
                <w:lang w:val="es-ES_tradnl"/>
              </w:rPr>
              <w:t>Plenamente logrado</w:t>
            </w:r>
          </w:p>
        </w:tc>
      </w:tr>
      <w:tr w:rsidR="00525604" w:rsidRPr="00A9508D" w:rsidTr="00C13FC7">
        <w:tc>
          <w:tcPr>
            <w:tcW w:w="9357" w:type="dxa"/>
            <w:gridSpan w:val="10"/>
            <w:tcBorders>
              <w:top w:val="single" w:sz="4" w:space="0" w:color="auto"/>
              <w:bottom w:val="single" w:sz="4" w:space="0" w:color="auto"/>
            </w:tcBorders>
            <w:shd w:val="clear" w:color="auto" w:fill="CCFFFF"/>
            <w:vAlign w:val="center"/>
          </w:tcPr>
          <w:p w:rsidR="00525604" w:rsidRPr="00A9558A" w:rsidRDefault="00525604" w:rsidP="00853209">
            <w:pPr>
              <w:keepNext/>
              <w:keepLines/>
              <w:tabs>
                <w:tab w:val="left" w:pos="1452"/>
              </w:tabs>
              <w:spacing w:before="120" w:after="120"/>
              <w:ind w:left="1452" w:hanging="1452"/>
              <w:rPr>
                <w:rFonts w:cs="Arial"/>
                <w:b/>
                <w:bCs/>
                <w:sz w:val="16"/>
                <w:szCs w:val="16"/>
                <w:lang w:val="es-ES_tradnl"/>
              </w:rPr>
            </w:pPr>
            <w:r w:rsidRPr="00A9558A">
              <w:rPr>
                <w:b/>
                <w:sz w:val="16"/>
                <w:szCs w:val="16"/>
                <w:lang w:val="es-ES_tradnl"/>
              </w:rPr>
              <w:t>Resultado previsto:</w:t>
            </w:r>
            <w:r w:rsidRPr="00A9558A">
              <w:rPr>
                <w:sz w:val="16"/>
                <w:szCs w:val="16"/>
                <w:lang w:val="es-ES_tradnl"/>
              </w:rPr>
              <w:tab/>
              <w:t>Mecanismos de cooperación, programas y asociaciones nuevos o consolidados en los PMA.</w:t>
            </w:r>
          </w:p>
        </w:tc>
      </w:tr>
      <w:tr w:rsidR="00525604" w:rsidRPr="00A9558A" w:rsidTr="00C13FC7">
        <w:tc>
          <w:tcPr>
            <w:tcW w:w="1701" w:type="dxa"/>
            <w:tcBorders>
              <w:top w:val="single" w:sz="4" w:space="0" w:color="auto"/>
            </w:tcBorders>
            <w:shd w:val="clear" w:color="auto" w:fill="auto"/>
            <w:vAlign w:val="center"/>
          </w:tcPr>
          <w:p w:rsidR="00525604" w:rsidRPr="00A9558A" w:rsidRDefault="00525604" w:rsidP="00853209">
            <w:pPr>
              <w:rPr>
                <w:rFonts w:cs="Arial"/>
                <w:color w:val="808080"/>
                <w:sz w:val="16"/>
                <w:szCs w:val="16"/>
                <w:lang w:val="es-ES_tradnl"/>
              </w:rPr>
            </w:pPr>
            <w:r w:rsidRPr="00A9558A">
              <w:rPr>
                <w:b/>
                <w:sz w:val="16"/>
                <w:szCs w:val="16"/>
                <w:lang w:val="es-ES_tradnl"/>
              </w:rPr>
              <w:t>Indicadores de rendimiento</w:t>
            </w:r>
          </w:p>
        </w:tc>
        <w:tc>
          <w:tcPr>
            <w:tcW w:w="1843" w:type="dxa"/>
            <w:gridSpan w:val="2"/>
            <w:tcBorders>
              <w:top w:val="single" w:sz="4" w:space="0" w:color="auto"/>
            </w:tcBorders>
            <w:shd w:val="clear" w:color="auto" w:fill="auto"/>
            <w:vAlign w:val="center"/>
          </w:tcPr>
          <w:p w:rsidR="00525604" w:rsidRPr="00A9558A" w:rsidRDefault="00525604" w:rsidP="00853209">
            <w:pPr>
              <w:rPr>
                <w:rFonts w:cs="Arial"/>
                <w:b/>
                <w:bCs/>
                <w:color w:val="808080"/>
                <w:sz w:val="16"/>
                <w:szCs w:val="16"/>
                <w:lang w:val="es-ES_tradnl"/>
              </w:rPr>
            </w:pPr>
            <w:r w:rsidRPr="00A9558A">
              <w:rPr>
                <w:b/>
                <w:sz w:val="16"/>
                <w:szCs w:val="16"/>
                <w:lang w:val="es-ES_tradnl"/>
              </w:rPr>
              <w:t>Referencia</w:t>
            </w:r>
          </w:p>
        </w:tc>
        <w:tc>
          <w:tcPr>
            <w:tcW w:w="1559" w:type="dxa"/>
            <w:gridSpan w:val="2"/>
            <w:tcBorders>
              <w:top w:val="single" w:sz="4" w:space="0" w:color="auto"/>
            </w:tcBorders>
            <w:shd w:val="clear" w:color="auto" w:fill="auto"/>
            <w:tcMar>
              <w:top w:w="110" w:type="dxa"/>
            </w:tcMar>
            <w:vAlign w:val="center"/>
          </w:tcPr>
          <w:p w:rsidR="00525604" w:rsidRPr="00A9558A" w:rsidRDefault="00525604" w:rsidP="00853209">
            <w:pPr>
              <w:rPr>
                <w:rFonts w:cs="Arial"/>
                <w:b/>
                <w:color w:val="808080"/>
                <w:sz w:val="16"/>
                <w:szCs w:val="16"/>
                <w:lang w:val="es-ES_tradnl"/>
              </w:rPr>
            </w:pPr>
            <w:r w:rsidRPr="00A9558A">
              <w:rPr>
                <w:b/>
                <w:sz w:val="16"/>
                <w:szCs w:val="16"/>
                <w:lang w:val="es-ES_tradnl"/>
              </w:rPr>
              <w:t>Objetivos</w:t>
            </w:r>
          </w:p>
        </w:tc>
        <w:tc>
          <w:tcPr>
            <w:tcW w:w="2977" w:type="dxa"/>
            <w:gridSpan w:val="3"/>
            <w:tcBorders>
              <w:top w:val="single" w:sz="4" w:space="0" w:color="auto"/>
            </w:tcBorders>
            <w:shd w:val="clear" w:color="auto" w:fill="FFFFFF"/>
            <w:tcMar>
              <w:top w:w="110" w:type="dxa"/>
            </w:tcMar>
            <w:vAlign w:val="center"/>
          </w:tcPr>
          <w:p w:rsidR="00525604" w:rsidRPr="00A9558A" w:rsidRDefault="00525604" w:rsidP="00853209">
            <w:pPr>
              <w:rPr>
                <w:rFonts w:cs="Arial"/>
                <w:color w:val="808080"/>
                <w:sz w:val="16"/>
                <w:szCs w:val="16"/>
                <w:lang w:val="es-ES_tradnl"/>
              </w:rPr>
            </w:pPr>
            <w:r w:rsidRPr="00A9558A">
              <w:rPr>
                <w:b/>
                <w:sz w:val="16"/>
                <w:szCs w:val="16"/>
                <w:lang w:val="es-ES_tradnl"/>
              </w:rPr>
              <w:t>Datos sobre el rendimiento</w:t>
            </w:r>
          </w:p>
        </w:tc>
        <w:tc>
          <w:tcPr>
            <w:tcW w:w="1277" w:type="dxa"/>
            <w:gridSpan w:val="2"/>
            <w:tcBorders>
              <w:top w:val="single" w:sz="4" w:space="0" w:color="auto"/>
            </w:tcBorders>
            <w:shd w:val="clear" w:color="auto" w:fill="auto"/>
            <w:tcMar>
              <w:top w:w="110" w:type="dxa"/>
            </w:tcMar>
            <w:vAlign w:val="center"/>
          </w:tcPr>
          <w:p w:rsidR="00525604" w:rsidRPr="00A9558A" w:rsidRDefault="00525604" w:rsidP="00853209">
            <w:pPr>
              <w:keepNext/>
              <w:keepLines/>
              <w:jc w:val="center"/>
              <w:rPr>
                <w:rFonts w:cs="Arial"/>
                <w:b/>
                <w:bCs/>
                <w:sz w:val="16"/>
                <w:szCs w:val="16"/>
                <w:lang w:val="es-ES_tradnl"/>
              </w:rPr>
            </w:pPr>
            <w:r w:rsidRPr="00A9558A">
              <w:rPr>
                <w:b/>
                <w:sz w:val="16"/>
                <w:szCs w:val="16"/>
                <w:lang w:val="es-ES_tradnl"/>
              </w:rPr>
              <w:t>Clave de colores</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t>Número de asociaciones establecidas en los PMA entre organizaciones gubernamentales, sector privado, ONG y otros asociados en el desarrollo (PMA).</w:t>
            </w:r>
          </w:p>
        </w:tc>
        <w:tc>
          <w:tcPr>
            <w:tcW w:w="1843" w:type="dxa"/>
            <w:gridSpan w:val="2"/>
            <w:shd w:val="clear" w:color="auto" w:fill="auto"/>
          </w:tcPr>
          <w:p w:rsidR="00525604" w:rsidRPr="00A9558A" w:rsidRDefault="00525604" w:rsidP="00853209">
            <w:pPr>
              <w:rPr>
                <w:rFonts w:cs="Arial"/>
                <w:i/>
                <w:sz w:val="16"/>
                <w:szCs w:val="16"/>
                <w:lang w:val="es-ES_tradnl"/>
              </w:rPr>
            </w:pPr>
            <w:r w:rsidRPr="00A9558A">
              <w:rPr>
                <w:i/>
                <w:color w:val="002060"/>
                <w:sz w:val="16"/>
                <w:szCs w:val="16"/>
                <w:lang w:val="es-ES_tradnl"/>
              </w:rPr>
              <w:t xml:space="preserve">Referencia </w:t>
            </w:r>
            <w:r w:rsidR="001778FF" w:rsidRPr="00A9558A">
              <w:rPr>
                <w:i/>
                <w:color w:val="002060"/>
                <w:sz w:val="16"/>
                <w:szCs w:val="16"/>
                <w:lang w:val="es-ES_tradnl"/>
              </w:rPr>
              <w:t>actualizada a fines</w:t>
            </w:r>
            <w:r w:rsidRPr="00A9558A">
              <w:rPr>
                <w:i/>
                <w:color w:val="002060"/>
                <w:sz w:val="16"/>
                <w:szCs w:val="16"/>
                <w:lang w:val="es-ES_tradnl"/>
              </w:rPr>
              <w:t xml:space="preserve"> de 2011:</w:t>
            </w:r>
            <w:r w:rsidRPr="00A9558A">
              <w:rPr>
                <w:rFonts w:cs="Arial"/>
                <w:color w:val="002060"/>
                <w:sz w:val="16"/>
                <w:szCs w:val="16"/>
                <w:lang w:val="es-ES_tradnl"/>
              </w:rPr>
              <w:br/>
            </w:r>
            <w:r w:rsidRPr="00A9558A">
              <w:rPr>
                <w:color w:val="002060"/>
                <w:sz w:val="16"/>
                <w:szCs w:val="16"/>
                <w:lang w:val="es-ES_tradnl"/>
              </w:rPr>
              <w:t xml:space="preserve">En el marco del proyecto de la Agenda para el Desarrollo sobre tecnologías adecuadas se han establecido tres grupos de expertos y tres grupos de múltiples partes </w:t>
            </w:r>
            <w:r w:rsidRPr="00A9558A">
              <w:rPr>
                <w:color w:val="002060"/>
                <w:sz w:val="16"/>
                <w:szCs w:val="16"/>
                <w:lang w:val="es-ES_tradnl"/>
              </w:rPr>
              <w:lastRenderedPageBreak/>
              <w:t>interesadas (seis en total) en Bangladesh, Nepal y Zambia, con participación de los sectores público y privado.</w:t>
            </w:r>
          </w:p>
          <w:p w:rsidR="00525604" w:rsidRPr="00A9558A" w:rsidRDefault="00525604" w:rsidP="00853209">
            <w:pPr>
              <w:rPr>
                <w:rFonts w:cs="Arial"/>
                <w:i/>
                <w:sz w:val="16"/>
                <w:szCs w:val="16"/>
                <w:lang w:val="es-ES_tradnl"/>
              </w:rPr>
            </w:pPr>
          </w:p>
          <w:p w:rsidR="00525604" w:rsidRPr="00A9558A" w:rsidRDefault="00525604" w:rsidP="00853209">
            <w:pPr>
              <w:rPr>
                <w:rFonts w:cs="Arial"/>
                <w:sz w:val="16"/>
                <w:szCs w:val="16"/>
                <w:lang w:val="es-ES_tradnl"/>
              </w:rPr>
            </w:pPr>
            <w:r w:rsidRPr="00A9558A">
              <w:rPr>
                <w:i/>
                <w:sz w:val="16"/>
                <w:szCs w:val="16"/>
                <w:lang w:val="es-ES_tradnl"/>
              </w:rPr>
              <w:t>Referencia original Presup. por prog. 2012/13:</w:t>
            </w:r>
            <w:r w:rsidRPr="00A9558A">
              <w:rPr>
                <w:sz w:val="16"/>
                <w:szCs w:val="16"/>
                <w:lang w:val="es-ES_tradnl"/>
              </w:rPr>
              <w:t xml:space="preserve">  Ninguno</w:t>
            </w:r>
          </w:p>
        </w:tc>
        <w:tc>
          <w:tcPr>
            <w:tcW w:w="1559" w:type="dxa"/>
            <w:gridSpan w:val="2"/>
            <w:shd w:val="clear" w:color="auto" w:fill="auto"/>
            <w:tcMar>
              <w:top w:w="110" w:type="dxa"/>
            </w:tcMar>
          </w:tcPr>
          <w:p w:rsidR="00525604" w:rsidRPr="00A9558A" w:rsidRDefault="00525604" w:rsidP="00853209">
            <w:pPr>
              <w:autoSpaceDE w:val="0"/>
              <w:autoSpaceDN w:val="0"/>
              <w:adjustRightInd w:val="0"/>
              <w:rPr>
                <w:rFonts w:cs="Arial"/>
                <w:sz w:val="16"/>
                <w:szCs w:val="16"/>
                <w:lang w:val="es-ES_tradnl"/>
              </w:rPr>
            </w:pPr>
            <w:r w:rsidRPr="00A9558A">
              <w:rPr>
                <w:sz w:val="16"/>
                <w:szCs w:val="16"/>
                <w:lang w:val="es-ES_tradnl"/>
              </w:rPr>
              <w:lastRenderedPageBreak/>
              <w:t xml:space="preserve">Establecimiento de asociaciones en cinco PMA como mínimo </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En 2013 se pusieron en marcha dos nuevas asociaciones sobre tecnologías adecuadas en Etiopía y Uganda.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Las asociaciones puestas en marcha en Bangladesh, Nepal y Zambia en 2011 se reforzaron en 2012/13 mediante el establecimiento de grupos de expertos y grupos de múltiples partes interesadas sobre tecnologías adecuadas.</w:t>
            </w:r>
          </w:p>
        </w:tc>
        <w:tc>
          <w:tcPr>
            <w:tcW w:w="1277" w:type="dxa"/>
            <w:gridSpan w:val="2"/>
            <w:shd w:val="clear" w:color="auto" w:fill="auto"/>
            <w:tcMar>
              <w:top w:w="110" w:type="dxa"/>
            </w:tcMar>
          </w:tcPr>
          <w:p w:rsidR="00525604" w:rsidRPr="00A9558A" w:rsidRDefault="00525604" w:rsidP="00853209">
            <w:pPr>
              <w:jc w:val="center"/>
              <w:rPr>
                <w:rFonts w:cs="Arial"/>
                <w:sz w:val="16"/>
                <w:szCs w:val="16"/>
                <w:lang w:val="es-ES_tradnl"/>
              </w:rPr>
            </w:pPr>
            <w:r w:rsidRPr="00A9558A">
              <w:rPr>
                <w:color w:val="008000"/>
                <w:sz w:val="16"/>
                <w:szCs w:val="16"/>
                <w:lang w:val="es-ES_tradnl"/>
              </w:rPr>
              <w:t>Plenamente logrado</w:t>
            </w:r>
          </w:p>
        </w:tc>
      </w:tr>
      <w:tr w:rsidR="00525604" w:rsidRPr="00A9558A" w:rsidTr="00C13FC7">
        <w:tc>
          <w:tcPr>
            <w:tcW w:w="1701" w:type="dxa"/>
            <w:shd w:val="clear" w:color="auto" w:fill="FFFFFF"/>
          </w:tcPr>
          <w:p w:rsidR="00525604" w:rsidRPr="00A9558A" w:rsidRDefault="00525604" w:rsidP="00853209">
            <w:pPr>
              <w:rPr>
                <w:rFonts w:cs="Arial"/>
                <w:sz w:val="16"/>
                <w:szCs w:val="16"/>
                <w:lang w:val="es-ES_tradnl"/>
              </w:rPr>
            </w:pPr>
            <w:r w:rsidRPr="00A9558A">
              <w:rPr>
                <w:sz w:val="16"/>
                <w:szCs w:val="16"/>
                <w:lang w:val="es-ES_tradnl"/>
              </w:rPr>
              <w:lastRenderedPageBreak/>
              <w:t xml:space="preserve">Número de programas de P.I. aplicados conjuntamente con otros órganos de las Naciones Unidas y otras OIG (PMA). </w:t>
            </w:r>
          </w:p>
        </w:tc>
        <w:tc>
          <w:tcPr>
            <w:tcW w:w="1843" w:type="dxa"/>
            <w:gridSpan w:val="2"/>
            <w:shd w:val="clear" w:color="auto" w:fill="auto"/>
          </w:tcPr>
          <w:p w:rsidR="00525604" w:rsidRPr="00A9558A" w:rsidRDefault="00525604" w:rsidP="00853209">
            <w:pPr>
              <w:rPr>
                <w:rFonts w:cs="Arial"/>
                <w:sz w:val="16"/>
                <w:szCs w:val="16"/>
                <w:lang w:val="es-ES_tradnl"/>
              </w:rPr>
            </w:pPr>
            <w:r w:rsidRPr="00A9558A">
              <w:rPr>
                <w:sz w:val="16"/>
                <w:szCs w:val="16"/>
                <w:lang w:val="es-ES_tradnl"/>
              </w:rPr>
              <w:t>Cooperación con las Naciones Unidas y otras organizaciones:</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i) IV Conferencia de las Naciones Unidas sobre los PMA, Estambul (Turquía);</w:t>
            </w:r>
          </w:p>
          <w:p w:rsidR="00525604" w:rsidRPr="00A9558A" w:rsidRDefault="00525604" w:rsidP="00853209">
            <w:pPr>
              <w:rPr>
                <w:rFonts w:cs="Arial"/>
                <w:sz w:val="16"/>
                <w:szCs w:val="16"/>
                <w:lang w:val="es-ES_tradnl"/>
              </w:rPr>
            </w:pPr>
            <w:r w:rsidRPr="00A9558A">
              <w:rPr>
                <w:sz w:val="16"/>
                <w:szCs w:val="16"/>
                <w:lang w:val="es-ES_tradnl"/>
              </w:rPr>
              <w:t>ii) reuniones sobre los ADPIC organizadas por la OMC en Senegal, Uganda y Bangladesh.</w:t>
            </w:r>
          </w:p>
        </w:tc>
        <w:tc>
          <w:tcPr>
            <w:tcW w:w="1559" w:type="dxa"/>
            <w:gridSpan w:val="2"/>
            <w:shd w:val="clear" w:color="auto" w:fill="auto"/>
            <w:tcMar>
              <w:top w:w="110" w:type="dxa"/>
            </w:tcMar>
          </w:tcPr>
          <w:p w:rsidR="00525604" w:rsidRPr="00A9558A" w:rsidRDefault="00525604" w:rsidP="00853209">
            <w:pPr>
              <w:rPr>
                <w:rFonts w:cs="Arial"/>
                <w:sz w:val="16"/>
                <w:szCs w:val="16"/>
                <w:lang w:val="es-ES_tradnl"/>
              </w:rPr>
            </w:pPr>
            <w:r w:rsidRPr="00A9558A">
              <w:rPr>
                <w:sz w:val="16"/>
                <w:szCs w:val="16"/>
                <w:lang w:val="es-ES_tradnl"/>
              </w:rPr>
              <w:t>Dos foros regionales en cooperación con las NN.UU. y dos foros regionales en cooperación</w:t>
            </w:r>
          </w:p>
          <w:p w:rsidR="00525604" w:rsidRPr="00A9558A" w:rsidRDefault="00525604" w:rsidP="00853209">
            <w:pPr>
              <w:rPr>
                <w:rFonts w:cs="Arial"/>
                <w:sz w:val="16"/>
                <w:szCs w:val="16"/>
                <w:lang w:val="es-ES_tradnl"/>
              </w:rPr>
            </w:pPr>
            <w:r w:rsidRPr="00A9558A">
              <w:rPr>
                <w:sz w:val="16"/>
                <w:szCs w:val="16"/>
                <w:lang w:val="es-ES_tradnl"/>
              </w:rPr>
              <w:t>con la OMC</w:t>
            </w:r>
          </w:p>
        </w:tc>
        <w:tc>
          <w:tcPr>
            <w:tcW w:w="2977" w:type="dxa"/>
            <w:gridSpan w:val="3"/>
            <w:shd w:val="clear" w:color="auto" w:fill="FFFFFF"/>
            <w:tcMar>
              <w:top w:w="110" w:type="dxa"/>
            </w:tcMar>
          </w:tcPr>
          <w:p w:rsidR="00525604" w:rsidRPr="00A9558A" w:rsidRDefault="00525604" w:rsidP="00853209">
            <w:pPr>
              <w:rPr>
                <w:rFonts w:cs="Arial"/>
                <w:sz w:val="16"/>
                <w:szCs w:val="16"/>
                <w:lang w:val="es-ES_tradnl"/>
              </w:rPr>
            </w:pPr>
            <w:r w:rsidRPr="00A9558A">
              <w:rPr>
                <w:sz w:val="16"/>
                <w:szCs w:val="16"/>
                <w:lang w:val="es-ES_tradnl"/>
              </w:rPr>
              <w:t xml:space="preserve">La OMPI cooperó con otras organizaciones en la realización de actividades en beneficio de PMA. </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Taller sobre propiedad intelectual y evaluación de n</w:t>
            </w:r>
            <w:r w:rsidR="00EF4041" w:rsidRPr="00A9558A">
              <w:rPr>
                <w:sz w:val="16"/>
                <w:szCs w:val="16"/>
                <w:lang w:val="es-ES_tradnl"/>
              </w:rPr>
              <w:t>ecesidades prioritarias, Arusha</w:t>
            </w:r>
            <w:r w:rsidRPr="00A9558A">
              <w:rPr>
                <w:sz w:val="16"/>
                <w:szCs w:val="16"/>
                <w:lang w:val="es-ES_tradnl"/>
              </w:rPr>
              <w:t xml:space="preserve"> </w:t>
            </w:r>
            <w:r w:rsidR="00EF4041" w:rsidRPr="00A9558A">
              <w:rPr>
                <w:sz w:val="16"/>
                <w:szCs w:val="16"/>
                <w:lang w:val="es-ES_tradnl"/>
              </w:rPr>
              <w:t>(</w:t>
            </w:r>
            <w:r w:rsidRPr="00A9558A">
              <w:rPr>
                <w:sz w:val="16"/>
                <w:szCs w:val="16"/>
                <w:lang w:val="es-ES_tradnl"/>
              </w:rPr>
              <w:t>la República Unida de Tanzanía</w:t>
            </w:r>
            <w:r w:rsidR="00EF4041" w:rsidRPr="00A9558A">
              <w:rPr>
                <w:sz w:val="16"/>
                <w:szCs w:val="16"/>
                <w:lang w:val="es-ES_tradnl"/>
              </w:rPr>
              <w:t>)</w:t>
            </w:r>
            <w:r w:rsidRPr="00A9558A">
              <w:rPr>
                <w:sz w:val="16"/>
                <w:szCs w:val="16"/>
                <w:lang w:val="es-ES_tradnl"/>
              </w:rPr>
              <w:t>, 3-4 de junio de 2013 (OMPI, OMC y el Gobierno de Tanzanía).</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Mesa </w:t>
            </w:r>
            <w:r w:rsidR="007F2148" w:rsidRPr="00A9558A">
              <w:rPr>
                <w:sz w:val="16"/>
                <w:szCs w:val="16"/>
                <w:lang w:val="es-ES_tradnl"/>
              </w:rPr>
              <w:t>redonda</w:t>
            </w:r>
            <w:r w:rsidRPr="00A9558A">
              <w:rPr>
                <w:sz w:val="16"/>
                <w:szCs w:val="16"/>
                <w:lang w:val="es-ES_tradnl"/>
              </w:rPr>
              <w:t xml:space="preserve"> sobre colaboración público-privada en el desarrollo y la comercialización de l</w:t>
            </w:r>
            <w:r w:rsidR="00EF4041" w:rsidRPr="00A9558A">
              <w:rPr>
                <w:sz w:val="16"/>
                <w:szCs w:val="16"/>
                <w:lang w:val="es-ES_tradnl"/>
              </w:rPr>
              <w:t>a tecnología adecuada, Addis Abe</w:t>
            </w:r>
            <w:r w:rsidRPr="00A9558A">
              <w:rPr>
                <w:sz w:val="16"/>
                <w:szCs w:val="16"/>
                <w:lang w:val="es-ES_tradnl"/>
              </w:rPr>
              <w:t xml:space="preserve">ba </w:t>
            </w:r>
            <w:r w:rsidR="00EF4041" w:rsidRPr="00A9558A">
              <w:rPr>
                <w:sz w:val="16"/>
                <w:szCs w:val="16"/>
                <w:lang w:val="es-ES_tradnl"/>
              </w:rPr>
              <w:t>(</w:t>
            </w:r>
            <w:r w:rsidRPr="00A9558A">
              <w:rPr>
                <w:sz w:val="16"/>
                <w:szCs w:val="16"/>
                <w:lang w:val="es-ES_tradnl"/>
              </w:rPr>
              <w:t>Etiopía</w:t>
            </w:r>
            <w:r w:rsidR="00EF4041" w:rsidRPr="00A9558A">
              <w:rPr>
                <w:sz w:val="16"/>
                <w:szCs w:val="16"/>
                <w:lang w:val="es-ES_tradnl"/>
              </w:rPr>
              <w:t>)</w:t>
            </w:r>
            <w:r w:rsidRPr="00A9558A">
              <w:rPr>
                <w:sz w:val="16"/>
                <w:szCs w:val="16"/>
                <w:lang w:val="es-ES_tradnl"/>
              </w:rPr>
              <w:t xml:space="preserve"> (OMPI, </w:t>
            </w:r>
            <w:r w:rsidR="00286B53" w:rsidRPr="00A9558A">
              <w:rPr>
                <w:sz w:val="16"/>
                <w:szCs w:val="16"/>
                <w:lang w:val="es-ES_tradnl"/>
              </w:rPr>
              <w:t xml:space="preserve">la </w:t>
            </w:r>
            <w:r w:rsidRPr="00A9558A">
              <w:rPr>
                <w:sz w:val="16"/>
                <w:szCs w:val="16"/>
                <w:lang w:val="es-ES_tradnl"/>
              </w:rPr>
              <w:t>República de Corea y el Gobierno de Etiopía).</w:t>
            </w:r>
          </w:p>
          <w:p w:rsidR="00525604" w:rsidRPr="00A9558A" w:rsidRDefault="00525604" w:rsidP="00853209">
            <w:pPr>
              <w:rPr>
                <w:rFonts w:cs="Arial"/>
                <w:sz w:val="16"/>
                <w:szCs w:val="16"/>
                <w:lang w:val="es-ES_tradnl"/>
              </w:rPr>
            </w:pPr>
            <w:r w:rsidRPr="00A9558A">
              <w:rPr>
                <w:sz w:val="16"/>
                <w:szCs w:val="16"/>
                <w:lang w:val="es-ES_tradnl"/>
              </w:rPr>
              <w:t>Reunión Ministerial de la Comunidad Económica de los Estados de África Occidental (CEDEAO) y la OMPI con e</w:t>
            </w:r>
            <w:r w:rsidR="00EF4041" w:rsidRPr="00A9558A">
              <w:rPr>
                <w:sz w:val="16"/>
                <w:szCs w:val="16"/>
                <w:lang w:val="es-ES_tradnl"/>
              </w:rPr>
              <w:t xml:space="preserve">l Gobierno de Côte d'Ivoire – 4 a </w:t>
            </w:r>
            <w:r w:rsidRPr="00A9558A">
              <w:rPr>
                <w:sz w:val="16"/>
                <w:szCs w:val="16"/>
                <w:lang w:val="es-ES_tradnl"/>
              </w:rPr>
              <w:t>6 de diciembre de 2013.</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 xml:space="preserve">La OMPI participó en las reuniones del Grupo Consultivo Interinstitucional de las Naciones Unidas para los Países Menos Adelantados, los Países en Desarrollo Sin Litoral y los Pequeños Estados Insulares en Desarrollo, un proceso consultivo del sistema de las Naciones Unidas sobre la cooperación entre las Naciones Unidas y los PMA. </w:t>
            </w:r>
          </w:p>
          <w:p w:rsidR="00525604" w:rsidRPr="00A9558A" w:rsidRDefault="00525604" w:rsidP="00853209">
            <w:pPr>
              <w:rPr>
                <w:rFonts w:cs="Arial"/>
                <w:sz w:val="16"/>
                <w:szCs w:val="16"/>
                <w:lang w:val="es-ES_tradnl"/>
              </w:rPr>
            </w:pPr>
          </w:p>
          <w:p w:rsidR="00525604" w:rsidRPr="00A9558A" w:rsidRDefault="00525604" w:rsidP="00853209">
            <w:pPr>
              <w:rPr>
                <w:rFonts w:cs="Arial"/>
                <w:sz w:val="16"/>
                <w:szCs w:val="16"/>
                <w:lang w:val="es-ES_tradnl"/>
              </w:rPr>
            </w:pPr>
            <w:r w:rsidRPr="00A9558A">
              <w:rPr>
                <w:sz w:val="16"/>
                <w:szCs w:val="16"/>
                <w:lang w:val="es-ES_tradnl"/>
              </w:rPr>
              <w:t>La OMPI prestó asistencia técnica y asesoramiento a los PMA en el marco del proceso de evaluación de las necesidades llevado a cabo por la OMC con objeto de atender las necesidades y prioridades de los PMA con miras a la aplicación del Acuerdo sobre los ADPIC durante sus períodos de gracia.  La OMPI participó activamente en los programas regionales, subregionales y nacionales organizados por la OMC en beneficio de los PMA.</w:t>
            </w:r>
          </w:p>
          <w:p w:rsidR="00525604" w:rsidRPr="00A9558A" w:rsidRDefault="00525604" w:rsidP="00853209">
            <w:pPr>
              <w:rPr>
                <w:rFonts w:cs="Arial"/>
                <w:sz w:val="16"/>
                <w:szCs w:val="16"/>
                <w:lang w:val="es-ES_tradnl"/>
              </w:rPr>
            </w:pPr>
          </w:p>
        </w:tc>
        <w:tc>
          <w:tcPr>
            <w:tcW w:w="1277" w:type="dxa"/>
            <w:gridSpan w:val="2"/>
            <w:shd w:val="clear" w:color="auto" w:fill="auto"/>
            <w:tcMar>
              <w:top w:w="110" w:type="dxa"/>
            </w:tcMar>
          </w:tcPr>
          <w:p w:rsidR="00525604" w:rsidRPr="00A9558A" w:rsidRDefault="00525604" w:rsidP="00853209">
            <w:pPr>
              <w:keepNext/>
              <w:keepLines/>
              <w:jc w:val="center"/>
              <w:rPr>
                <w:rFonts w:cs="Arial"/>
                <w:bCs/>
                <w:color w:val="008000"/>
                <w:sz w:val="16"/>
                <w:szCs w:val="16"/>
                <w:lang w:val="es-ES_tradnl"/>
              </w:rPr>
            </w:pPr>
            <w:r w:rsidRPr="00A9558A">
              <w:rPr>
                <w:color w:val="E36C0A" w:themeColor="accent6" w:themeShade="BF"/>
                <w:sz w:val="16"/>
                <w:szCs w:val="16"/>
                <w:lang w:val="es-ES_tradnl"/>
              </w:rPr>
              <w:t>Parcialmente logrado</w:t>
            </w:r>
          </w:p>
        </w:tc>
      </w:tr>
    </w:tbl>
    <w:p w:rsidR="00525604" w:rsidRPr="00A34388" w:rsidRDefault="00525604" w:rsidP="00525604">
      <w:pPr>
        <w:rPr>
          <w:sz w:val="22"/>
          <w:szCs w:val="22"/>
          <w:lang w:val="es-ES_tradnl"/>
        </w:rPr>
      </w:pPr>
    </w:p>
    <w:p w:rsidR="00525604" w:rsidRPr="00A34388" w:rsidRDefault="00525604" w:rsidP="00525604">
      <w:pPr>
        <w:rPr>
          <w:sz w:val="22"/>
          <w:szCs w:val="22"/>
          <w:lang w:val="es-ES_tradnl"/>
        </w:rPr>
      </w:pPr>
    </w:p>
    <w:p w:rsidR="00A9558A" w:rsidRDefault="00A9558A">
      <w:pPr>
        <w:rPr>
          <w:sz w:val="22"/>
          <w:lang w:val="es-ES_tradnl"/>
        </w:rPr>
      </w:pPr>
      <w:r>
        <w:rPr>
          <w:sz w:val="22"/>
          <w:lang w:val="es-ES_tradnl"/>
        </w:rPr>
        <w:br w:type="page"/>
      </w:r>
    </w:p>
    <w:p w:rsidR="00525604" w:rsidRPr="00A34388" w:rsidRDefault="00525604" w:rsidP="00525604">
      <w:pPr>
        <w:keepNext/>
        <w:keepLines/>
        <w:rPr>
          <w:rFonts w:cs="Arial"/>
          <w:sz w:val="22"/>
          <w:szCs w:val="22"/>
          <w:lang w:val="es-ES_tradnl"/>
        </w:rPr>
      </w:pPr>
      <w:r w:rsidRPr="00332758">
        <w:rPr>
          <w:sz w:val="22"/>
          <w:lang w:val="es-ES_tradnl"/>
        </w:rPr>
        <w:lastRenderedPageBreak/>
        <w:t>PRESUPUESTO Y GASTOS REALES</w:t>
      </w:r>
    </w:p>
    <w:p w:rsidR="00525604" w:rsidRPr="00A34388" w:rsidRDefault="00525604" w:rsidP="00525604">
      <w:pPr>
        <w:keepNext/>
        <w:keepLines/>
        <w:rPr>
          <w:rFonts w:cs="Arial"/>
          <w:sz w:val="16"/>
          <w:szCs w:val="16"/>
          <w:lang w:val="es-ES_tradnl"/>
        </w:rPr>
      </w:pPr>
    </w:p>
    <w:p w:rsidR="00525604" w:rsidRPr="00A34388" w:rsidRDefault="00525604" w:rsidP="00525604">
      <w:pPr>
        <w:pStyle w:val="NormalWeb"/>
        <w:keepNext/>
        <w:keepLines/>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525604" w:rsidRPr="00332758" w:rsidRDefault="00525604" w:rsidP="00525604">
      <w:pPr>
        <w:pStyle w:val="NormalWeb"/>
        <w:keepNext/>
        <w:keepLines/>
        <w:spacing w:before="0" w:beforeAutospacing="0" w:after="0" w:afterAutospacing="0"/>
        <w:jc w:val="center"/>
        <w:rPr>
          <w:sz w:val="20"/>
          <w:szCs w:val="20"/>
          <w:lang w:val="es-ES_tradnl"/>
        </w:rPr>
      </w:pPr>
      <w:r w:rsidRPr="00332758">
        <w:rPr>
          <w:i/>
          <w:sz w:val="20"/>
          <w:lang w:val="es-ES_tradnl"/>
        </w:rPr>
        <w:t>(en miles de francos suizos)</w:t>
      </w:r>
    </w:p>
    <w:p w:rsidR="00525604" w:rsidRPr="00A34388" w:rsidRDefault="00525604" w:rsidP="00525604">
      <w:pPr>
        <w:rPr>
          <w:sz w:val="16"/>
          <w:szCs w:val="16"/>
          <w:lang w:val="es-ES_tradnl"/>
        </w:rPr>
      </w:pPr>
    </w:p>
    <w:tbl>
      <w:tblPr>
        <w:tblW w:w="0" w:type="auto"/>
        <w:tblInd w:w="108" w:type="dxa"/>
        <w:tblLayout w:type="fixed"/>
        <w:tblLook w:val="04A0" w:firstRow="1" w:lastRow="0" w:firstColumn="1" w:lastColumn="0" w:noHBand="0" w:noVBand="1"/>
      </w:tblPr>
      <w:tblGrid>
        <w:gridCol w:w="670"/>
        <w:gridCol w:w="4008"/>
        <w:gridCol w:w="1559"/>
        <w:gridCol w:w="1559"/>
        <w:gridCol w:w="1560"/>
      </w:tblGrid>
      <w:tr w:rsidR="00525604" w:rsidRPr="00A34388" w:rsidTr="00853209">
        <w:tc>
          <w:tcPr>
            <w:tcW w:w="467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A34388">
              <w:rPr>
                <w:color w:val="000000"/>
                <w:sz w:val="16"/>
                <w:lang w:val="es-ES_tradnl"/>
              </w:rPr>
              <w:t>Gastos en</w:t>
            </w:r>
            <w:r w:rsidRPr="00A34388">
              <w:rPr>
                <w:rFonts w:cs="Arial"/>
                <w:bCs/>
                <w:color w:val="000000"/>
                <w:sz w:val="16"/>
                <w:szCs w:val="16"/>
                <w:lang w:val="es-ES_tradnl"/>
              </w:rPr>
              <w:br/>
            </w:r>
            <w:r w:rsidRPr="00A34388">
              <w:rPr>
                <w:color w:val="000000"/>
                <w:sz w:val="16"/>
                <w:lang w:val="es-ES_tradnl"/>
              </w:rPr>
              <w:t>2012/13</w:t>
            </w:r>
          </w:p>
        </w:tc>
      </w:tr>
      <w:tr w:rsidR="00525604" w:rsidRPr="00A34388" w:rsidTr="00853209">
        <w:tc>
          <w:tcPr>
            <w:tcW w:w="670" w:type="dxa"/>
            <w:tcBorders>
              <w:top w:val="single" w:sz="4" w:space="0" w:color="auto"/>
              <w:left w:val="single" w:sz="4" w:space="0" w:color="auto"/>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I.4</w:t>
            </w:r>
          </w:p>
        </w:tc>
        <w:tc>
          <w:tcPr>
            <w:tcW w:w="4008" w:type="dxa"/>
            <w:tcBorders>
              <w:top w:val="single" w:sz="4" w:space="0" w:color="auto"/>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559" w:type="dxa"/>
            <w:tcBorders>
              <w:top w:val="single" w:sz="4" w:space="0" w:color="auto"/>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3.433 </w:t>
            </w:r>
          </w:p>
        </w:tc>
        <w:tc>
          <w:tcPr>
            <w:tcW w:w="1559" w:type="dxa"/>
            <w:tcBorders>
              <w:top w:val="single" w:sz="4" w:space="0" w:color="auto"/>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3.583 </w:t>
            </w:r>
          </w:p>
        </w:tc>
        <w:tc>
          <w:tcPr>
            <w:tcW w:w="1560" w:type="dxa"/>
            <w:tcBorders>
              <w:top w:val="single" w:sz="4" w:space="0" w:color="auto"/>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3.158</w:t>
            </w:r>
          </w:p>
        </w:tc>
      </w:tr>
      <w:tr w:rsidR="00525604" w:rsidRPr="00A34388" w:rsidTr="00853209">
        <w:tc>
          <w:tcPr>
            <w:tcW w:w="670" w:type="dxa"/>
            <w:tcBorders>
              <w:left w:val="single" w:sz="4" w:space="0" w:color="auto"/>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III.1</w:t>
            </w:r>
          </w:p>
        </w:tc>
        <w:tc>
          <w:tcPr>
            <w:tcW w:w="4008" w:type="dxa"/>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Políticas nacionales, estrategias y planes de desarrollo de innovación y de P.I. claramente definidos y coherentes que estén en sintonía con las metas y los objetivos nacionales de desarrollo.</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8.363 </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10.235 </w:t>
            </w:r>
          </w:p>
        </w:tc>
        <w:tc>
          <w:tcPr>
            <w:tcW w:w="1560" w:type="dxa"/>
            <w:tcBorders>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9.356</w:t>
            </w:r>
          </w:p>
        </w:tc>
      </w:tr>
      <w:tr w:rsidR="00525604" w:rsidRPr="00A34388" w:rsidTr="00853209">
        <w:tc>
          <w:tcPr>
            <w:tcW w:w="670" w:type="dxa"/>
            <w:tcBorders>
              <w:left w:val="single" w:sz="4" w:space="0" w:color="auto"/>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III.2</w:t>
            </w:r>
          </w:p>
        </w:tc>
        <w:tc>
          <w:tcPr>
            <w:tcW w:w="4008" w:type="dxa"/>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15.420 </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14.839 </w:t>
            </w:r>
          </w:p>
        </w:tc>
        <w:tc>
          <w:tcPr>
            <w:tcW w:w="1560" w:type="dxa"/>
            <w:tcBorders>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14.923 </w:t>
            </w:r>
          </w:p>
        </w:tc>
      </w:tr>
      <w:tr w:rsidR="00525604" w:rsidRPr="00A34388" w:rsidTr="00853209">
        <w:tc>
          <w:tcPr>
            <w:tcW w:w="670" w:type="dxa"/>
            <w:tcBorders>
              <w:left w:val="single" w:sz="4" w:space="0" w:color="auto"/>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III.3</w:t>
            </w:r>
          </w:p>
        </w:tc>
        <w:tc>
          <w:tcPr>
            <w:tcW w:w="4008" w:type="dxa"/>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Mecanismos de cooperación, programas y asociaciones nuevos o consolidados en los PMA.</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1.517 </w:t>
            </w:r>
          </w:p>
        </w:tc>
        <w:tc>
          <w:tcPr>
            <w:tcW w:w="1559" w:type="dxa"/>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1.057 </w:t>
            </w:r>
          </w:p>
        </w:tc>
        <w:tc>
          <w:tcPr>
            <w:tcW w:w="1560" w:type="dxa"/>
            <w:tcBorders>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941 </w:t>
            </w:r>
          </w:p>
        </w:tc>
      </w:tr>
      <w:tr w:rsidR="00525604" w:rsidRPr="00A34388" w:rsidTr="00853209">
        <w:tc>
          <w:tcPr>
            <w:tcW w:w="670" w:type="dxa"/>
            <w:tcBorders>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III.5</w:t>
            </w:r>
          </w:p>
        </w:tc>
        <w:tc>
          <w:tcPr>
            <w:tcW w:w="4008" w:type="dxa"/>
            <w:tcBorders>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Fomento de las capacidades de gestión de P.I. para las empresas. </w:t>
            </w:r>
          </w:p>
        </w:tc>
        <w:tc>
          <w:tcPr>
            <w:tcW w:w="1559" w:type="dxa"/>
            <w:tcBorders>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120 </w:t>
            </w:r>
          </w:p>
        </w:tc>
        <w:tc>
          <w:tcPr>
            <w:tcW w:w="1559" w:type="dxa"/>
            <w:tcBorders>
              <w:left w:val="nil"/>
              <w:bottom w:val="nil"/>
              <w:right w:val="nil"/>
            </w:tcBorders>
            <w:shd w:val="clear" w:color="auto" w:fill="auto"/>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1.366 </w:t>
            </w:r>
          </w:p>
        </w:tc>
        <w:tc>
          <w:tcPr>
            <w:tcW w:w="1560" w:type="dxa"/>
            <w:tcBorders>
              <w:left w:val="nil"/>
              <w:bottom w:val="nil"/>
              <w:right w:val="single" w:sz="4" w:space="0" w:color="auto"/>
            </w:tcBorders>
            <w:shd w:val="clear" w:color="auto" w:fill="auto"/>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 xml:space="preserve">1.305 </w:t>
            </w:r>
          </w:p>
        </w:tc>
      </w:tr>
      <w:tr w:rsidR="00525604" w:rsidRPr="00A34388" w:rsidTr="00853209">
        <w:tc>
          <w:tcPr>
            <w:tcW w:w="670" w:type="dxa"/>
            <w:tcBorders>
              <w:top w:val="nil"/>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III.6</w:t>
            </w:r>
          </w:p>
        </w:tc>
        <w:tc>
          <w:tcPr>
            <w:tcW w:w="4008" w:type="dxa"/>
            <w:tcBorders>
              <w:top w:val="nil"/>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Los principios de la Agenda para el Desarrollo siguen incorporándose en los programas y actividades de la Organización.</w:t>
            </w:r>
          </w:p>
        </w:tc>
        <w:tc>
          <w:tcPr>
            <w:tcW w:w="1559"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1.418 </w:t>
            </w:r>
          </w:p>
        </w:tc>
        <w:tc>
          <w:tcPr>
            <w:tcW w:w="1559" w:type="dxa"/>
            <w:tcBorders>
              <w:top w:val="nil"/>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0 </w:t>
            </w:r>
          </w:p>
        </w:tc>
        <w:tc>
          <w:tcPr>
            <w:tcW w:w="1560" w:type="dxa"/>
            <w:tcBorders>
              <w:top w:val="nil"/>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0 </w:t>
            </w:r>
          </w:p>
        </w:tc>
      </w:tr>
      <w:tr w:rsidR="00525604" w:rsidRPr="00A34388" w:rsidTr="00853209">
        <w:tc>
          <w:tcPr>
            <w:tcW w:w="670" w:type="dxa"/>
            <w:tcBorders>
              <w:top w:val="nil"/>
              <w:left w:val="single" w:sz="4" w:space="0" w:color="auto"/>
              <w:right w:val="nil"/>
            </w:tcBorders>
            <w:shd w:val="clear" w:color="auto" w:fill="auto"/>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III.7</w:t>
            </w:r>
          </w:p>
        </w:tc>
        <w:tc>
          <w:tcPr>
            <w:tcW w:w="4008" w:type="dxa"/>
            <w:tcBorders>
              <w:top w:val="nil"/>
              <w:left w:val="nil"/>
              <w:right w:val="nil"/>
            </w:tcBorders>
            <w:shd w:val="clear" w:color="auto" w:fill="auto"/>
            <w:hideMark/>
          </w:tcPr>
          <w:p w:rsidR="00525604" w:rsidRPr="00A34388" w:rsidRDefault="00525604" w:rsidP="00853209">
            <w:pPr>
              <w:spacing w:before="120"/>
              <w:rPr>
                <w:rFonts w:cs="Arial"/>
                <w:color w:val="808080"/>
                <w:sz w:val="16"/>
                <w:szCs w:val="16"/>
                <w:lang w:val="es-ES_tradnl"/>
              </w:rPr>
            </w:pPr>
            <w:r w:rsidRPr="00332758">
              <w:rPr>
                <w:sz w:val="16"/>
                <w:lang w:val="es-ES_tradnl"/>
              </w:rPr>
              <w:t>Eficacia en la planificación, aplicación, supervisión, evaluación y presentación de informes respecto de las recomendaciones de la Agenda para el Desarrollo.</w:t>
            </w:r>
          </w:p>
        </w:tc>
        <w:tc>
          <w:tcPr>
            <w:tcW w:w="1559" w:type="dxa"/>
            <w:tcBorders>
              <w:top w:val="nil"/>
              <w:left w:val="nil"/>
              <w:right w:val="nil"/>
            </w:tcBorders>
            <w:shd w:val="clear" w:color="auto" w:fill="auto"/>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461 </w:t>
            </w:r>
          </w:p>
        </w:tc>
        <w:tc>
          <w:tcPr>
            <w:tcW w:w="1559" w:type="dxa"/>
            <w:tcBorders>
              <w:top w:val="nil"/>
              <w:left w:val="nil"/>
              <w:right w:val="nil"/>
            </w:tcBorders>
            <w:shd w:val="clear" w:color="auto" w:fill="auto"/>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0</w:t>
            </w:r>
          </w:p>
        </w:tc>
        <w:tc>
          <w:tcPr>
            <w:tcW w:w="1560" w:type="dxa"/>
            <w:tcBorders>
              <w:top w:val="nil"/>
              <w:left w:val="nil"/>
              <w:right w:val="single" w:sz="4" w:space="0" w:color="auto"/>
            </w:tcBorders>
            <w:shd w:val="clear" w:color="auto" w:fill="auto"/>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0 </w:t>
            </w:r>
          </w:p>
        </w:tc>
      </w:tr>
      <w:tr w:rsidR="00525604" w:rsidRPr="00A34388" w:rsidTr="00853209">
        <w:tc>
          <w:tcPr>
            <w:tcW w:w="670" w:type="dxa"/>
            <w:tcBorders>
              <w:left w:val="single" w:sz="4" w:space="0" w:color="auto"/>
              <w:bottom w:val="nil"/>
              <w:right w:val="nil"/>
            </w:tcBorders>
            <w:shd w:val="clear" w:color="000000" w:fill="FFFFFF"/>
            <w:noWrap/>
            <w:hideMark/>
          </w:tcPr>
          <w:p w:rsidR="00525604" w:rsidRPr="00A34388" w:rsidRDefault="00525604" w:rsidP="00853209">
            <w:pPr>
              <w:spacing w:before="120"/>
              <w:jc w:val="center"/>
              <w:rPr>
                <w:rFonts w:cs="Arial"/>
                <w:color w:val="808080"/>
                <w:sz w:val="16"/>
                <w:szCs w:val="16"/>
                <w:lang w:val="es-ES_tradnl"/>
              </w:rPr>
            </w:pPr>
            <w:r w:rsidRPr="00332758">
              <w:rPr>
                <w:sz w:val="16"/>
                <w:lang w:val="es-ES_tradnl"/>
              </w:rPr>
              <w:t>IV.2</w:t>
            </w:r>
          </w:p>
        </w:tc>
        <w:tc>
          <w:tcPr>
            <w:tcW w:w="4008" w:type="dxa"/>
            <w:tcBorders>
              <w:left w:val="nil"/>
              <w:bottom w:val="nil"/>
              <w:right w:val="nil"/>
            </w:tcBorders>
            <w:shd w:val="clear" w:color="000000" w:fill="FFFFFF"/>
            <w:hideMark/>
          </w:tcPr>
          <w:p w:rsidR="00525604" w:rsidRPr="00A34388" w:rsidRDefault="00525604" w:rsidP="00853209">
            <w:pPr>
              <w:spacing w:before="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559" w:type="dxa"/>
            <w:tcBorders>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w:t>
            </w:r>
          </w:p>
        </w:tc>
        <w:tc>
          <w:tcPr>
            <w:tcW w:w="1559" w:type="dxa"/>
            <w:tcBorders>
              <w:left w:val="nil"/>
              <w:bottom w:val="nil"/>
              <w:right w:val="nil"/>
            </w:tcBorders>
            <w:shd w:val="clear" w:color="000000" w:fill="FFFFFF"/>
            <w:vAlign w:val="center"/>
            <w:hideMark/>
          </w:tcPr>
          <w:p w:rsidR="00525604" w:rsidRPr="00A34388" w:rsidRDefault="00525604" w:rsidP="00853209">
            <w:pPr>
              <w:spacing w:before="120"/>
              <w:jc w:val="right"/>
              <w:rPr>
                <w:rFonts w:cs="Arial"/>
                <w:color w:val="808080"/>
                <w:sz w:val="16"/>
                <w:szCs w:val="16"/>
                <w:lang w:val="es-ES_tradnl"/>
              </w:rPr>
            </w:pPr>
            <w:r w:rsidRPr="00332758">
              <w:rPr>
                <w:sz w:val="16"/>
                <w:lang w:val="es-ES_tradnl"/>
              </w:rPr>
              <w:t xml:space="preserve">1.055 </w:t>
            </w:r>
          </w:p>
        </w:tc>
        <w:tc>
          <w:tcPr>
            <w:tcW w:w="1560" w:type="dxa"/>
            <w:tcBorders>
              <w:left w:val="nil"/>
              <w:bottom w:val="nil"/>
              <w:right w:val="single" w:sz="4" w:space="0" w:color="auto"/>
            </w:tcBorders>
            <w:shd w:val="clear" w:color="000000" w:fill="FFFFFF"/>
            <w:vAlign w:val="center"/>
            <w:hideMark/>
          </w:tcPr>
          <w:p w:rsidR="00525604" w:rsidRPr="00332758" w:rsidRDefault="00525604" w:rsidP="00853209">
            <w:pPr>
              <w:spacing w:before="120"/>
              <w:jc w:val="right"/>
              <w:rPr>
                <w:rFonts w:cs="Arial"/>
                <w:sz w:val="16"/>
                <w:szCs w:val="16"/>
                <w:lang w:val="es-ES_tradnl"/>
              </w:rPr>
            </w:pPr>
            <w:r w:rsidRPr="00332758">
              <w:rPr>
                <w:sz w:val="16"/>
                <w:lang w:val="es-ES_tradnl"/>
              </w:rPr>
              <w:t>955</w:t>
            </w:r>
          </w:p>
        </w:tc>
      </w:tr>
      <w:tr w:rsidR="00525604" w:rsidRPr="00A34388" w:rsidTr="00853209">
        <w:tc>
          <w:tcPr>
            <w:tcW w:w="670" w:type="dxa"/>
            <w:tcBorders>
              <w:top w:val="nil"/>
              <w:left w:val="single" w:sz="4" w:space="0" w:color="auto"/>
              <w:bottom w:val="single" w:sz="4" w:space="0" w:color="auto"/>
              <w:right w:val="nil"/>
            </w:tcBorders>
            <w:shd w:val="clear" w:color="000000" w:fill="FFFFFF"/>
            <w:noWrap/>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IV.5</w:t>
            </w:r>
          </w:p>
        </w:tc>
        <w:tc>
          <w:tcPr>
            <w:tcW w:w="4008" w:type="dxa"/>
            <w:tcBorders>
              <w:top w:val="nil"/>
              <w:left w:val="nil"/>
              <w:bottom w:val="single" w:sz="4" w:space="0" w:color="auto"/>
              <w:right w:val="nil"/>
            </w:tcBorders>
            <w:shd w:val="clear" w:color="000000" w:fill="FFFFFF"/>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559"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3.690 </w:t>
            </w:r>
          </w:p>
        </w:tc>
        <w:tc>
          <w:tcPr>
            <w:tcW w:w="1559" w:type="dxa"/>
            <w:tcBorders>
              <w:top w:val="nil"/>
              <w:left w:val="nil"/>
              <w:bottom w:val="single" w:sz="4" w:space="0" w:color="auto"/>
              <w:right w:val="nil"/>
            </w:tcBorders>
            <w:shd w:val="clear" w:color="000000" w:fill="FFFFFF"/>
            <w:vAlign w:val="center"/>
            <w:hideMark/>
          </w:tcPr>
          <w:p w:rsidR="00525604" w:rsidRPr="00A34388" w:rsidRDefault="00525604" w:rsidP="00853209">
            <w:pPr>
              <w:spacing w:before="120" w:after="120"/>
              <w:jc w:val="right"/>
              <w:rPr>
                <w:rFonts w:cs="Arial"/>
                <w:color w:val="808080"/>
                <w:sz w:val="16"/>
                <w:szCs w:val="16"/>
                <w:lang w:val="es-ES_tradnl"/>
              </w:rPr>
            </w:pPr>
            <w:r w:rsidRPr="00332758">
              <w:rPr>
                <w:sz w:val="16"/>
                <w:lang w:val="es-ES_tradnl"/>
              </w:rPr>
              <w:t xml:space="preserve">2.429 </w:t>
            </w:r>
          </w:p>
        </w:tc>
        <w:tc>
          <w:tcPr>
            <w:tcW w:w="1560" w:type="dxa"/>
            <w:tcBorders>
              <w:top w:val="nil"/>
              <w:left w:val="nil"/>
              <w:bottom w:val="single" w:sz="4" w:space="0" w:color="auto"/>
              <w:right w:val="single" w:sz="4" w:space="0" w:color="auto"/>
            </w:tcBorders>
            <w:shd w:val="clear" w:color="000000" w:fill="FFFFFF"/>
            <w:vAlign w:val="center"/>
            <w:hideMark/>
          </w:tcPr>
          <w:p w:rsidR="00525604" w:rsidRPr="00332758" w:rsidRDefault="00525604" w:rsidP="00853209">
            <w:pPr>
              <w:spacing w:before="120" w:after="120"/>
              <w:jc w:val="right"/>
              <w:rPr>
                <w:rFonts w:cs="Arial"/>
                <w:sz w:val="16"/>
                <w:szCs w:val="16"/>
                <w:lang w:val="es-ES_tradnl"/>
              </w:rPr>
            </w:pPr>
            <w:r w:rsidRPr="00332758">
              <w:rPr>
                <w:sz w:val="16"/>
                <w:lang w:val="es-ES_tradnl"/>
              </w:rPr>
              <w:t>1.834</w:t>
            </w:r>
          </w:p>
        </w:tc>
      </w:tr>
      <w:tr w:rsidR="00525604" w:rsidRPr="00A34388" w:rsidTr="00853209">
        <w:tc>
          <w:tcPr>
            <w:tcW w:w="670" w:type="dxa"/>
            <w:tcBorders>
              <w:top w:val="nil"/>
              <w:left w:val="single" w:sz="4" w:space="0" w:color="auto"/>
              <w:bottom w:val="single" w:sz="4" w:space="0" w:color="auto"/>
              <w:right w:val="nil"/>
            </w:tcBorders>
            <w:shd w:val="clear" w:color="000000" w:fill="CCFFFF"/>
            <w:noWrap/>
            <w:vAlign w:val="bottom"/>
            <w:hideMark/>
          </w:tcPr>
          <w:p w:rsidR="00525604" w:rsidRPr="00A34388" w:rsidRDefault="00525604" w:rsidP="00853209">
            <w:pPr>
              <w:spacing w:before="120" w:after="120"/>
              <w:rPr>
                <w:rFonts w:cs="Arial"/>
                <w:b/>
                <w:bCs/>
                <w:color w:val="808080"/>
                <w:sz w:val="16"/>
                <w:szCs w:val="16"/>
                <w:lang w:val="es-ES_tradnl"/>
              </w:rPr>
            </w:pPr>
          </w:p>
        </w:tc>
        <w:tc>
          <w:tcPr>
            <w:tcW w:w="4008" w:type="dxa"/>
            <w:tcBorders>
              <w:top w:val="nil"/>
              <w:left w:val="nil"/>
              <w:bottom w:val="single" w:sz="4" w:space="0" w:color="auto"/>
              <w:right w:val="nil"/>
            </w:tcBorders>
            <w:shd w:val="clear" w:color="000000" w:fill="CCFFFF"/>
            <w:noWrap/>
            <w:vAlign w:val="center"/>
            <w:hideMark/>
          </w:tcPr>
          <w:p w:rsidR="00525604" w:rsidRPr="00A34388" w:rsidRDefault="00525604" w:rsidP="00853209">
            <w:pPr>
              <w:spacing w:before="120" w:after="120"/>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35.102</w:t>
            </w:r>
          </w:p>
        </w:tc>
        <w:tc>
          <w:tcPr>
            <w:tcW w:w="1559" w:type="dxa"/>
            <w:tcBorders>
              <w:top w:val="nil"/>
              <w:left w:val="nil"/>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34.562</w:t>
            </w:r>
          </w:p>
        </w:tc>
        <w:tc>
          <w:tcPr>
            <w:tcW w:w="1560" w:type="dxa"/>
            <w:tcBorders>
              <w:top w:val="nil"/>
              <w:left w:val="nil"/>
              <w:bottom w:val="single" w:sz="4" w:space="0" w:color="auto"/>
              <w:right w:val="single" w:sz="4" w:space="0" w:color="auto"/>
            </w:tcBorders>
            <w:shd w:val="clear" w:color="000000" w:fill="CCFFFF"/>
            <w:vAlign w:val="center"/>
            <w:hideMark/>
          </w:tcPr>
          <w:p w:rsidR="00525604" w:rsidRPr="00332758" w:rsidRDefault="00525604" w:rsidP="00853209">
            <w:pPr>
              <w:spacing w:before="120" w:after="120"/>
              <w:jc w:val="right"/>
              <w:rPr>
                <w:rFonts w:cs="Arial"/>
                <w:b/>
                <w:bCs/>
                <w:sz w:val="16"/>
                <w:szCs w:val="16"/>
                <w:lang w:val="es-ES_tradnl"/>
              </w:rPr>
            </w:pPr>
            <w:r w:rsidRPr="00332758">
              <w:rPr>
                <w:b/>
                <w:sz w:val="16"/>
                <w:lang w:val="es-ES_tradnl"/>
              </w:rPr>
              <w:t>34.472</w:t>
            </w:r>
          </w:p>
        </w:tc>
      </w:tr>
    </w:tbl>
    <w:p w:rsidR="00525604" w:rsidRPr="00A34388" w:rsidRDefault="00525604" w:rsidP="00525604">
      <w:pPr>
        <w:rPr>
          <w:lang w:val="es-ES_tradnl"/>
        </w:rPr>
      </w:pPr>
    </w:p>
    <w:p w:rsidR="00525604" w:rsidRPr="00A34388" w:rsidRDefault="00525604" w:rsidP="00525604">
      <w:pPr>
        <w:rPr>
          <w:lang w:val="es-ES_tradnl"/>
        </w:rPr>
      </w:pPr>
    </w:p>
    <w:p w:rsidR="00A9558A" w:rsidRDefault="00A9558A">
      <w:pPr>
        <w:rPr>
          <w:lang w:val="es-ES_tradnl"/>
        </w:rPr>
      </w:pPr>
    </w:p>
    <w:p w:rsidR="00525604" w:rsidRPr="00A34388" w:rsidRDefault="00525604" w:rsidP="00525604">
      <w:pPr>
        <w:jc w:val="center"/>
        <w:rPr>
          <w:lang w:val="es-ES_tradnl"/>
        </w:rPr>
      </w:pPr>
      <w:r w:rsidRPr="00A34388">
        <w:rPr>
          <w:lang w:val="es-ES_tradnl"/>
        </w:rPr>
        <w:t>Presupuesto y gastos reales (de personal y no relativos al personal)</w:t>
      </w:r>
    </w:p>
    <w:p w:rsidR="00525604" w:rsidRPr="00A34388" w:rsidRDefault="00525604" w:rsidP="00525604">
      <w:pPr>
        <w:jc w:val="center"/>
        <w:rPr>
          <w:i/>
          <w:lang w:val="es-ES_tradnl"/>
        </w:rPr>
      </w:pPr>
      <w:r w:rsidRPr="00332758">
        <w:rPr>
          <w:i/>
          <w:lang w:val="es-ES_tradnl"/>
        </w:rPr>
        <w:t>(en miles de francos suizos)</w:t>
      </w:r>
    </w:p>
    <w:p w:rsidR="00525604" w:rsidRPr="00A34388" w:rsidRDefault="00525604" w:rsidP="00525604">
      <w:pPr>
        <w:rPr>
          <w:lang w:val="es-ES_tradnl"/>
        </w:rPr>
      </w:pPr>
    </w:p>
    <w:tbl>
      <w:tblPr>
        <w:tblW w:w="0" w:type="auto"/>
        <w:tblInd w:w="108" w:type="dxa"/>
        <w:tblLook w:val="04A0" w:firstRow="1" w:lastRow="0" w:firstColumn="1" w:lastColumn="0" w:noHBand="0" w:noVBand="1"/>
      </w:tblPr>
      <w:tblGrid>
        <w:gridCol w:w="2410"/>
        <w:gridCol w:w="1736"/>
        <w:gridCol w:w="1737"/>
        <w:gridCol w:w="1736"/>
        <w:gridCol w:w="1737"/>
      </w:tblGrid>
      <w:tr w:rsidR="00525604" w:rsidRPr="00A34388" w:rsidTr="00853209">
        <w:tc>
          <w:tcPr>
            <w:tcW w:w="241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5604" w:rsidRPr="00A34388" w:rsidRDefault="00525604" w:rsidP="00853209">
            <w:pPr>
              <w:spacing w:before="120" w:after="120"/>
              <w:jc w:val="center"/>
              <w:rPr>
                <w:rFonts w:cs="Arial"/>
                <w:color w:val="000000"/>
                <w:sz w:val="16"/>
                <w:szCs w:val="16"/>
                <w:lang w:val="es-ES_tradnl"/>
              </w:rPr>
            </w:pP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80808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525604" w:rsidRPr="00A34388" w:rsidRDefault="00525604"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525604" w:rsidRPr="00A34388" w:rsidTr="0085320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22.512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23.670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23.670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100%</w:t>
            </w:r>
          </w:p>
        </w:tc>
      </w:tr>
      <w:tr w:rsidR="00525604" w:rsidRPr="00A34388" w:rsidTr="0085320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12.590</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10.892</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color w:val="808080"/>
                <w:sz w:val="16"/>
                <w:szCs w:val="16"/>
                <w:lang w:val="es-ES_tradnl"/>
              </w:rPr>
            </w:pPr>
            <w:r w:rsidRPr="00332758">
              <w:rPr>
                <w:sz w:val="16"/>
                <w:lang w:val="es-ES_tradnl"/>
              </w:rPr>
              <w:t>8.801</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sz w:val="16"/>
                <w:szCs w:val="16"/>
                <w:lang w:val="es-ES_tradnl"/>
              </w:rPr>
            </w:pPr>
            <w:r w:rsidRPr="00332758">
              <w:rPr>
                <w:sz w:val="16"/>
                <w:lang w:val="es-ES_tradnl"/>
              </w:rPr>
              <w:t>81%</w:t>
            </w:r>
          </w:p>
        </w:tc>
      </w:tr>
      <w:tr w:rsidR="00525604" w:rsidRPr="00A34388" w:rsidTr="0085320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525604" w:rsidRPr="00A34388" w:rsidRDefault="00525604"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35.102</w:t>
            </w:r>
          </w:p>
        </w:tc>
        <w:tc>
          <w:tcPr>
            <w:tcW w:w="1737"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34.562</w:t>
            </w:r>
          </w:p>
        </w:tc>
        <w:tc>
          <w:tcPr>
            <w:tcW w:w="1736" w:type="dxa"/>
            <w:tcBorders>
              <w:top w:val="nil"/>
              <w:left w:val="nil"/>
              <w:bottom w:val="single" w:sz="4" w:space="0" w:color="auto"/>
              <w:right w:val="single" w:sz="4" w:space="0" w:color="auto"/>
            </w:tcBorders>
            <w:shd w:val="clear" w:color="auto" w:fill="auto"/>
            <w:vAlign w:val="center"/>
            <w:hideMark/>
          </w:tcPr>
          <w:p w:rsidR="00525604" w:rsidRPr="00A34388" w:rsidRDefault="00525604" w:rsidP="00853209">
            <w:pPr>
              <w:spacing w:before="120" w:after="120"/>
              <w:jc w:val="center"/>
              <w:rPr>
                <w:rFonts w:cs="Arial"/>
                <w:b/>
                <w:bCs/>
                <w:color w:val="808080"/>
                <w:sz w:val="16"/>
                <w:szCs w:val="16"/>
                <w:lang w:val="es-ES_tradnl"/>
              </w:rPr>
            </w:pPr>
            <w:r w:rsidRPr="00332758">
              <w:rPr>
                <w:b/>
                <w:sz w:val="16"/>
                <w:lang w:val="es-ES_tradnl"/>
              </w:rPr>
              <w:t>32.472</w:t>
            </w:r>
          </w:p>
        </w:tc>
        <w:tc>
          <w:tcPr>
            <w:tcW w:w="1737" w:type="dxa"/>
            <w:tcBorders>
              <w:top w:val="nil"/>
              <w:left w:val="nil"/>
              <w:bottom w:val="single" w:sz="4" w:space="0" w:color="auto"/>
              <w:right w:val="single" w:sz="4" w:space="0" w:color="auto"/>
            </w:tcBorders>
            <w:shd w:val="clear" w:color="auto" w:fill="auto"/>
            <w:vAlign w:val="center"/>
            <w:hideMark/>
          </w:tcPr>
          <w:p w:rsidR="00525604" w:rsidRPr="00332758" w:rsidRDefault="00525604" w:rsidP="00853209">
            <w:pPr>
              <w:spacing w:before="120" w:after="120"/>
              <w:jc w:val="center"/>
              <w:rPr>
                <w:rFonts w:cs="Arial"/>
                <w:b/>
                <w:bCs/>
                <w:sz w:val="16"/>
                <w:szCs w:val="16"/>
                <w:lang w:val="es-ES_tradnl"/>
              </w:rPr>
            </w:pPr>
            <w:r w:rsidRPr="00332758">
              <w:rPr>
                <w:b/>
                <w:sz w:val="16"/>
                <w:lang w:val="es-ES_tradnl"/>
              </w:rPr>
              <w:t>94%</w:t>
            </w:r>
          </w:p>
        </w:tc>
      </w:tr>
    </w:tbl>
    <w:p w:rsidR="00525604" w:rsidRPr="00A34388" w:rsidRDefault="00525604" w:rsidP="00525604">
      <w:pPr>
        <w:rPr>
          <w:rFonts w:cs="Arial"/>
          <w:lang w:val="es-ES_tradnl"/>
        </w:rPr>
      </w:pPr>
    </w:p>
    <w:p w:rsidR="00525604" w:rsidRPr="00A34388" w:rsidRDefault="00525604" w:rsidP="00525604">
      <w:pPr>
        <w:keepNext/>
        <w:keepLines/>
        <w:autoSpaceDE w:val="0"/>
        <w:autoSpaceDN w:val="0"/>
        <w:adjustRightInd w:val="0"/>
        <w:rPr>
          <w:sz w:val="16"/>
          <w:szCs w:val="16"/>
          <w:lang w:val="es-ES_tradnl"/>
        </w:rPr>
      </w:pPr>
      <w:r w:rsidRPr="00332758">
        <w:rPr>
          <w:sz w:val="16"/>
          <w:lang w:val="es-ES_tradnl"/>
        </w:rPr>
        <w:lastRenderedPageBreak/>
        <w:t>NOTAS:</w:t>
      </w:r>
    </w:p>
    <w:p w:rsidR="00525604" w:rsidRPr="00A34388" w:rsidRDefault="00525604" w:rsidP="00525604">
      <w:pPr>
        <w:keepNext/>
        <w:keepLines/>
        <w:autoSpaceDE w:val="0"/>
        <w:autoSpaceDN w:val="0"/>
        <w:adjustRightInd w:val="0"/>
        <w:rPr>
          <w:sz w:val="16"/>
          <w:szCs w:val="16"/>
          <w:lang w:val="es-ES_tradnl"/>
        </w:rPr>
      </w:pPr>
    </w:p>
    <w:p w:rsidR="00525604" w:rsidRPr="00A34388" w:rsidRDefault="00525604" w:rsidP="00525604">
      <w:pPr>
        <w:keepNext/>
        <w:keepLines/>
        <w:autoSpaceDE w:val="0"/>
        <w:autoSpaceDN w:val="0"/>
        <w:adjustRightInd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525604" w:rsidRPr="00A34388" w:rsidRDefault="00525604" w:rsidP="00525604">
      <w:pPr>
        <w:keepNext/>
        <w:keepLines/>
        <w:autoSpaceDE w:val="0"/>
        <w:autoSpaceDN w:val="0"/>
        <w:adjustRightInd w:val="0"/>
        <w:rPr>
          <w:sz w:val="16"/>
          <w:szCs w:val="16"/>
          <w:lang w:val="es-ES_tradnl"/>
        </w:rPr>
      </w:pPr>
    </w:p>
    <w:p w:rsidR="00525604" w:rsidRPr="00A34388" w:rsidRDefault="00525604" w:rsidP="008372FC">
      <w:pPr>
        <w:keepNext/>
        <w:keepLines/>
        <w:autoSpaceDE w:val="0"/>
        <w:autoSpaceDN w:val="0"/>
        <w:adjustRightInd w:val="0"/>
        <w:jc w:val="both"/>
        <w:rPr>
          <w:sz w:val="16"/>
          <w:szCs w:val="16"/>
          <w:lang w:val="es-ES_tradnl"/>
        </w:rPr>
      </w:pPr>
      <w:r w:rsidRPr="00A34388">
        <w:rPr>
          <w:sz w:val="16"/>
          <w:lang w:val="es-ES_tradnl"/>
        </w:rPr>
        <w:t xml:space="preserve">2)  </w:t>
      </w:r>
      <w:r w:rsidR="00EB2A5D" w:rsidRPr="00A34388">
        <w:rPr>
          <w:sz w:val="16"/>
          <w:lang w:val="es-ES_tradnl"/>
        </w:rPr>
        <w:t>La asignación para el personal del presupuesto de 2012/13 después de las transferencias representa los gastos reales efectuados en el bienio.</w:t>
      </w:r>
      <w:r w:rsidRPr="00A34388">
        <w:rPr>
          <w:sz w:val="16"/>
          <w:lang w:val="es-ES_tradnl"/>
        </w:rPr>
        <w:t xml:space="preserve"> </w:t>
      </w:r>
    </w:p>
    <w:p w:rsidR="00525604" w:rsidRPr="00A34388" w:rsidRDefault="00525604" w:rsidP="00525604">
      <w:pPr>
        <w:keepNext/>
        <w:keepLines/>
        <w:autoSpaceDE w:val="0"/>
        <w:autoSpaceDN w:val="0"/>
        <w:adjustRightInd w:val="0"/>
        <w:rPr>
          <w:sz w:val="16"/>
          <w:szCs w:val="16"/>
          <w:lang w:val="es-ES_tradnl"/>
        </w:rPr>
      </w:pPr>
    </w:p>
    <w:p w:rsidR="00525604" w:rsidRPr="00A34388" w:rsidRDefault="00525604" w:rsidP="00525604">
      <w:pPr>
        <w:jc w:val="both"/>
        <w:rPr>
          <w:rFonts w:cs="Arial"/>
          <w:lang w:val="es-ES_tradnl"/>
        </w:rPr>
      </w:pPr>
    </w:p>
    <w:p w:rsidR="00525604" w:rsidRPr="00332758" w:rsidRDefault="00525604" w:rsidP="00525604">
      <w:pPr>
        <w:keepNext/>
        <w:keepLines/>
        <w:jc w:val="both"/>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525604" w:rsidRPr="00332758" w:rsidRDefault="00525604" w:rsidP="00525604">
      <w:pPr>
        <w:keepNext/>
        <w:keepLines/>
        <w:jc w:val="both"/>
        <w:rPr>
          <w:u w:val="single"/>
          <w:lang w:val="es-ES_tradnl"/>
        </w:rPr>
      </w:pPr>
    </w:p>
    <w:p w:rsidR="00525604" w:rsidRPr="00332758" w:rsidRDefault="00525604" w:rsidP="00525604">
      <w:pPr>
        <w:keepNext/>
        <w:keepLines/>
        <w:tabs>
          <w:tab w:val="left" w:pos="709"/>
        </w:tabs>
        <w:autoSpaceDE w:val="0"/>
        <w:autoSpaceDN w:val="0"/>
        <w:adjustRightInd w:val="0"/>
        <w:jc w:val="both"/>
        <w:rPr>
          <w:szCs w:val="20"/>
          <w:lang w:val="es-ES_tradnl"/>
        </w:rPr>
      </w:pPr>
      <w:r w:rsidRPr="00332758">
        <w:rPr>
          <w:lang w:val="es-ES_tradnl"/>
        </w:rPr>
        <w:t>9.20.</w:t>
      </w:r>
      <w:r w:rsidRPr="00A34388">
        <w:rPr>
          <w:lang w:val="es-ES_tradnl"/>
        </w:rPr>
        <w:tab/>
      </w:r>
      <w:r w:rsidRPr="00332758">
        <w:rPr>
          <w:lang w:val="es-ES_tradnl"/>
        </w:rPr>
        <w:t>La asignación</w:t>
      </w:r>
      <w:r w:rsidR="00DD3A9C" w:rsidRPr="00332758">
        <w:rPr>
          <w:lang w:val="es-ES_tradnl"/>
        </w:rPr>
        <w:t xml:space="preserve"> total</w:t>
      </w:r>
      <w:r w:rsidRPr="00332758">
        <w:rPr>
          <w:lang w:val="es-ES_tradnl"/>
        </w:rPr>
        <w:t xml:space="preserve">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  </w:t>
      </w:r>
    </w:p>
    <w:p w:rsidR="00525604" w:rsidRPr="00A34388" w:rsidRDefault="00525604" w:rsidP="00525604">
      <w:pPr>
        <w:jc w:val="both"/>
        <w:rPr>
          <w:lang w:val="es-ES_tradnl"/>
        </w:rPr>
      </w:pPr>
    </w:p>
    <w:p w:rsidR="00525604" w:rsidRPr="00A34388" w:rsidRDefault="00525604" w:rsidP="00525604">
      <w:pPr>
        <w:tabs>
          <w:tab w:val="left" w:pos="709"/>
        </w:tabs>
        <w:jc w:val="both"/>
        <w:rPr>
          <w:lang w:val="es-ES_tradnl"/>
        </w:rPr>
      </w:pPr>
      <w:r w:rsidRPr="00A34388">
        <w:rPr>
          <w:lang w:val="es-ES_tradnl"/>
        </w:rPr>
        <w:t>9.21.</w:t>
      </w:r>
      <w:r w:rsidRPr="00A34388">
        <w:rPr>
          <w:lang w:val="es-ES_tradnl"/>
        </w:rPr>
        <w:tab/>
        <w:t>Por lo que respecta al presupuesto después de las transferencias por resultado, durante el bienio se realizaron los ajustes siguientes:</w:t>
      </w:r>
    </w:p>
    <w:p w:rsidR="00525604" w:rsidRPr="00A34388" w:rsidRDefault="00525604" w:rsidP="00525604">
      <w:pPr>
        <w:jc w:val="both"/>
        <w:rPr>
          <w:sz w:val="16"/>
          <w:szCs w:val="16"/>
          <w:lang w:val="es-ES_tradnl"/>
        </w:rPr>
      </w:pPr>
    </w:p>
    <w:p w:rsidR="00525604" w:rsidRPr="00A34388" w:rsidRDefault="00525604" w:rsidP="00525604">
      <w:pPr>
        <w:pStyle w:val="ListParagraph"/>
        <w:numPr>
          <w:ilvl w:val="0"/>
          <w:numId w:val="33"/>
        </w:numPr>
        <w:ind w:left="1134"/>
        <w:jc w:val="both"/>
        <w:rPr>
          <w:lang w:val="es-ES_tradnl"/>
        </w:rPr>
      </w:pPr>
      <w:r w:rsidRPr="00A34388">
        <w:rPr>
          <w:lang w:val="es-ES_tradnl"/>
        </w:rPr>
        <w:t xml:space="preserve">una transferencia de recursos </w:t>
      </w:r>
      <w:r w:rsidR="00024E11" w:rsidRPr="00A34388">
        <w:rPr>
          <w:lang w:val="es-ES_tradnl"/>
        </w:rPr>
        <w:t xml:space="preserve">respecto del </w:t>
      </w:r>
      <w:r w:rsidRPr="00A34388">
        <w:rPr>
          <w:lang w:val="es-ES_tradnl"/>
        </w:rPr>
        <w:t xml:space="preserve">proyecto de la Agenda para el Desarrollo sobre intensificación de la cooperación Sur-Sur en materia de P.I. y desarrollo entre los países en desarrollo y los PMA </w:t>
      </w:r>
      <w:r w:rsidR="00024E11" w:rsidRPr="00A34388">
        <w:rPr>
          <w:lang w:val="es-ES_tradnl"/>
        </w:rPr>
        <w:t xml:space="preserve">en el marco del </w:t>
      </w:r>
      <w:r w:rsidRPr="00A34388">
        <w:rPr>
          <w:lang w:val="es-ES_tradnl"/>
        </w:rPr>
        <w:t xml:space="preserve">resultado III.6 (Integración de la Agenda para el Desarrollo), en favor de los fondos de reserva; </w:t>
      </w:r>
    </w:p>
    <w:p w:rsidR="00525604" w:rsidRPr="00A34388" w:rsidRDefault="00525604" w:rsidP="00525604">
      <w:pPr>
        <w:ind w:left="1134"/>
        <w:jc w:val="both"/>
        <w:rPr>
          <w:sz w:val="14"/>
          <w:szCs w:val="20"/>
          <w:lang w:val="es-ES_tradnl"/>
        </w:rPr>
      </w:pPr>
    </w:p>
    <w:p w:rsidR="00525604" w:rsidRPr="00A34388" w:rsidRDefault="00525604" w:rsidP="00525604">
      <w:pPr>
        <w:pStyle w:val="ListParagraph"/>
        <w:numPr>
          <w:ilvl w:val="0"/>
          <w:numId w:val="33"/>
        </w:numPr>
        <w:ind w:left="1134"/>
        <w:jc w:val="both"/>
        <w:rPr>
          <w:lang w:val="es-ES_tradnl"/>
        </w:rPr>
      </w:pPr>
      <w:r w:rsidRPr="00A34388">
        <w:rPr>
          <w:lang w:val="es-ES_tradnl"/>
        </w:rPr>
        <w:t xml:space="preserve">la asignación de recursos adicionales para el desarrollo de estrategias nacionales de P.I. </w:t>
      </w:r>
      <w:r w:rsidR="00024E11" w:rsidRPr="00A34388">
        <w:rPr>
          <w:lang w:val="es-ES_tradnl"/>
        </w:rPr>
        <w:t xml:space="preserve">en el marco del </w:t>
      </w:r>
      <w:r w:rsidRPr="00A34388">
        <w:rPr>
          <w:lang w:val="es-ES_tradnl"/>
        </w:rPr>
        <w:t xml:space="preserve">resultado III.1 (Estrategias nacionales de P.I.), </w:t>
      </w:r>
      <w:r w:rsidR="00F84293" w:rsidRPr="00A34388">
        <w:rPr>
          <w:lang w:val="es-ES_tradnl"/>
        </w:rPr>
        <w:t xml:space="preserve">que refleja </w:t>
      </w:r>
      <w:r w:rsidR="00BC3916" w:rsidRPr="00A34388">
        <w:rPr>
          <w:lang w:val="es-ES_tradnl"/>
        </w:rPr>
        <w:t xml:space="preserve">el mayor hincapié que se hace en </w:t>
      </w:r>
      <w:r w:rsidRPr="00A34388">
        <w:rPr>
          <w:lang w:val="es-ES_tradnl"/>
        </w:rPr>
        <w:t xml:space="preserve">estas actividades, incluyendo la puesta en marcha del proyecto de la Agenda para el Desarrollo sobre estrategias nacionales de P.I.; </w:t>
      </w:r>
    </w:p>
    <w:p w:rsidR="00525604" w:rsidRPr="00A34388" w:rsidRDefault="00525604" w:rsidP="00525604">
      <w:pPr>
        <w:pStyle w:val="ListParagraph"/>
        <w:ind w:left="1134"/>
        <w:jc w:val="both"/>
        <w:rPr>
          <w:sz w:val="14"/>
          <w:lang w:val="es-ES_tradnl"/>
        </w:rPr>
      </w:pPr>
    </w:p>
    <w:p w:rsidR="00BC3916" w:rsidRPr="00A34388" w:rsidRDefault="00BC3916" w:rsidP="00525604">
      <w:pPr>
        <w:pStyle w:val="ListParagraph"/>
        <w:ind w:left="1134"/>
        <w:jc w:val="both"/>
        <w:rPr>
          <w:sz w:val="14"/>
          <w:lang w:val="es-ES_tradnl"/>
        </w:rPr>
      </w:pPr>
    </w:p>
    <w:p w:rsidR="00525604" w:rsidRPr="00A34388" w:rsidRDefault="00525604" w:rsidP="00525604">
      <w:pPr>
        <w:pStyle w:val="ListParagraph"/>
        <w:numPr>
          <w:ilvl w:val="0"/>
          <w:numId w:val="33"/>
        </w:numPr>
        <w:ind w:left="1134"/>
        <w:jc w:val="both"/>
        <w:rPr>
          <w:lang w:val="es-ES_tradnl"/>
        </w:rPr>
      </w:pPr>
      <w:r w:rsidRPr="00A34388">
        <w:rPr>
          <w:lang w:val="es-ES_tradnl"/>
        </w:rPr>
        <w:t xml:space="preserve">un </w:t>
      </w:r>
      <w:r w:rsidR="00024E11" w:rsidRPr="00A34388">
        <w:rPr>
          <w:lang w:val="es-ES_tradnl"/>
        </w:rPr>
        <w:t xml:space="preserve">trasvase </w:t>
      </w:r>
      <w:r w:rsidRPr="00A34388">
        <w:rPr>
          <w:lang w:val="es-ES_tradnl"/>
        </w:rPr>
        <w:t>de recursos del resultado III.3 (Mecanismos de cooperación, programas y asociaciones nuevos o consolidados en los PMA) al resultado IV.2 (Mejora en el acceso a la información y los conocimientos sobre P.I. y su utilización</w:t>
      </w:r>
      <w:r w:rsidRPr="00A34388">
        <w:rPr>
          <w:color w:val="000000"/>
          <w:lang w:val="es-ES_tradnl"/>
        </w:rPr>
        <w:t xml:space="preserve">), </w:t>
      </w:r>
      <w:r w:rsidR="00BC3916" w:rsidRPr="00A34388">
        <w:rPr>
          <w:lang w:val="es-ES_tradnl"/>
        </w:rPr>
        <w:t>el mayor hincapié que se hace en</w:t>
      </w:r>
      <w:r w:rsidR="00BC3916" w:rsidRPr="00A34388">
        <w:rPr>
          <w:color w:val="000000"/>
          <w:lang w:val="es-ES_tradnl"/>
        </w:rPr>
        <w:t xml:space="preserve"> el </w:t>
      </w:r>
      <w:r w:rsidRPr="00A34388">
        <w:rPr>
          <w:color w:val="000000"/>
          <w:lang w:val="es-ES_tradnl"/>
        </w:rPr>
        <w:t xml:space="preserve">establecimiento de CATI en PMA y la aplicación del proyecto de la Agenda para el Desarrollo sobre tecnologías adecuadas en los PMA; </w:t>
      </w:r>
    </w:p>
    <w:p w:rsidR="00525604" w:rsidRPr="00A34388" w:rsidRDefault="00525604" w:rsidP="00525604">
      <w:pPr>
        <w:pStyle w:val="ListParagraph"/>
        <w:ind w:left="1134"/>
        <w:jc w:val="both"/>
        <w:rPr>
          <w:sz w:val="14"/>
          <w:lang w:val="es-ES_tradnl"/>
        </w:rPr>
      </w:pPr>
    </w:p>
    <w:p w:rsidR="00525604" w:rsidRPr="00A34388" w:rsidRDefault="00525604" w:rsidP="00525604">
      <w:pPr>
        <w:pStyle w:val="ListParagraph"/>
        <w:numPr>
          <w:ilvl w:val="0"/>
          <w:numId w:val="33"/>
        </w:numPr>
        <w:ind w:left="1134"/>
        <w:jc w:val="both"/>
        <w:rPr>
          <w:lang w:val="es-ES_tradnl"/>
        </w:rPr>
      </w:pPr>
      <w:r w:rsidRPr="00A34388">
        <w:rPr>
          <w:lang w:val="es-ES_tradnl"/>
        </w:rPr>
        <w:t xml:space="preserve">un </w:t>
      </w:r>
      <w:r w:rsidR="00F574B0" w:rsidRPr="00A34388">
        <w:rPr>
          <w:lang w:val="es-ES_tradnl"/>
        </w:rPr>
        <w:t xml:space="preserve">trasvase </w:t>
      </w:r>
      <w:r w:rsidRPr="00A34388">
        <w:rPr>
          <w:lang w:val="es-ES_tradnl"/>
        </w:rPr>
        <w:t xml:space="preserve">de recursos del resultado III.7 (Eficacia en la supervisión de las recomendaciones de la Agenda para el Desarrollo) al resultado III.5 (Fomento de las capacidades de gestión de P.I. para las empresas), que </w:t>
      </w:r>
      <w:r w:rsidR="000562B1" w:rsidRPr="00A34388">
        <w:rPr>
          <w:lang w:val="es-ES_tradnl"/>
        </w:rPr>
        <w:t xml:space="preserve">responde a </w:t>
      </w:r>
      <w:r w:rsidRPr="00A34388">
        <w:rPr>
          <w:lang w:val="es-ES_tradnl"/>
        </w:rPr>
        <w:t>la aplicación del proyecto de la Agenda para el Desarrollo sobre el desarrollo de marcas de producto;  y</w:t>
      </w:r>
    </w:p>
    <w:p w:rsidR="00525604" w:rsidRPr="00A34388" w:rsidRDefault="00525604" w:rsidP="00525604">
      <w:pPr>
        <w:pStyle w:val="ListParagraph"/>
        <w:ind w:left="1134"/>
        <w:jc w:val="both"/>
        <w:rPr>
          <w:sz w:val="14"/>
          <w:lang w:val="es-ES_tradnl"/>
        </w:rPr>
      </w:pPr>
    </w:p>
    <w:p w:rsidR="00525604" w:rsidRPr="00332758" w:rsidRDefault="00EF4041" w:rsidP="00525604">
      <w:pPr>
        <w:pStyle w:val="ListParagraph"/>
        <w:numPr>
          <w:ilvl w:val="0"/>
          <w:numId w:val="33"/>
        </w:numPr>
        <w:ind w:left="1134"/>
        <w:jc w:val="both"/>
        <w:rPr>
          <w:lang w:val="es-ES_tradnl"/>
        </w:rPr>
      </w:pPr>
      <w:r w:rsidRPr="00332758">
        <w:rPr>
          <w:lang w:val="es-ES_tradnl"/>
        </w:rPr>
        <w:t xml:space="preserve">la </w:t>
      </w:r>
      <w:r w:rsidR="00525604" w:rsidRPr="00332758">
        <w:rPr>
          <w:lang w:val="es-ES_tradnl"/>
        </w:rPr>
        <w:t xml:space="preserve">disminución de los recursos relativos al resultado IV.5 (Mejora en la infraestructura técnica y de conocimientos) se debe a la aplicación continuada de la integración de las actividades de las oficinas de P.I. relacionadas con la infraestructura en el programa 15. </w:t>
      </w:r>
    </w:p>
    <w:p w:rsidR="00525604" w:rsidRPr="00A34388" w:rsidRDefault="00525604" w:rsidP="00525604">
      <w:pPr>
        <w:jc w:val="both"/>
        <w:rPr>
          <w:lang w:val="es-ES_tradnl"/>
        </w:rPr>
      </w:pPr>
    </w:p>
    <w:p w:rsidR="00525604" w:rsidRPr="00A34388" w:rsidRDefault="00525604" w:rsidP="00525604">
      <w:pPr>
        <w:keepNext/>
        <w:keepLines/>
        <w:tabs>
          <w:tab w:val="left" w:pos="709"/>
        </w:tabs>
        <w:jc w:val="both"/>
        <w:rPr>
          <w:rFonts w:eastAsia="Batang"/>
          <w:u w:val="single"/>
          <w:lang w:val="es-ES_tradnl"/>
        </w:rPr>
      </w:pPr>
      <w:r w:rsidRPr="00A34388">
        <w:rPr>
          <w:lang w:val="es-ES_tradnl"/>
        </w:rPr>
        <w:t>B.</w:t>
      </w:r>
      <w:r w:rsidRPr="00A34388">
        <w:rPr>
          <w:lang w:val="es-ES_tradnl"/>
        </w:rPr>
        <w:tab/>
      </w:r>
      <w:r w:rsidRPr="00A34388">
        <w:rPr>
          <w:u w:val="single"/>
          <w:lang w:val="es-ES_tradnl"/>
        </w:rPr>
        <w:t>Utilización del presupuesto</w:t>
      </w:r>
      <w:r w:rsidR="001B6AC7" w:rsidRPr="00A34388">
        <w:rPr>
          <w:u w:val="single"/>
          <w:lang w:val="es-ES_tradnl"/>
        </w:rPr>
        <w:t xml:space="preserve"> en</w:t>
      </w:r>
      <w:r w:rsidRPr="00A34388">
        <w:rPr>
          <w:u w:val="single"/>
          <w:lang w:val="es-ES_tradnl"/>
        </w:rPr>
        <w:t> 2012/13</w:t>
      </w:r>
    </w:p>
    <w:p w:rsidR="00525604" w:rsidRPr="00A34388" w:rsidRDefault="00525604" w:rsidP="00525604">
      <w:pPr>
        <w:keepNext/>
        <w:keepLines/>
        <w:jc w:val="both"/>
        <w:rPr>
          <w:b/>
          <w:bCs/>
          <w:lang w:val="es-ES_tradnl"/>
        </w:rPr>
      </w:pPr>
    </w:p>
    <w:p w:rsidR="00525604" w:rsidRPr="00A34388" w:rsidRDefault="00525604" w:rsidP="00525604">
      <w:pPr>
        <w:tabs>
          <w:tab w:val="left" w:pos="709"/>
        </w:tabs>
        <w:jc w:val="both"/>
        <w:rPr>
          <w:rFonts w:eastAsia="Batang" w:cs="Arial"/>
          <w:szCs w:val="20"/>
          <w:lang w:val="es-ES_tradnl"/>
        </w:rPr>
      </w:pPr>
      <w:r w:rsidRPr="00A34388">
        <w:rPr>
          <w:lang w:val="es-ES_tradnl"/>
        </w:rPr>
        <w:t>9.22.</w:t>
      </w:r>
      <w:r w:rsidRPr="00A34388">
        <w:rPr>
          <w:lang w:val="es-ES_tradnl"/>
        </w:rPr>
        <w:tab/>
        <w:t xml:space="preserve">El índice de utilización </w:t>
      </w:r>
      <w:r w:rsidR="00A10BC0" w:rsidRPr="00A34388">
        <w:rPr>
          <w:lang w:val="es-ES_tradnl"/>
        </w:rPr>
        <w:t xml:space="preserve">a cargo del programa </w:t>
      </w:r>
      <w:r w:rsidRPr="00A34388">
        <w:rPr>
          <w:lang w:val="es-ES_tradnl"/>
        </w:rPr>
        <w:t>del presupuesto no relativo al personal fue del</w:t>
      </w:r>
      <w:r w:rsidR="00AA6702" w:rsidRPr="00A34388">
        <w:rPr>
          <w:lang w:val="es-ES_tradnl"/>
        </w:rPr>
        <w:t> </w:t>
      </w:r>
      <w:r w:rsidRPr="00A34388">
        <w:rPr>
          <w:lang w:val="es-ES_tradnl"/>
        </w:rPr>
        <w:t xml:space="preserve">81% del presupuesto después de las transferencias.  </w:t>
      </w:r>
      <w:r w:rsidR="00A10BC0" w:rsidRPr="00A34388">
        <w:rPr>
          <w:lang w:val="es-ES_tradnl"/>
        </w:rPr>
        <w:t xml:space="preserve">Esta infrautilización </w:t>
      </w:r>
      <w:r w:rsidRPr="00A34388">
        <w:rPr>
          <w:lang w:val="es-ES_tradnl"/>
        </w:rPr>
        <w:t>de los recursos no relativos al personal se debió principalmente a:</w:t>
      </w:r>
    </w:p>
    <w:p w:rsidR="00525604" w:rsidRPr="00A34388" w:rsidRDefault="00525604" w:rsidP="00525604">
      <w:pPr>
        <w:jc w:val="both"/>
        <w:rPr>
          <w:rFonts w:cs="Arial"/>
          <w:sz w:val="14"/>
          <w:lang w:val="es-ES_tradnl"/>
        </w:rPr>
      </w:pPr>
    </w:p>
    <w:p w:rsidR="00525604" w:rsidRPr="00A34388" w:rsidRDefault="00525604" w:rsidP="00525604">
      <w:pPr>
        <w:pStyle w:val="ListParagraph"/>
        <w:numPr>
          <w:ilvl w:val="0"/>
          <w:numId w:val="32"/>
        </w:numPr>
        <w:ind w:left="1134"/>
        <w:jc w:val="both"/>
        <w:rPr>
          <w:rFonts w:cs="Arial"/>
          <w:lang w:val="es-ES_tradnl"/>
        </w:rPr>
      </w:pPr>
      <w:r w:rsidRPr="00A34388">
        <w:rPr>
          <w:lang w:val="es-ES_tradnl"/>
        </w:rPr>
        <w:t>el aplazamiento de determinadas actividades previstas con respecto a adhesi</w:t>
      </w:r>
      <w:r w:rsidR="00A10BC0" w:rsidRPr="00A34388">
        <w:rPr>
          <w:lang w:val="es-ES_tradnl"/>
        </w:rPr>
        <w:t>ones</w:t>
      </w:r>
      <w:r w:rsidRPr="00A34388">
        <w:rPr>
          <w:lang w:val="es-ES_tradnl"/>
        </w:rPr>
        <w:t xml:space="preserve">, tratados y convenios administrados por la OMPI, la asistencia legislativa </w:t>
      </w:r>
      <w:r w:rsidR="000562B1" w:rsidRPr="00A34388">
        <w:rPr>
          <w:lang w:val="es-ES_tradnl"/>
        </w:rPr>
        <w:t xml:space="preserve">y la </w:t>
      </w:r>
      <w:r w:rsidRPr="00A34388">
        <w:rPr>
          <w:lang w:val="es-ES_tradnl"/>
        </w:rPr>
        <w:t>infraestructura global de P.I., debido a una duración mayor de lo previsto del trabajo preparatorio para la realización de determinad</w:t>
      </w:r>
      <w:r w:rsidR="00EF4041">
        <w:rPr>
          <w:lang w:val="es-ES_tradnl"/>
        </w:rPr>
        <w:t>a</w:t>
      </w:r>
      <w:r w:rsidRPr="00A34388">
        <w:rPr>
          <w:lang w:val="es-ES_tradnl"/>
        </w:rPr>
        <w:t>s</w:t>
      </w:r>
      <w:r w:rsidR="00EF4041">
        <w:rPr>
          <w:lang w:val="es-ES_tradnl"/>
        </w:rPr>
        <w:t xml:space="preserve"> reuniones</w:t>
      </w:r>
      <w:r w:rsidRPr="00A34388">
        <w:rPr>
          <w:lang w:val="es-ES_tradnl"/>
        </w:rPr>
        <w:t>;</w:t>
      </w:r>
    </w:p>
    <w:p w:rsidR="00525604" w:rsidRPr="00A34388" w:rsidRDefault="00525604" w:rsidP="00525604">
      <w:pPr>
        <w:ind w:left="1134"/>
        <w:jc w:val="both"/>
        <w:rPr>
          <w:rFonts w:cs="Arial"/>
          <w:sz w:val="14"/>
          <w:lang w:val="es-ES_tradnl"/>
        </w:rPr>
      </w:pPr>
    </w:p>
    <w:p w:rsidR="00525604" w:rsidRPr="00A34388" w:rsidRDefault="00900542" w:rsidP="00525604">
      <w:pPr>
        <w:pStyle w:val="ListParagraph"/>
        <w:numPr>
          <w:ilvl w:val="0"/>
          <w:numId w:val="32"/>
        </w:numPr>
        <w:ind w:left="1134"/>
        <w:jc w:val="both"/>
        <w:rPr>
          <w:rFonts w:cs="Arial"/>
          <w:lang w:val="es-ES_tradnl"/>
        </w:rPr>
      </w:pPr>
      <w:r w:rsidRPr="00A34388">
        <w:rPr>
          <w:lang w:val="es-ES_tradnl"/>
        </w:rPr>
        <w:t xml:space="preserve">la </w:t>
      </w:r>
      <w:r w:rsidR="00525604" w:rsidRPr="00A34388">
        <w:rPr>
          <w:lang w:val="es-ES_tradnl"/>
        </w:rPr>
        <w:t xml:space="preserve">cancelación o aplazamiento de determinadas actividades relacionadas con el desarrollo y la aplicación de políticas y estrategias de P.I., asistencia legislativa y </w:t>
      </w:r>
      <w:r w:rsidR="006E72E8">
        <w:rPr>
          <w:lang w:val="es-ES_tradnl"/>
        </w:rPr>
        <w:t>fomento</w:t>
      </w:r>
      <w:r w:rsidR="00525604" w:rsidRPr="00A34388">
        <w:rPr>
          <w:lang w:val="es-ES_tradnl"/>
        </w:rPr>
        <w:t xml:space="preserve"> del respeto de los derechos de P.I., debido a constantes problemas de seguridad y/o a la situación política en determinados países;  y</w:t>
      </w:r>
    </w:p>
    <w:p w:rsidR="00525604" w:rsidRPr="00A34388" w:rsidRDefault="00525604" w:rsidP="00525604">
      <w:pPr>
        <w:ind w:left="1134"/>
        <w:jc w:val="both"/>
        <w:rPr>
          <w:rFonts w:cs="Arial"/>
          <w:sz w:val="14"/>
          <w:lang w:val="es-ES_tradnl"/>
        </w:rPr>
      </w:pPr>
    </w:p>
    <w:p w:rsidR="00950FA5" w:rsidRPr="00950FA5" w:rsidRDefault="00525604" w:rsidP="00525604">
      <w:pPr>
        <w:pStyle w:val="ListParagraph"/>
        <w:numPr>
          <w:ilvl w:val="0"/>
          <w:numId w:val="32"/>
        </w:numPr>
        <w:ind w:left="1134"/>
        <w:jc w:val="both"/>
        <w:rPr>
          <w:rFonts w:cs="Arial"/>
          <w:lang w:val="es-ES_tradnl"/>
        </w:rPr>
      </w:pPr>
      <w:r w:rsidRPr="00A34388">
        <w:rPr>
          <w:lang w:val="es-ES_tradnl"/>
        </w:rPr>
        <w:t>ahorro</w:t>
      </w:r>
      <w:r w:rsidR="00900542" w:rsidRPr="00A34388">
        <w:rPr>
          <w:lang w:val="es-ES_tradnl"/>
        </w:rPr>
        <w:t>s</w:t>
      </w:r>
      <w:r w:rsidRPr="00A34388">
        <w:rPr>
          <w:lang w:val="es-ES_tradnl"/>
        </w:rPr>
        <w:t xml:space="preserve"> de costos </w:t>
      </w:r>
      <w:r w:rsidR="00900542" w:rsidRPr="00A34388">
        <w:rPr>
          <w:lang w:val="es-ES_tradnl"/>
        </w:rPr>
        <w:t xml:space="preserve">derivados de los cambios introducidos en el </w:t>
      </w:r>
      <w:r w:rsidRPr="00A34388">
        <w:rPr>
          <w:lang w:val="es-ES_tradnl"/>
        </w:rPr>
        <w:t xml:space="preserve">modo </w:t>
      </w:r>
      <w:r w:rsidR="00900542" w:rsidRPr="00A34388">
        <w:rPr>
          <w:lang w:val="es-ES_tradnl"/>
        </w:rPr>
        <w:t xml:space="preserve">establecido para ejecutar </w:t>
      </w:r>
      <w:r w:rsidRPr="00A34388">
        <w:rPr>
          <w:lang w:val="es-ES_tradnl"/>
        </w:rPr>
        <w:t xml:space="preserve">determinadas actividades relacionadas </w:t>
      </w:r>
      <w:r w:rsidR="00900542" w:rsidRPr="00A34388">
        <w:rPr>
          <w:lang w:val="es-ES_tradnl"/>
        </w:rPr>
        <w:t xml:space="preserve">con </w:t>
      </w:r>
      <w:r w:rsidRPr="00A34388">
        <w:rPr>
          <w:lang w:val="es-ES_tradnl"/>
        </w:rPr>
        <w:t xml:space="preserve">el desarrollo de políticas y estrategias de P.I. </w:t>
      </w:r>
    </w:p>
    <w:p w:rsidR="00197073" w:rsidRPr="00A34388" w:rsidRDefault="00197073" w:rsidP="00525604">
      <w:pPr>
        <w:pStyle w:val="ListParagraph"/>
        <w:numPr>
          <w:ilvl w:val="0"/>
          <w:numId w:val="32"/>
        </w:numPr>
        <w:ind w:left="1134"/>
        <w:jc w:val="both"/>
        <w:rPr>
          <w:rFonts w:cs="Arial"/>
          <w:lang w:val="es-ES_tradnl"/>
        </w:rPr>
      </w:pPr>
      <w:r w:rsidRPr="00A34388">
        <w:rPr>
          <w:rFonts w:cs="Arial"/>
          <w:lang w:val="es-ES_tradnl"/>
        </w:rPr>
        <w:br w:type="page"/>
      </w:r>
    </w:p>
    <w:p w:rsidR="00391D6B" w:rsidRPr="003934C8" w:rsidRDefault="00391D6B" w:rsidP="00391D6B">
      <w:pPr>
        <w:pStyle w:val="Heading3"/>
        <w:rPr>
          <w:rFonts w:hint="eastAsia"/>
          <w:lang w:val="es-ES"/>
        </w:rPr>
      </w:pPr>
      <w:bookmarkStart w:id="38" w:name="_Toc394319058"/>
      <w:bookmarkStart w:id="39" w:name="_Toc395279664"/>
      <w:r w:rsidRPr="003934C8">
        <w:rPr>
          <w:lang w:val="es-ES"/>
        </w:rPr>
        <w:lastRenderedPageBreak/>
        <w:t>Programa 10</w:t>
      </w:r>
      <w:r w:rsidRPr="003934C8">
        <w:rPr>
          <w:lang w:val="es-ES"/>
        </w:rPr>
        <w:tab/>
        <w:t>Cooperación con determinados países de Europa y Asia</w:t>
      </w:r>
      <w:bookmarkEnd w:id="38"/>
      <w:bookmarkEnd w:id="39"/>
    </w:p>
    <w:p w:rsidR="001A2871" w:rsidRPr="00391D6B" w:rsidRDefault="001A2871" w:rsidP="001A2871">
      <w:pPr>
        <w:ind w:left="2694" w:hanging="2694"/>
        <w:rPr>
          <w:rFonts w:cs="Arial"/>
          <w:b/>
          <w:sz w:val="22"/>
          <w:szCs w:val="22"/>
          <w:lang w:val="es-ES"/>
        </w:rPr>
      </w:pPr>
    </w:p>
    <w:p w:rsidR="001A2871" w:rsidRPr="00332758" w:rsidRDefault="001A2871" w:rsidP="001A2871">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Director General</w:t>
      </w:r>
    </w:p>
    <w:p w:rsidR="001A2871" w:rsidRPr="0021545B" w:rsidRDefault="001A2871" w:rsidP="001A2871">
      <w:pPr>
        <w:ind w:left="2268" w:hanging="2268"/>
        <w:rPr>
          <w:rFonts w:cs="Arial"/>
          <w:b/>
          <w:sz w:val="22"/>
          <w:szCs w:val="22"/>
          <w:lang w:val="es-ES_tradnl"/>
        </w:rPr>
      </w:pPr>
    </w:p>
    <w:p w:rsidR="001A2871" w:rsidRPr="00A34388" w:rsidRDefault="003E3F45" w:rsidP="001A2871">
      <w:pPr>
        <w:ind w:left="2268" w:hanging="2268"/>
        <w:rPr>
          <w:rFonts w:cs="Arial"/>
          <w:sz w:val="22"/>
          <w:szCs w:val="22"/>
          <w:lang w:val="es-ES_tradnl"/>
        </w:rPr>
      </w:pPr>
      <w:r>
        <w:rPr>
          <w:sz w:val="22"/>
          <w:lang w:val="es-ES_tradnl"/>
        </w:rPr>
        <w:t>AVANCES LOGRADOS EN EL BIENIO 2012/13</w:t>
      </w:r>
    </w:p>
    <w:p w:rsidR="001A2871" w:rsidRPr="00A34388" w:rsidRDefault="001A2871" w:rsidP="001A2871">
      <w:pPr>
        <w:ind w:left="2268" w:hanging="2268"/>
        <w:rPr>
          <w:rFonts w:cs="Arial"/>
          <w:b/>
          <w:sz w:val="22"/>
          <w:szCs w:val="22"/>
          <w:lang w:val="es-ES_tradnl"/>
        </w:rPr>
      </w:pPr>
    </w:p>
    <w:p w:rsidR="001A2871" w:rsidRPr="00A34388" w:rsidRDefault="001A2871" w:rsidP="001A2871">
      <w:pPr>
        <w:tabs>
          <w:tab w:val="left" w:pos="709"/>
        </w:tabs>
        <w:jc w:val="both"/>
        <w:rPr>
          <w:rFonts w:cs="Arial"/>
          <w:color w:val="000000"/>
          <w:szCs w:val="20"/>
          <w:lang w:val="es-ES_tradnl"/>
        </w:rPr>
      </w:pPr>
      <w:r w:rsidRPr="00332758">
        <w:rPr>
          <w:lang w:val="es-ES_tradnl"/>
        </w:rPr>
        <w:t>10.1.</w:t>
      </w:r>
      <w:r w:rsidRPr="00A34388">
        <w:rPr>
          <w:lang w:val="es-ES_tradnl"/>
        </w:rPr>
        <w:tab/>
      </w:r>
      <w:r w:rsidRPr="00332758">
        <w:rPr>
          <w:lang w:val="es-ES_tradnl"/>
        </w:rPr>
        <w:t>El programa 10 siguió desarrollando y coordinando, en cooperación con todos los sectores pertinentes, la ejecución de las actividades de cooperación con los países en los Estados de Europa Central y del Báltico, Asia Central, Europa Oriental y el Cáucaso, así como en algunos países del Mediterráneo.</w:t>
      </w:r>
      <w:r w:rsidRPr="00A34388">
        <w:rPr>
          <w:color w:val="000000"/>
          <w:lang w:val="es-ES_tradnl"/>
        </w:rPr>
        <w:t xml:space="preserve"> </w:t>
      </w:r>
    </w:p>
    <w:p w:rsidR="001A2871" w:rsidRPr="00A34388" w:rsidRDefault="001A2871" w:rsidP="001A2871">
      <w:pPr>
        <w:tabs>
          <w:tab w:val="left" w:pos="709"/>
        </w:tabs>
        <w:jc w:val="both"/>
        <w:rPr>
          <w:rFonts w:cs="Arial"/>
          <w:color w:val="000000"/>
          <w:szCs w:val="20"/>
          <w:lang w:val="es-ES_tradnl"/>
        </w:rPr>
      </w:pPr>
    </w:p>
    <w:p w:rsidR="001A2871" w:rsidRPr="00332758" w:rsidRDefault="001A2871" w:rsidP="001A2871">
      <w:pPr>
        <w:tabs>
          <w:tab w:val="left" w:pos="709"/>
        </w:tabs>
        <w:jc w:val="both"/>
        <w:rPr>
          <w:rFonts w:cs="Arial"/>
          <w:szCs w:val="20"/>
          <w:lang w:val="es-ES_tradnl"/>
        </w:rPr>
      </w:pPr>
      <w:r w:rsidRPr="00332758">
        <w:rPr>
          <w:lang w:val="es-ES_tradnl"/>
        </w:rPr>
        <w:t>10.2.</w:t>
      </w:r>
      <w:r w:rsidRPr="00A34388">
        <w:rPr>
          <w:lang w:val="es-ES_tradnl"/>
        </w:rPr>
        <w:tab/>
      </w:r>
      <w:r w:rsidRPr="00332758">
        <w:rPr>
          <w:lang w:val="es-ES_tradnl"/>
        </w:rPr>
        <w:t xml:space="preserve">El programa ha seguido mejorando la planificación a largo plazo y ha adoptado un enfoque estratégico en relación con la P.I. en los países interesados con el fin de centrarse en las necesidades reales de los Estados miembros en lugar de concentrarse en objetivos a corto plazo. </w:t>
      </w:r>
    </w:p>
    <w:p w:rsidR="001A2871" w:rsidRPr="00A34388" w:rsidRDefault="001A2871" w:rsidP="001A2871">
      <w:pPr>
        <w:tabs>
          <w:tab w:val="left" w:pos="709"/>
        </w:tabs>
        <w:jc w:val="both"/>
        <w:rPr>
          <w:rFonts w:cs="Arial"/>
          <w:color w:val="000000"/>
          <w:szCs w:val="20"/>
          <w:lang w:val="es-ES_tradnl"/>
        </w:rPr>
      </w:pPr>
    </w:p>
    <w:p w:rsidR="001A2871" w:rsidRPr="00332758" w:rsidRDefault="001A2871" w:rsidP="001A2871">
      <w:pPr>
        <w:tabs>
          <w:tab w:val="left" w:pos="709"/>
        </w:tabs>
        <w:autoSpaceDE w:val="0"/>
        <w:autoSpaceDN w:val="0"/>
        <w:adjustRightInd w:val="0"/>
        <w:jc w:val="both"/>
        <w:rPr>
          <w:rFonts w:cs="Arial"/>
          <w:bCs/>
          <w:szCs w:val="20"/>
          <w:lang w:val="es-ES_tradnl"/>
        </w:rPr>
      </w:pPr>
      <w:r w:rsidRPr="00A34388">
        <w:rPr>
          <w:color w:val="000000"/>
          <w:lang w:val="es-ES_tradnl"/>
        </w:rPr>
        <w:t>10.3.</w:t>
      </w:r>
      <w:r w:rsidRPr="00A34388">
        <w:rPr>
          <w:lang w:val="es-ES_tradnl"/>
        </w:rPr>
        <w:tab/>
      </w:r>
      <w:r w:rsidRPr="00A34388">
        <w:rPr>
          <w:color w:val="000000"/>
          <w:lang w:val="es-ES_tradnl"/>
        </w:rPr>
        <w:t xml:space="preserve">Como prioridad en la cooperación con países con economías en transición, la OMPI siguió fomentado la importancia de prestar asistencia en el desarrollo y/o la aplicación de estrategias nacionales de P.I. en la región.  </w:t>
      </w:r>
      <w:r w:rsidR="0075571C" w:rsidRPr="00A34388">
        <w:rPr>
          <w:color w:val="000000"/>
          <w:lang w:val="es-ES_tradnl"/>
        </w:rPr>
        <w:t xml:space="preserve">Como consecuencia de ello, </w:t>
      </w:r>
      <w:r w:rsidRPr="00A34388">
        <w:rPr>
          <w:color w:val="000000"/>
          <w:lang w:val="es-ES_tradnl"/>
        </w:rPr>
        <w:t xml:space="preserve">los siguientes países adoptaron una estrategia nacional de P.I. durante el bienio:  Belarús, Kirguistán, la ex República Yugoslava de Macedonia, Montenegro, </w:t>
      </w:r>
      <w:r w:rsidR="00FC2ABB" w:rsidRPr="00A34388">
        <w:rPr>
          <w:color w:val="000000"/>
          <w:lang w:val="es-ES_tradnl"/>
        </w:rPr>
        <w:t xml:space="preserve">la República de </w:t>
      </w:r>
      <w:r w:rsidRPr="00A34388">
        <w:rPr>
          <w:color w:val="000000"/>
          <w:lang w:val="es-ES_tradnl"/>
        </w:rPr>
        <w:t xml:space="preserve">Moldova, Rumania y Eslovenia. </w:t>
      </w:r>
      <w:r w:rsidR="00537926" w:rsidRPr="00A34388">
        <w:rPr>
          <w:color w:val="000000"/>
          <w:lang w:val="es-ES_tradnl"/>
        </w:rPr>
        <w:t xml:space="preserve"> </w:t>
      </w:r>
      <w:r w:rsidRPr="00A34388">
        <w:rPr>
          <w:color w:val="000000"/>
          <w:lang w:val="es-ES_tradnl"/>
        </w:rPr>
        <w:t xml:space="preserve">Tayikistán comenzó a formular una nueva estrategia de P.I.  </w:t>
      </w:r>
      <w:r w:rsidRPr="00332758">
        <w:rPr>
          <w:lang w:val="es-ES_tradnl"/>
        </w:rPr>
        <w:t xml:space="preserve">Además, se firmaron memorandos de entendimiento entre la OMPI y los socios nacionales en los que se establece una cooperación plurianual. </w:t>
      </w:r>
    </w:p>
    <w:p w:rsidR="001A2871" w:rsidRPr="00A34388" w:rsidRDefault="001A2871" w:rsidP="001A2871">
      <w:pPr>
        <w:tabs>
          <w:tab w:val="left" w:pos="709"/>
        </w:tabs>
        <w:autoSpaceDE w:val="0"/>
        <w:autoSpaceDN w:val="0"/>
        <w:adjustRightInd w:val="0"/>
        <w:jc w:val="both"/>
        <w:rPr>
          <w:rFonts w:cs="Arial"/>
          <w:bCs/>
          <w:szCs w:val="20"/>
          <w:lang w:val="es-ES_tradnl"/>
        </w:rPr>
      </w:pPr>
    </w:p>
    <w:p w:rsidR="001A2871" w:rsidRPr="00A34388" w:rsidRDefault="001A2871" w:rsidP="001A2871">
      <w:pPr>
        <w:pStyle w:val="ListParagraph"/>
        <w:tabs>
          <w:tab w:val="left" w:pos="709"/>
        </w:tabs>
        <w:autoSpaceDE w:val="0"/>
        <w:autoSpaceDN w:val="0"/>
        <w:adjustRightInd w:val="0"/>
        <w:ind w:left="0"/>
        <w:jc w:val="both"/>
        <w:rPr>
          <w:rFonts w:cs="Arial"/>
          <w:lang w:val="es-ES_tradnl"/>
        </w:rPr>
      </w:pPr>
      <w:r w:rsidRPr="00A34388">
        <w:rPr>
          <w:lang w:val="es-ES_tradnl"/>
        </w:rPr>
        <w:t>10.4.</w:t>
      </w:r>
      <w:r w:rsidRPr="00A34388">
        <w:rPr>
          <w:lang w:val="es-ES_tradnl"/>
        </w:rPr>
        <w:tab/>
        <w:t xml:space="preserve">A fin de mejorar la coordinación, promoción y prestación de servicios y programas de la OMPI en países desarrollados, en 2013 se creó la nueva Sección de Coordinación para Países Desarrollados. </w:t>
      </w:r>
      <w:r w:rsidR="00537926" w:rsidRPr="00A34388">
        <w:rPr>
          <w:lang w:val="es-ES_tradnl"/>
        </w:rPr>
        <w:t xml:space="preserve"> </w:t>
      </w:r>
      <w:r w:rsidRPr="00A34388">
        <w:rPr>
          <w:lang w:val="es-ES_tradnl"/>
        </w:rPr>
        <w:t xml:space="preserve">Esta Sección se centra en el fortalecimiento de las relaciones institucionales en estos países con el objetivo de ampliar el ámbito de actuación de la OMPI y crear sinergias entre empresas, el mundo académico, instituciones de investigación, abogados, administraciones públicas, creadores e innovadores.  En el segundo semestre de 2013 se llevaron a cabo distintos seminarios itinerantes sobre servicios e iniciativas de la OMPI en cinco países (Australia, Dinamarca, España, Islandia y Noruega).  Las opiniones recabadas sobre los seminarios fueron positivas: </w:t>
      </w:r>
      <w:r w:rsidR="007E4D96" w:rsidRPr="00A34388">
        <w:rPr>
          <w:lang w:val="es-ES_tradnl"/>
        </w:rPr>
        <w:t xml:space="preserve"> </w:t>
      </w:r>
      <w:r w:rsidRPr="00A34388">
        <w:rPr>
          <w:lang w:val="es-ES_tradnl"/>
        </w:rPr>
        <w:t>el 94,9% de los encuestados afirmaron que los seminarios les habían resultado útiles y pertinentes para su labor profesional.</w:t>
      </w:r>
    </w:p>
    <w:p w:rsidR="001A2871" w:rsidRPr="00A34388" w:rsidRDefault="001A2871" w:rsidP="001A2871">
      <w:pPr>
        <w:tabs>
          <w:tab w:val="left" w:pos="709"/>
        </w:tabs>
        <w:autoSpaceDE w:val="0"/>
        <w:autoSpaceDN w:val="0"/>
        <w:adjustRightInd w:val="0"/>
        <w:jc w:val="both"/>
        <w:rPr>
          <w:rFonts w:cs="Arial"/>
          <w:bCs/>
          <w:szCs w:val="20"/>
          <w:lang w:val="es-ES_tradnl"/>
        </w:rPr>
      </w:pPr>
    </w:p>
    <w:p w:rsidR="001A2871" w:rsidRPr="00A34388" w:rsidRDefault="001A2871" w:rsidP="001A2871">
      <w:pPr>
        <w:tabs>
          <w:tab w:val="left" w:pos="709"/>
        </w:tabs>
        <w:autoSpaceDE w:val="0"/>
        <w:autoSpaceDN w:val="0"/>
        <w:adjustRightInd w:val="0"/>
        <w:jc w:val="both"/>
        <w:rPr>
          <w:rFonts w:cs="Arial"/>
          <w:bCs/>
          <w:szCs w:val="20"/>
          <w:lang w:val="es-ES_tradnl"/>
        </w:rPr>
      </w:pPr>
      <w:r w:rsidRPr="00A34388">
        <w:rPr>
          <w:lang w:val="es-ES_tradnl"/>
        </w:rPr>
        <w:t>10.5.</w:t>
      </w:r>
      <w:r w:rsidRPr="00A34388">
        <w:rPr>
          <w:lang w:val="es-ES_tradnl"/>
        </w:rPr>
        <w:tab/>
        <w:t xml:space="preserve">En consonancia con las estrategias nacionales de </w:t>
      </w:r>
      <w:r w:rsidR="007761B5" w:rsidRPr="00A34388">
        <w:rPr>
          <w:lang w:val="es-ES_tradnl"/>
        </w:rPr>
        <w:t>P.I</w:t>
      </w:r>
      <w:r w:rsidRPr="00A34388">
        <w:rPr>
          <w:lang w:val="es-ES_tradnl"/>
        </w:rPr>
        <w:t xml:space="preserve">. y la asistencia de la OMPI, los siguientes países modificaron su legislación nacional </w:t>
      </w:r>
      <w:r w:rsidR="005360EC" w:rsidRPr="00A34388">
        <w:rPr>
          <w:lang w:val="es-ES_tradnl"/>
        </w:rPr>
        <w:t xml:space="preserve">en materia de </w:t>
      </w:r>
      <w:r w:rsidR="007761B5" w:rsidRPr="00A34388">
        <w:rPr>
          <w:lang w:val="es-ES_tradnl"/>
        </w:rPr>
        <w:t>P.I</w:t>
      </w:r>
      <w:r w:rsidRPr="00A34388">
        <w:rPr>
          <w:lang w:val="es-ES_tradnl"/>
        </w:rPr>
        <w:t xml:space="preserve">.:  Albania, Armenia, Belarús, Bosnia y Herzegovina, Eslovenia, Polonia, Rumania y Tayikistán.  Kazajstán y la Federación de Rusia han iniciado el proceso para modificar su legislación nacional. </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332758">
        <w:rPr>
          <w:lang w:val="es-ES_tradnl"/>
        </w:rPr>
        <w:t>10.6.</w:t>
      </w:r>
      <w:r w:rsidRPr="00A34388">
        <w:rPr>
          <w:lang w:val="es-ES_tradnl"/>
        </w:rPr>
        <w:tab/>
      </w:r>
      <w:r w:rsidRPr="00332758">
        <w:rPr>
          <w:lang w:val="es-ES_tradnl"/>
        </w:rPr>
        <w:t>El programa también siguió prestando apoyo a países en la región para fomentar la capacidad de sus recursos humanos y aumentar la sensibilización y la base de conocimientos para utilizar eficazmente la P.I. en favor del desarrollo económico, social y cultural.</w:t>
      </w:r>
      <w:r w:rsidRPr="00A34388">
        <w:rPr>
          <w:lang w:val="es-ES_tradnl"/>
        </w:rPr>
        <w:t xml:space="preserve">  Durante el bienio, se formó a más de 5.000 especialistas y expertos por medio de programas </w:t>
      </w:r>
      <w:r w:rsidR="0075571C" w:rsidRPr="00A34388">
        <w:rPr>
          <w:lang w:val="es-ES_tradnl"/>
        </w:rPr>
        <w:t xml:space="preserve">a medida </w:t>
      </w:r>
      <w:r w:rsidRPr="00A34388">
        <w:rPr>
          <w:lang w:val="es-ES_tradnl"/>
        </w:rPr>
        <w:t xml:space="preserve">en materia de P.I. relacionados, por ejemplo, con la transferencia de tecnología, las pymes, la observancia, el derecho de autor, la enseñanza de la P.I. y los servicios de la OMPI.  Los participantes en estos eventos realizaron comentarios positivos, que serán de gran utilidad para continuar mejorando la calidad de actividades futuras de similar índole.   </w:t>
      </w:r>
    </w:p>
    <w:p w:rsidR="001A2871" w:rsidRPr="00A34388" w:rsidRDefault="001A2871" w:rsidP="001A2871">
      <w:pPr>
        <w:pStyle w:val="ListParagraph"/>
        <w:tabs>
          <w:tab w:val="left" w:pos="709"/>
        </w:tabs>
        <w:ind w:left="0"/>
        <w:rPr>
          <w:rFonts w:cs="Arial"/>
          <w:lang w:val="es-ES_tradnl"/>
        </w:rPr>
      </w:pPr>
    </w:p>
    <w:p w:rsidR="001A2871" w:rsidRPr="00A34388" w:rsidRDefault="001A2871" w:rsidP="001A2871">
      <w:pPr>
        <w:pStyle w:val="ListParagraph"/>
        <w:tabs>
          <w:tab w:val="left" w:pos="709"/>
        </w:tabs>
        <w:autoSpaceDE w:val="0"/>
        <w:autoSpaceDN w:val="0"/>
        <w:adjustRightInd w:val="0"/>
        <w:ind w:left="0"/>
        <w:jc w:val="both"/>
        <w:rPr>
          <w:rFonts w:cs="Arial"/>
          <w:lang w:val="es-ES_tradnl"/>
        </w:rPr>
      </w:pPr>
      <w:r w:rsidRPr="00A34388">
        <w:rPr>
          <w:lang w:val="es-ES_tradnl"/>
        </w:rPr>
        <w:t>10.7.</w:t>
      </w:r>
      <w:r w:rsidRPr="00A34388">
        <w:rPr>
          <w:lang w:val="es-ES_tradnl"/>
        </w:rPr>
        <w:tab/>
        <w:t xml:space="preserve">En colaboración con los sectores pertinentes, en 2013 se puso en marcha una iniciativa destinada a integrar la P.I. en las políticas de innovación.  Como primer paso, se llevó a cabo en un país piloto (Serbia) un análisis de referencia destinado a identificar los esfuerzos ya realizados para el establecimiento de una política de innovación.  Tras los positivos comentarios recibidos, durante el bienio 2014/15 se pondrán en marcha nuevas medidas y la iniciativa se ampliará a otros países.  </w:t>
      </w:r>
    </w:p>
    <w:p w:rsidR="001A2871" w:rsidRPr="00A34388" w:rsidRDefault="001A2871" w:rsidP="001A2871">
      <w:pPr>
        <w:pStyle w:val="ListParagraph"/>
        <w:tabs>
          <w:tab w:val="left" w:pos="709"/>
        </w:tabs>
        <w:ind w:left="0"/>
        <w:rPr>
          <w:rFonts w:cs="Arial"/>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332758">
        <w:rPr>
          <w:lang w:val="es-ES_tradnl"/>
        </w:rPr>
        <w:t>10.8.</w:t>
      </w:r>
      <w:r w:rsidRPr="00A34388">
        <w:rPr>
          <w:lang w:val="es-ES_tradnl"/>
        </w:rPr>
        <w:tab/>
      </w:r>
      <w:r w:rsidRPr="00332758">
        <w:rPr>
          <w:lang w:val="es-ES_tradnl"/>
        </w:rPr>
        <w:t xml:space="preserve">Además, se organizaron cursos de verano de la OMPI en Croacia, la Federación de Rusia y Ucrania. </w:t>
      </w:r>
      <w:r w:rsidR="00537926" w:rsidRPr="00332758">
        <w:rPr>
          <w:lang w:val="es-ES_tradnl"/>
        </w:rPr>
        <w:t xml:space="preserve"> </w:t>
      </w:r>
      <w:r w:rsidRPr="00A34388">
        <w:rPr>
          <w:lang w:val="es-ES_tradnl"/>
        </w:rPr>
        <w:t xml:space="preserve">Se estableció una excelente cooperación entre la OMPI y la World Women Inventors and Entrepreneurs Association (WWIEA), que dio lugar a la organización conjunta de un programa de formación anual para mujeres en Asia Central.  Otra actividad que suscitó especial interés fue una visita de estudio sobre mejores prácticas de gestión de P.I. en Singapur destinada a funcionarios de países de Asia Central. </w:t>
      </w:r>
    </w:p>
    <w:p w:rsidR="001A2871" w:rsidRPr="00A34388" w:rsidRDefault="001A2871" w:rsidP="001A2871">
      <w:pPr>
        <w:tabs>
          <w:tab w:val="left" w:pos="709"/>
        </w:tabs>
        <w:rPr>
          <w:rFonts w:cs="Arial"/>
          <w:b/>
          <w:bCs/>
          <w:szCs w:val="20"/>
          <w:lang w:val="es-ES_tradnl"/>
        </w:rPr>
      </w:pPr>
    </w:p>
    <w:p w:rsidR="001A2871" w:rsidRPr="00A34388" w:rsidRDefault="001A2871" w:rsidP="001A2871">
      <w:pPr>
        <w:rPr>
          <w:rFonts w:cs="Arial"/>
          <w:bCs/>
          <w:szCs w:val="20"/>
          <w:lang w:val="es-ES_tradnl"/>
        </w:rPr>
      </w:pPr>
    </w:p>
    <w:p w:rsidR="001A2871" w:rsidRPr="00A34388" w:rsidRDefault="001A2871" w:rsidP="001A2871">
      <w:pPr>
        <w:tabs>
          <w:tab w:val="left" w:pos="709"/>
        </w:tabs>
        <w:rPr>
          <w:rFonts w:cs="Arial"/>
          <w:bCs/>
          <w:sz w:val="22"/>
          <w:szCs w:val="22"/>
          <w:lang w:val="es-ES_tradnl"/>
        </w:rPr>
      </w:pPr>
      <w:r w:rsidRPr="00332758">
        <w:rPr>
          <w:sz w:val="22"/>
          <w:lang w:val="es-ES_tradnl"/>
        </w:rPr>
        <w:lastRenderedPageBreak/>
        <w:t>APLICACIÓN DE LA AGENDA PARA EL DESARROLLO</w:t>
      </w:r>
      <w:r w:rsidRPr="00A34388">
        <w:rPr>
          <w:sz w:val="22"/>
          <w:lang w:val="es-ES_tradnl"/>
        </w:rPr>
        <w:t xml:space="preserve"> </w:t>
      </w:r>
    </w:p>
    <w:p w:rsidR="001A2871" w:rsidRPr="00332758" w:rsidRDefault="001A2871" w:rsidP="001A2871">
      <w:pPr>
        <w:tabs>
          <w:tab w:val="left" w:pos="709"/>
        </w:tabs>
        <w:autoSpaceDE w:val="0"/>
        <w:autoSpaceDN w:val="0"/>
        <w:adjustRightInd w:val="0"/>
        <w:jc w:val="both"/>
        <w:rPr>
          <w:rFonts w:cs="Arial"/>
          <w:b/>
          <w:bCs/>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332758">
        <w:rPr>
          <w:lang w:val="es-ES_tradnl"/>
        </w:rPr>
        <w:t>10.9.</w:t>
      </w:r>
      <w:r w:rsidRPr="00A34388">
        <w:rPr>
          <w:lang w:val="es-ES_tradnl"/>
        </w:rPr>
        <w:tab/>
      </w:r>
      <w:r w:rsidRPr="00332758">
        <w:rPr>
          <w:lang w:val="es-ES_tradnl"/>
        </w:rPr>
        <w:t>El programa 10 siguió desempeñando un papel fundamental para la aplicación de la Agenda de la OMPI para el Desarrollo en la cooperación con determinados países de Europa y Asia.  Esto fue especialmente apreciable en el caso de las recomendaciones de la Agenda para el Desarrollo relacionadas con las actividades de la OMPI en materia de asistencia técnica y fortalecimiento de las capacidades – las recomendaciones de la Categoría A que siguieron conformando el diseño y la puesta en práctica de las actividades del programa 10.</w:t>
      </w:r>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13"/>
        <w:gridCol w:w="1666"/>
        <w:gridCol w:w="1508"/>
        <w:gridCol w:w="3093"/>
        <w:gridCol w:w="180"/>
        <w:gridCol w:w="1097"/>
      </w:tblGrid>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Políticas nacionales, estrategias y planes de desarrollo de innovación y de P.I. claramente definidos y coherentes que estén en sintonía con las metas y los objetivos nacionales de desarrollo.</w:t>
            </w:r>
          </w:p>
        </w:tc>
      </w:tr>
      <w:tr w:rsidR="001A2871" w:rsidRPr="00A34388" w:rsidTr="00853209">
        <w:trPr>
          <w:cantSplit/>
        </w:trPr>
        <w:tc>
          <w:tcPr>
            <w:tcW w:w="9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53"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gridSpan w:val="2"/>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han elaborado estrategias o planes nacionales combinados con metas nacionales de desarrollo.</w:t>
            </w:r>
          </w:p>
        </w:tc>
        <w:tc>
          <w:tcPr>
            <w:tcW w:w="890" w:type="pct"/>
            <w:tcBorders>
              <w:bottom w:val="single" w:sz="4" w:space="0" w:color="auto"/>
            </w:tcBorders>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Once países.</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Seis países (2008/09).</w:t>
            </w:r>
          </w:p>
          <w:p w:rsidR="001A2871" w:rsidRPr="00A34388" w:rsidRDefault="001A2871" w:rsidP="00853209">
            <w:pPr>
              <w:rPr>
                <w:rFonts w:cs="Arial"/>
                <w:sz w:val="16"/>
                <w:szCs w:val="16"/>
                <w:lang w:val="es-ES_tradnl"/>
              </w:rPr>
            </w:pPr>
          </w:p>
        </w:tc>
        <w:tc>
          <w:tcPr>
            <w:tcW w:w="806"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Ocho países adicionales.</w:t>
            </w:r>
          </w:p>
        </w:tc>
        <w:tc>
          <w:tcPr>
            <w:tcW w:w="1653"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Siete países (Belarús, Eslovenia, Kirguistán, la ex República Yugoslava de Macedonia, </w:t>
            </w:r>
            <w:r w:rsidR="00FC2ABB" w:rsidRPr="00A34388">
              <w:rPr>
                <w:sz w:val="16"/>
                <w:lang w:val="es-ES_tradnl"/>
              </w:rPr>
              <w:t xml:space="preserve">la República de </w:t>
            </w:r>
            <w:r w:rsidRPr="00A34388">
              <w:rPr>
                <w:sz w:val="16"/>
                <w:lang w:val="es-ES_tradnl"/>
              </w:rPr>
              <w:t>Moldova, Montenegro y Rumania) adoptaron una estrategia nacional de P.I.</w:t>
            </w:r>
            <w:r w:rsidR="00537926" w:rsidRPr="00A34388">
              <w:rPr>
                <w:sz w:val="16"/>
                <w:lang w:val="es-ES_tradnl"/>
              </w:rPr>
              <w:t xml:space="preserve"> </w:t>
            </w:r>
            <w:r w:rsidRPr="00A34388">
              <w:rPr>
                <w:sz w:val="16"/>
                <w:lang w:val="es-ES_tradnl"/>
              </w:rPr>
              <w:t xml:space="preserve"> En Tayikistán se inició la elaboración de una estrategia.</w:t>
            </w:r>
          </w:p>
        </w:tc>
        <w:tc>
          <w:tcPr>
            <w:tcW w:w="682" w:type="pct"/>
            <w:gridSpan w:val="2"/>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1A2871" w:rsidRPr="00A34388" w:rsidTr="004C0FD5">
        <w:trPr>
          <w:cantSplit/>
        </w:trPr>
        <w:tc>
          <w:tcPr>
            <w:tcW w:w="9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53"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gridSpan w:val="2"/>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funcionarios de oficinas de P.I. formados que utilizan en su trabajo las nuevas aptitudes adquiridas.</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40%</w:t>
            </w:r>
          </w:p>
        </w:tc>
        <w:tc>
          <w:tcPr>
            <w:tcW w:w="1653" w:type="pct"/>
            <w:shd w:val="clear" w:color="auto" w:fill="FFFFFF"/>
            <w:tcMar>
              <w:top w:w="110" w:type="dxa"/>
            </w:tcMar>
          </w:tcPr>
          <w:p w:rsidR="001A2871" w:rsidRPr="00A34388" w:rsidRDefault="001A2871" w:rsidP="00C82DCA">
            <w:pPr>
              <w:rPr>
                <w:rFonts w:cs="Arial"/>
                <w:sz w:val="16"/>
                <w:szCs w:val="16"/>
                <w:lang w:val="es-ES_tradnl"/>
              </w:rPr>
            </w:pPr>
            <w:r w:rsidRPr="00A34388">
              <w:rPr>
                <w:sz w:val="16"/>
                <w:lang w:val="es-ES_tradnl"/>
              </w:rPr>
              <w:t xml:space="preserve">69% (datos disponibles de cuestionarios de encuestas realizadas </w:t>
            </w:r>
            <w:r w:rsidR="00C82DCA" w:rsidRPr="00A34388">
              <w:rPr>
                <w:sz w:val="16"/>
                <w:lang w:val="es-ES_tradnl"/>
              </w:rPr>
              <w:t xml:space="preserve">en el momento de concluirse las </w:t>
            </w:r>
            <w:r w:rsidRPr="00A34388">
              <w:rPr>
                <w:sz w:val="16"/>
                <w:lang w:val="es-ES_tradnl"/>
              </w:rPr>
              <w:t xml:space="preserve">actividades, cuestionarios de encuestas de evaluación </w:t>
            </w:r>
            <w:r w:rsidR="00C82DCA" w:rsidRPr="00A34388">
              <w:rPr>
                <w:sz w:val="16"/>
                <w:lang w:val="es-ES_tradnl"/>
              </w:rPr>
              <w:t xml:space="preserve">posteriores a las </w:t>
            </w:r>
            <w:r w:rsidRPr="00A34388">
              <w:rPr>
                <w:sz w:val="16"/>
                <w:lang w:val="es-ES_tradnl"/>
              </w:rPr>
              <w:t xml:space="preserve">actividades y observaciones </w:t>
            </w:r>
            <w:r w:rsidR="0053403C" w:rsidRPr="00A34388">
              <w:rPr>
                <w:sz w:val="16"/>
                <w:lang w:val="es-ES_tradnl"/>
              </w:rPr>
              <w:t xml:space="preserve">formuladas </w:t>
            </w:r>
            <w:r w:rsidRPr="00A34388">
              <w:rPr>
                <w:sz w:val="16"/>
                <w:lang w:val="es-ES_tradnl"/>
              </w:rPr>
              <w:t>directamente por participantes).</w:t>
            </w:r>
          </w:p>
        </w:tc>
        <w:tc>
          <w:tcPr>
            <w:tcW w:w="682" w:type="pct"/>
            <w:gridSpan w:val="2"/>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profesionales de la P.I. que afirman entender mejor las cuestiones de P.I.</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30%</w:t>
            </w:r>
          </w:p>
        </w:tc>
        <w:tc>
          <w:tcPr>
            <w:tcW w:w="1653" w:type="pct"/>
            <w:shd w:val="clear" w:color="auto" w:fill="FFFFFF"/>
            <w:tcMar>
              <w:top w:w="110" w:type="dxa"/>
            </w:tcMar>
          </w:tcPr>
          <w:p w:rsidR="001A2871" w:rsidRPr="00A34388" w:rsidRDefault="001A2871" w:rsidP="0075571C">
            <w:pPr>
              <w:rPr>
                <w:sz w:val="16"/>
                <w:lang w:val="es-ES_tradnl"/>
              </w:rPr>
            </w:pPr>
            <w:r w:rsidRPr="00A34388">
              <w:rPr>
                <w:sz w:val="16"/>
                <w:lang w:val="es-ES_tradnl"/>
              </w:rPr>
              <w:t xml:space="preserve">66% (datos disponibles de cuestionarios de encuestas realizadas </w:t>
            </w:r>
            <w:r w:rsidR="00C82DCA" w:rsidRPr="00A34388">
              <w:rPr>
                <w:sz w:val="16"/>
                <w:lang w:val="es-ES_tradnl"/>
              </w:rPr>
              <w:t xml:space="preserve">en el momento de concluirse las </w:t>
            </w:r>
            <w:r w:rsidRPr="00A34388">
              <w:rPr>
                <w:sz w:val="16"/>
                <w:lang w:val="es-ES_tradnl"/>
              </w:rPr>
              <w:t xml:space="preserve">actividades, cuestionarios de encuestas de evaluación </w:t>
            </w:r>
            <w:r w:rsidR="00C82DCA" w:rsidRPr="00A34388">
              <w:rPr>
                <w:sz w:val="16"/>
                <w:lang w:val="es-ES_tradnl"/>
              </w:rPr>
              <w:t xml:space="preserve">posteriores a las </w:t>
            </w:r>
            <w:r w:rsidRPr="00A34388">
              <w:rPr>
                <w:sz w:val="16"/>
                <w:lang w:val="es-ES_tradnl"/>
              </w:rPr>
              <w:t xml:space="preserve">actividades y observaciones </w:t>
            </w:r>
            <w:r w:rsidR="0075571C" w:rsidRPr="00A34388">
              <w:rPr>
                <w:sz w:val="16"/>
                <w:lang w:val="es-ES_tradnl"/>
              </w:rPr>
              <w:t xml:space="preserve">formuladas </w:t>
            </w:r>
            <w:r w:rsidRPr="00A34388">
              <w:rPr>
                <w:sz w:val="16"/>
                <w:lang w:val="es-ES_tradnl"/>
              </w:rPr>
              <w:t>directamente por participantes).</w:t>
            </w:r>
          </w:p>
          <w:p w:rsidR="0075571C" w:rsidRPr="00A34388" w:rsidRDefault="0075571C" w:rsidP="0075571C">
            <w:pPr>
              <w:rPr>
                <w:sz w:val="16"/>
                <w:lang w:val="es-ES_tradnl"/>
              </w:rPr>
            </w:pPr>
          </w:p>
          <w:p w:rsidR="0075571C" w:rsidRPr="00A34388" w:rsidRDefault="0075571C" w:rsidP="0075571C">
            <w:pPr>
              <w:rPr>
                <w:rFonts w:cs="Arial"/>
                <w:sz w:val="16"/>
                <w:szCs w:val="16"/>
                <w:lang w:val="es-ES_tradnl"/>
              </w:rPr>
            </w:pPr>
          </w:p>
        </w:tc>
        <w:tc>
          <w:tcPr>
            <w:tcW w:w="682" w:type="pct"/>
            <w:gridSpan w:val="2"/>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34388" w:rsidTr="00853209">
        <w:trPr>
          <w:cantSplit/>
        </w:trPr>
        <w:tc>
          <w:tcPr>
            <w:tcW w:w="969" w:type="pct"/>
            <w:tcBorders>
              <w:bottom w:val="single" w:sz="4" w:space="0" w:color="auto"/>
            </w:tcBorders>
            <w:shd w:val="clear" w:color="auto" w:fill="auto"/>
          </w:tcPr>
          <w:p w:rsidR="001A2871" w:rsidRPr="00A34388" w:rsidRDefault="001A2871" w:rsidP="00853209">
            <w:pPr>
              <w:rPr>
                <w:rFonts w:cs="Arial"/>
                <w:sz w:val="16"/>
                <w:szCs w:val="16"/>
                <w:lang w:val="es-ES_tradnl"/>
              </w:rPr>
            </w:pPr>
          </w:p>
        </w:tc>
        <w:tc>
          <w:tcPr>
            <w:tcW w:w="890" w:type="pct"/>
            <w:tcBorders>
              <w:bottom w:val="single" w:sz="4" w:space="0" w:color="auto"/>
            </w:tcBorders>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Se dispone de información general, pero no de datos específicos.</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Se dispone de información general, pero no de datos específicos.</w:t>
            </w:r>
          </w:p>
          <w:p w:rsidR="001A2871" w:rsidRPr="00A34388" w:rsidRDefault="001A2871" w:rsidP="00853209">
            <w:pPr>
              <w:rPr>
                <w:rFonts w:cs="Arial"/>
                <w:sz w:val="16"/>
                <w:szCs w:val="16"/>
                <w:lang w:val="es-ES_tradnl"/>
              </w:rPr>
            </w:pPr>
          </w:p>
        </w:tc>
        <w:tc>
          <w:tcPr>
            <w:tcW w:w="806"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90%</w:t>
            </w:r>
          </w:p>
        </w:tc>
        <w:tc>
          <w:tcPr>
            <w:tcW w:w="1653" w:type="pct"/>
            <w:tcBorders>
              <w:bottom w:val="single" w:sz="4" w:space="0" w:color="auto"/>
            </w:tcBorders>
            <w:shd w:val="clear" w:color="auto" w:fill="FFFFFF"/>
            <w:tcMar>
              <w:top w:w="110" w:type="dxa"/>
            </w:tcMar>
          </w:tcPr>
          <w:p w:rsidR="001A2871" w:rsidRPr="00A34388" w:rsidRDefault="001A2871" w:rsidP="0053403C">
            <w:pPr>
              <w:rPr>
                <w:rFonts w:cs="Arial"/>
                <w:sz w:val="16"/>
                <w:szCs w:val="16"/>
                <w:lang w:val="es-ES_tradnl"/>
              </w:rPr>
            </w:pPr>
            <w:r w:rsidRPr="00A34388">
              <w:rPr>
                <w:sz w:val="16"/>
                <w:lang w:val="es-ES_tradnl"/>
              </w:rPr>
              <w:t>95% (datos disponibles procedentes de cuestionarios de encuestas realizadas durante actividades, cuestionarios de encuestas de evaluación post</w:t>
            </w:r>
            <w:r w:rsidR="00EF4041">
              <w:rPr>
                <w:sz w:val="16"/>
                <w:lang w:val="es-ES_tradnl"/>
              </w:rPr>
              <w:t>eriores a las</w:t>
            </w:r>
            <w:r w:rsidRPr="00A34388">
              <w:rPr>
                <w:sz w:val="16"/>
                <w:lang w:val="es-ES_tradnl"/>
              </w:rPr>
              <w:t xml:space="preserve"> actividades y observaciones </w:t>
            </w:r>
            <w:r w:rsidR="0053403C" w:rsidRPr="00A34388">
              <w:rPr>
                <w:sz w:val="16"/>
                <w:lang w:val="es-ES_tradnl"/>
              </w:rPr>
              <w:t xml:space="preserve">formuladas </w:t>
            </w:r>
            <w:r w:rsidRPr="00A34388">
              <w:rPr>
                <w:sz w:val="16"/>
                <w:lang w:val="es-ES_tradnl"/>
              </w:rPr>
              <w:t>directamente por participantes).</w:t>
            </w:r>
          </w:p>
        </w:tc>
        <w:tc>
          <w:tcPr>
            <w:tcW w:w="682" w:type="pct"/>
            <w:gridSpan w:val="2"/>
            <w:tcBorders>
              <w:bottom w:val="single" w:sz="4" w:space="0" w:color="auto"/>
            </w:tcBorders>
            <w:shd w:val="clear" w:color="auto" w:fill="auto"/>
            <w:tcMar>
              <w:top w:w="110" w:type="dxa"/>
            </w:tcMar>
          </w:tcPr>
          <w:p w:rsidR="001A2871" w:rsidRPr="00332758" w:rsidRDefault="001A2871" w:rsidP="00853209">
            <w:pPr>
              <w:keepNext/>
              <w:keepLines/>
              <w:jc w:val="center"/>
              <w:rPr>
                <w:rFonts w:cs="Arial"/>
                <w:b/>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1A2871" w:rsidRPr="00A34388" w:rsidTr="00853209">
        <w:trPr>
          <w:cantSplit/>
        </w:trPr>
        <w:tc>
          <w:tcPr>
            <w:tcW w:w="969" w:type="pct"/>
            <w:tcBorders>
              <w:top w:val="single" w:sz="4" w:space="0" w:color="auto"/>
            </w:tcBorders>
            <w:shd w:val="clear" w:color="auto" w:fill="auto"/>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keepNext/>
              <w:keepLines/>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keepNext/>
              <w:keepLines/>
              <w:rPr>
                <w:rFonts w:cs="Arial"/>
                <w:b/>
                <w:color w:val="808080"/>
                <w:sz w:val="16"/>
                <w:szCs w:val="16"/>
                <w:lang w:val="es-ES_tradnl"/>
              </w:rPr>
            </w:pPr>
            <w:r w:rsidRPr="00332758">
              <w:rPr>
                <w:b/>
                <w:sz w:val="16"/>
                <w:lang w:val="es-ES_tradnl"/>
              </w:rPr>
              <w:t>Objetivos</w:t>
            </w:r>
          </w:p>
        </w:tc>
        <w:tc>
          <w:tcPr>
            <w:tcW w:w="1749" w:type="pct"/>
            <w:gridSpan w:val="2"/>
            <w:tcBorders>
              <w:top w:val="single" w:sz="4" w:space="0" w:color="auto"/>
            </w:tcBorders>
            <w:shd w:val="clear" w:color="auto" w:fill="FFFFFF"/>
            <w:tcMar>
              <w:top w:w="110" w:type="dxa"/>
            </w:tcMar>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Datos sobre el rendimiento</w:t>
            </w:r>
          </w:p>
        </w:tc>
        <w:tc>
          <w:tcPr>
            <w:tcW w:w="586"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redes nacionales de CATI puestas en marcha.</w:t>
            </w:r>
            <w:r w:rsidRPr="00A34388">
              <w:rPr>
                <w:sz w:val="16"/>
                <w:lang w:val="es-ES_tradnl"/>
              </w:rPr>
              <w:t xml:space="preserve"> </w:t>
            </w:r>
          </w:p>
        </w:tc>
        <w:tc>
          <w:tcPr>
            <w:tcW w:w="890"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0053403C" w:rsidRPr="00A34388">
              <w:rPr>
                <w:color w:val="002060"/>
                <w:sz w:val="16"/>
                <w:lang w:val="es-ES_tradnl"/>
              </w:rPr>
              <w:t>Dos redes nacionales de CATI p</w:t>
            </w:r>
            <w:r w:rsidRPr="00A34388">
              <w:rPr>
                <w:color w:val="002060"/>
                <w:sz w:val="16"/>
                <w:lang w:val="es-ES_tradnl"/>
              </w:rPr>
              <w:t>uesta en marcha.</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 xml:space="preserve">Una red nacional de CATI puesta en marcha </w:t>
            </w:r>
            <w:r w:rsidRPr="00A34388">
              <w:rPr>
                <w:rFonts w:cs="Arial"/>
                <w:sz w:val="16"/>
                <w:szCs w:val="16"/>
                <w:lang w:val="es-ES_tradnl"/>
              </w:rPr>
              <w:br/>
            </w:r>
            <w:r w:rsidRPr="00A34388">
              <w:rPr>
                <w:sz w:val="16"/>
                <w:lang w:val="es-ES_tradnl"/>
              </w:rPr>
              <w:t xml:space="preserve">(primer trimestre de 2011). </w:t>
            </w:r>
          </w:p>
        </w:tc>
        <w:tc>
          <w:tcPr>
            <w:tcW w:w="806" w:type="pct"/>
            <w:shd w:val="clear" w:color="auto" w:fill="auto"/>
            <w:tcMar>
              <w:top w:w="110" w:type="dxa"/>
            </w:tcMar>
          </w:tcPr>
          <w:p w:rsidR="001A2871" w:rsidRPr="002618BA" w:rsidRDefault="002618BA" w:rsidP="00853209">
            <w:pPr>
              <w:rPr>
                <w:rFonts w:cs="Arial"/>
                <w:sz w:val="16"/>
                <w:szCs w:val="16"/>
                <w:lang w:val="es-ES_tradnl"/>
              </w:rPr>
            </w:pPr>
            <w:r w:rsidRPr="002618BA">
              <w:rPr>
                <w:sz w:val="16"/>
                <w:lang w:val="es-ES_tradnl"/>
              </w:rPr>
              <w:t xml:space="preserve">Otras cuatro </w:t>
            </w:r>
            <w:r w:rsidR="001A2871" w:rsidRPr="002618BA">
              <w:rPr>
                <w:sz w:val="16"/>
                <w:lang w:val="es-ES_tradnl"/>
              </w:rPr>
              <w:t>redes nacionales de CATI:</w:t>
            </w:r>
          </w:p>
          <w:p w:rsidR="001A2871" w:rsidRPr="00A34388" w:rsidRDefault="001A2871" w:rsidP="00853209">
            <w:pPr>
              <w:rPr>
                <w:rFonts w:cs="Arial"/>
                <w:sz w:val="16"/>
                <w:szCs w:val="16"/>
                <w:lang w:val="es-ES_tradnl"/>
              </w:rPr>
            </w:pPr>
            <w:r w:rsidRPr="00A34388">
              <w:rPr>
                <w:sz w:val="16"/>
                <w:lang w:val="es-ES_tradnl"/>
              </w:rPr>
              <w:t xml:space="preserve">puestas en marcha. </w:t>
            </w:r>
          </w:p>
        </w:tc>
        <w:tc>
          <w:tcPr>
            <w:tcW w:w="1749" w:type="pct"/>
            <w:gridSpan w:val="2"/>
            <w:shd w:val="clear" w:color="auto" w:fill="FFFFFF"/>
            <w:tcMar>
              <w:top w:w="110" w:type="dxa"/>
            </w:tcMar>
          </w:tcPr>
          <w:p w:rsidR="001A2871" w:rsidRPr="00A34388" w:rsidRDefault="001A2871" w:rsidP="0053403C">
            <w:pPr>
              <w:rPr>
                <w:rFonts w:cs="Arial"/>
                <w:sz w:val="16"/>
                <w:szCs w:val="16"/>
                <w:lang w:val="es-ES_tradnl"/>
              </w:rPr>
            </w:pPr>
            <w:r w:rsidRPr="00A34388">
              <w:rPr>
                <w:sz w:val="16"/>
                <w:lang w:val="es-ES_tradnl"/>
              </w:rPr>
              <w:t xml:space="preserve">Una red nacional de CATI plenamente </w:t>
            </w:r>
            <w:r w:rsidR="0053403C" w:rsidRPr="00A34388">
              <w:rPr>
                <w:sz w:val="16"/>
                <w:lang w:val="es-ES_tradnl"/>
              </w:rPr>
              <w:t xml:space="preserve">instaurada </w:t>
            </w:r>
            <w:r w:rsidRPr="00A34388">
              <w:rPr>
                <w:sz w:val="16"/>
                <w:lang w:val="es-ES_tradnl"/>
              </w:rPr>
              <w:t>en la Federación de Rusia, con lo que el número total de redes de CATI de la región asciende a tres.</w:t>
            </w:r>
          </w:p>
        </w:tc>
        <w:tc>
          <w:tcPr>
            <w:tcW w:w="586"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No</w:t>
            </w:r>
            <w:r w:rsidRPr="00A34388">
              <w:rPr>
                <w:rFonts w:cs="Arial"/>
                <w:bCs/>
                <w:color w:val="FF0000"/>
                <w:sz w:val="16"/>
                <w:szCs w:val="16"/>
                <w:lang w:val="es-ES_tradnl"/>
              </w:rPr>
              <w:br/>
            </w:r>
            <w:r w:rsidRPr="00A34388">
              <w:rPr>
                <w:color w:val="FF0000"/>
                <w:sz w:val="16"/>
                <w:lang w:val="es-ES_tradnl"/>
              </w:rPr>
              <w:t>logrado</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que utilizan los servicios de los CATI por trimestre y por país.</w:t>
            </w:r>
          </w:p>
        </w:tc>
        <w:tc>
          <w:tcPr>
            <w:tcW w:w="890"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Entre 200 y 630 usuarios diarios en promedio atendidos por los CATI.</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Por determinar a fines de 2011.</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Por determinar a fines de 2011.</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Entre 532 y 1370 usuarios diarios en promedio atendidos por los CATI durante 2013. </w:t>
            </w:r>
          </w:p>
        </w:tc>
        <w:tc>
          <w:tcPr>
            <w:tcW w:w="586" w:type="pct"/>
            <w:shd w:val="clear" w:color="auto" w:fill="auto"/>
            <w:tcMar>
              <w:top w:w="110" w:type="dxa"/>
            </w:tcMar>
          </w:tcPr>
          <w:p w:rsidR="001A2871" w:rsidRPr="00332758" w:rsidRDefault="001A2871" w:rsidP="00853209">
            <w:pPr>
              <w:keepNext/>
              <w:keepLines/>
              <w:jc w:val="center"/>
              <w:rPr>
                <w:rStyle w:val="Style5"/>
                <w:rFonts w:ascii="Arial" w:hAnsi="Arial" w:cs="Arial"/>
                <w:sz w:val="16"/>
                <w:szCs w:val="16"/>
                <w:lang w:val="es-ES_tradnl"/>
              </w:rPr>
            </w:pPr>
            <w:r w:rsidRPr="00332758">
              <w:rPr>
                <w:rStyle w:val="Style5"/>
                <w:rFonts w:ascii="Arial" w:hAnsi="Arial"/>
                <w:sz w:val="16"/>
                <w:lang w:val="es-ES_tradnl"/>
              </w:rPr>
              <w:t>No</w:t>
            </w:r>
          </w:p>
          <w:p w:rsidR="001A2871" w:rsidRPr="00332758" w:rsidRDefault="001A2871" w:rsidP="00853209">
            <w:pPr>
              <w:keepNext/>
              <w:keepLines/>
              <w:jc w:val="center"/>
              <w:rPr>
                <w:rFonts w:cs="Arial"/>
                <w:b/>
                <w:bCs/>
                <w:sz w:val="16"/>
                <w:szCs w:val="16"/>
                <w:lang w:val="es-ES_tradnl"/>
              </w:rPr>
            </w:pPr>
            <w:r w:rsidRPr="00332758">
              <w:rPr>
                <w:rStyle w:val="Style5"/>
                <w:rFonts w:ascii="Arial" w:hAnsi="Arial"/>
                <w:sz w:val="16"/>
                <w:lang w:val="es-ES_tradnl"/>
              </w:rPr>
              <w:t>mensurable</w:t>
            </w:r>
          </w:p>
        </w:tc>
      </w:tr>
      <w:tr w:rsidR="001A2871" w:rsidRPr="00A34388" w:rsidTr="00853209">
        <w:trPr>
          <w:cantSplit/>
        </w:trPr>
        <w:tc>
          <w:tcPr>
            <w:tcW w:w="9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Estados miembros que han desarrollado su marco de P.I. y establecido oficinas universitarias de transferencia de tecnología (OTT).</w:t>
            </w:r>
            <w:r w:rsidRPr="00A34388">
              <w:rPr>
                <w:sz w:val="16"/>
                <w:lang w:val="es-ES_tradnl"/>
              </w:rPr>
              <w:t xml:space="preserve"> </w:t>
            </w:r>
          </w:p>
        </w:tc>
        <w:tc>
          <w:tcPr>
            <w:tcW w:w="890"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Se ha adoptado el proyecto piloto de marco de P.I. y se ha asignado la financiación correspondiente.</w:t>
            </w:r>
          </w:p>
        </w:tc>
        <w:tc>
          <w:tcPr>
            <w:tcW w:w="806" w:type="pct"/>
            <w:tcBorders>
              <w:bottom w:val="single" w:sz="4" w:space="0" w:color="auto"/>
            </w:tcBorders>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Ocho OTT</w:t>
            </w:r>
          </w:p>
          <w:p w:rsidR="001A2871" w:rsidRPr="00A34388" w:rsidRDefault="001A2871" w:rsidP="00853209">
            <w:pPr>
              <w:rPr>
                <w:rFonts w:cs="Arial"/>
                <w:sz w:val="16"/>
                <w:szCs w:val="16"/>
                <w:lang w:val="es-ES_tradnl"/>
              </w:rPr>
            </w:pPr>
            <w:r w:rsidRPr="00A34388">
              <w:rPr>
                <w:sz w:val="16"/>
                <w:lang w:val="es-ES_tradnl"/>
              </w:rPr>
              <w:t>(en 2012/13).</w:t>
            </w:r>
            <w:r w:rsidRPr="00A34388">
              <w:rPr>
                <w:rStyle w:val="FootnoteReference"/>
                <w:sz w:val="16"/>
                <w:lang w:val="es-ES_tradnl"/>
              </w:rPr>
              <w:footnoteReference w:id="21"/>
            </w:r>
          </w:p>
        </w:tc>
        <w:tc>
          <w:tcPr>
            <w:tcW w:w="1749" w:type="pct"/>
            <w:gridSpan w:val="2"/>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 prestó asistencia directa a dos universidades/instituciones de Georgia para que desarrollaran su ecosistema, política e infraestructura de transferencia de conocimientos en determinados países de Europa y Asia:  Universidad Estatal Ivane Javakhishvili </w:t>
            </w:r>
            <w:r w:rsidR="00EF4041">
              <w:rPr>
                <w:sz w:val="16"/>
                <w:lang w:val="es-ES_tradnl"/>
              </w:rPr>
              <w:t xml:space="preserve">de </w:t>
            </w:r>
            <w:r w:rsidRPr="00A34388">
              <w:rPr>
                <w:sz w:val="16"/>
                <w:lang w:val="es-ES_tradnl"/>
              </w:rPr>
              <w:t>Tbilisi y Centro de Transferencia de Tecnología de Georgia, con la posterior elaboración de un plan de acción.</w:t>
            </w:r>
          </w:p>
          <w:p w:rsidR="001A2871" w:rsidRPr="00A34388" w:rsidRDefault="001A2871" w:rsidP="00853209">
            <w:pPr>
              <w:rPr>
                <w:rFonts w:cs="Arial"/>
                <w:sz w:val="16"/>
                <w:szCs w:val="16"/>
                <w:lang w:val="es-ES_tradnl"/>
              </w:rPr>
            </w:pPr>
          </w:p>
        </w:tc>
        <w:tc>
          <w:tcPr>
            <w:tcW w:w="586" w:type="pct"/>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r>
      <w:tr w:rsidR="001A2871" w:rsidRPr="00A34388" w:rsidTr="00853209">
        <w:trPr>
          <w:cantSplit/>
        </w:trPr>
        <w:tc>
          <w:tcPr>
            <w:tcW w:w="9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49" w:type="pct"/>
            <w:gridSpan w:val="2"/>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586"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que disponen de sistemas de administración de P.I. totalmente automatizados proporcionados por la OMPI, en comparación con las que disponen de sistemas automatizados parcialmente.</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Cuatro.</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Cuatro.</w:t>
            </w:r>
          </w:p>
          <w:p w:rsidR="001A2871" w:rsidRPr="00A34388" w:rsidRDefault="001A2871" w:rsidP="00853209">
            <w:pPr>
              <w:rPr>
                <w:rFonts w:cs="Arial"/>
                <w:sz w:val="16"/>
                <w:szCs w:val="16"/>
                <w:lang w:val="es-ES_tradnl"/>
              </w:rPr>
            </w:pPr>
            <w:r w:rsidRPr="00A34388">
              <w:rPr>
                <w:sz w:val="16"/>
                <w:lang w:val="es-ES_tradnl"/>
              </w:rPr>
              <w:t>(en 2012/13).</w:t>
            </w:r>
          </w:p>
        </w:tc>
        <w:tc>
          <w:tcPr>
            <w:tcW w:w="1749" w:type="pct"/>
            <w:gridSpan w:val="2"/>
            <w:shd w:val="clear" w:color="auto" w:fill="FFFFFF"/>
            <w:tcMar>
              <w:top w:w="110" w:type="dxa"/>
            </w:tcMar>
          </w:tcPr>
          <w:p w:rsidR="001A2871" w:rsidRPr="00A34388" w:rsidRDefault="001A2871" w:rsidP="00853209">
            <w:pPr>
              <w:keepNext/>
              <w:keepLines/>
              <w:outlineLvl w:val="4"/>
              <w:rPr>
                <w:rFonts w:cs="Arial"/>
                <w:sz w:val="16"/>
                <w:szCs w:val="16"/>
                <w:lang w:val="es-ES_tradnl"/>
              </w:rPr>
            </w:pPr>
            <w:r w:rsidRPr="00A34388">
              <w:rPr>
                <w:sz w:val="16"/>
                <w:lang w:val="es-ES_tradnl"/>
              </w:rPr>
              <w:t xml:space="preserve">Número de oficinas </w:t>
            </w:r>
            <w:r w:rsidR="0053403C" w:rsidRPr="00A34388">
              <w:rPr>
                <w:sz w:val="16"/>
                <w:lang w:val="es-ES_tradnl"/>
              </w:rPr>
              <w:t xml:space="preserve">totalmente </w:t>
            </w:r>
            <w:r w:rsidRPr="00A34388">
              <w:rPr>
                <w:sz w:val="16"/>
                <w:lang w:val="es-ES_tradnl"/>
              </w:rPr>
              <w:t xml:space="preserve">automatizadas al final del bienio 2012/13 (cuatro) (Albania, </w:t>
            </w:r>
            <w:proofErr w:type="spellStart"/>
            <w:r w:rsidRPr="00A34388">
              <w:rPr>
                <w:sz w:val="16"/>
                <w:lang w:val="es-ES_tradnl"/>
              </w:rPr>
              <w:t>Belarús</w:t>
            </w:r>
            <w:proofErr w:type="spellEnd"/>
            <w:r w:rsidRPr="00A34388">
              <w:rPr>
                <w:sz w:val="16"/>
                <w:lang w:val="es-ES_tradnl"/>
              </w:rPr>
              <w:t>, ex República Yugoslava de Macedonia, Serbia).</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950FA5">
            <w:pPr>
              <w:rPr>
                <w:rFonts w:cs="Arial"/>
                <w:sz w:val="16"/>
                <w:szCs w:val="16"/>
                <w:lang w:val="es-ES_tradnl"/>
              </w:rPr>
            </w:pPr>
            <w:r w:rsidRPr="00A34388">
              <w:rPr>
                <w:sz w:val="16"/>
                <w:lang w:val="es-ES_tradnl"/>
              </w:rPr>
              <w:t>Total</w:t>
            </w:r>
            <w:proofErr w:type="gramStart"/>
            <w:r w:rsidRPr="00A34388">
              <w:rPr>
                <w:sz w:val="16"/>
                <w:lang w:val="es-ES_tradnl"/>
              </w:rPr>
              <w:t xml:space="preserve">:  </w:t>
            </w:r>
            <w:r w:rsidR="00950FA5">
              <w:rPr>
                <w:sz w:val="16"/>
                <w:lang w:val="es-ES_tradnl"/>
              </w:rPr>
              <w:t>Cuatro</w:t>
            </w:r>
            <w:proofErr w:type="gramEnd"/>
            <w:r w:rsidRPr="00A34388">
              <w:rPr>
                <w:sz w:val="16"/>
                <w:lang w:val="es-ES_tradnl"/>
              </w:rPr>
              <w:t xml:space="preserve"> oficinas utilizaban sistemas de administración de P.I. proporcionados por la OMPI al final del bienio 2012/13. </w:t>
            </w:r>
          </w:p>
        </w:tc>
        <w:tc>
          <w:tcPr>
            <w:tcW w:w="586"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34388" w:rsidTr="00853209">
        <w:trPr>
          <w:cantSplit/>
        </w:trPr>
        <w:tc>
          <w:tcPr>
            <w:tcW w:w="969" w:type="pct"/>
            <w:shd w:val="clear" w:color="auto" w:fill="auto"/>
          </w:tcPr>
          <w:p w:rsidR="001A2871" w:rsidRPr="00A34388" w:rsidRDefault="001A2871" w:rsidP="00853209">
            <w:pPr>
              <w:rPr>
                <w:rFonts w:cs="Arial"/>
                <w:color w:val="808080"/>
                <w:sz w:val="16"/>
                <w:szCs w:val="16"/>
                <w:lang w:val="es-ES_tradnl"/>
              </w:rPr>
            </w:pPr>
            <w:r w:rsidRPr="00332758">
              <w:rPr>
                <w:sz w:val="16"/>
                <w:lang w:val="es-ES_tradnl"/>
              </w:rPr>
              <w:t>Número de oficinas cuyos datos de P.I. están disponibles en las bases de datos de la OMPI en Internet.</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Por determinar.</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Por determinar.</w:t>
            </w:r>
            <w:r w:rsidRPr="00A34388">
              <w:rPr>
                <w:sz w:val="16"/>
                <w:lang w:val="es-ES_tradnl"/>
              </w:rPr>
              <w:t xml:space="preserve"> </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Tres oficinas:</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 xml:space="preserve">PATENTSCOPE (dos) (Estonia, </w:t>
            </w:r>
            <w:r w:rsidR="00286B53" w:rsidRPr="00A34388">
              <w:rPr>
                <w:sz w:val="16"/>
                <w:lang w:val="es-ES_tradnl"/>
              </w:rPr>
              <w:t xml:space="preserve">la </w:t>
            </w:r>
            <w:r w:rsidRPr="00A34388">
              <w:rPr>
                <w:sz w:val="16"/>
                <w:lang w:val="es-ES_tradnl"/>
              </w:rPr>
              <w:t>Federación de Rusia) (</w:t>
            </w:r>
            <w:r w:rsidR="0053403C" w:rsidRPr="00A34388">
              <w:rPr>
                <w:sz w:val="16"/>
                <w:lang w:val="es-ES_tradnl"/>
              </w:rPr>
              <w:t>en total</w:t>
            </w:r>
            <w:r w:rsidRPr="00A34388">
              <w:rPr>
                <w:sz w:val="16"/>
                <w:lang w:val="es-ES_tradnl"/>
              </w:rPr>
              <w:t>).</w:t>
            </w:r>
          </w:p>
          <w:p w:rsidR="001A2871" w:rsidRPr="00A34388" w:rsidRDefault="001A2871" w:rsidP="00853209">
            <w:pPr>
              <w:rPr>
                <w:rFonts w:cs="Arial"/>
                <w:sz w:val="16"/>
                <w:szCs w:val="16"/>
                <w:lang w:val="es-ES_tradnl"/>
              </w:rPr>
            </w:pPr>
          </w:p>
          <w:p w:rsidR="001A2871" w:rsidRPr="00A34388" w:rsidRDefault="001A2871" w:rsidP="0053403C">
            <w:pPr>
              <w:rPr>
                <w:rFonts w:cs="Arial"/>
                <w:sz w:val="16"/>
                <w:szCs w:val="16"/>
                <w:lang w:val="es-ES_tradnl"/>
              </w:rPr>
            </w:pPr>
            <w:r w:rsidRPr="00A34388">
              <w:rPr>
                <w:sz w:val="16"/>
                <w:lang w:val="es-ES_tradnl"/>
              </w:rPr>
              <w:t>Base Mundial de Datos sobre Marcas (una) (Estonia) (</w:t>
            </w:r>
            <w:r w:rsidR="0053403C" w:rsidRPr="00A34388">
              <w:rPr>
                <w:sz w:val="16"/>
                <w:lang w:val="es-ES_tradnl"/>
              </w:rPr>
              <w:t>en total</w:t>
            </w:r>
            <w:r w:rsidRPr="00A34388">
              <w:rPr>
                <w:sz w:val="16"/>
                <w:lang w:val="es-ES_tradnl"/>
              </w:rPr>
              <w:t>).</w:t>
            </w:r>
          </w:p>
        </w:tc>
        <w:tc>
          <w:tcPr>
            <w:tcW w:w="586" w:type="pct"/>
            <w:shd w:val="clear" w:color="auto" w:fill="auto"/>
            <w:tcMar>
              <w:top w:w="110" w:type="dxa"/>
            </w:tcMar>
          </w:tcPr>
          <w:p w:rsidR="001A2871" w:rsidRPr="00332758" w:rsidRDefault="001A2871" w:rsidP="00853209">
            <w:pPr>
              <w:keepNext/>
              <w:keepLines/>
              <w:jc w:val="center"/>
              <w:rPr>
                <w:rStyle w:val="Style5"/>
                <w:rFonts w:ascii="Arial" w:hAnsi="Arial" w:cs="Arial"/>
                <w:sz w:val="16"/>
                <w:szCs w:val="16"/>
                <w:lang w:val="es-ES_tradnl"/>
              </w:rPr>
            </w:pPr>
            <w:r w:rsidRPr="00332758">
              <w:rPr>
                <w:rStyle w:val="Style5"/>
                <w:rFonts w:ascii="Arial" w:hAnsi="Arial"/>
                <w:sz w:val="16"/>
                <w:lang w:val="es-ES_tradnl"/>
              </w:rPr>
              <w:t>No</w:t>
            </w:r>
          </w:p>
          <w:p w:rsidR="001A2871" w:rsidRPr="00332758" w:rsidRDefault="001A2871" w:rsidP="00853209">
            <w:pPr>
              <w:keepNext/>
              <w:keepLines/>
              <w:jc w:val="center"/>
              <w:rPr>
                <w:rFonts w:cs="Arial"/>
                <w:bCs/>
                <w:sz w:val="16"/>
                <w:szCs w:val="16"/>
                <w:lang w:val="es-ES_tradnl"/>
              </w:rPr>
            </w:pPr>
            <w:r w:rsidRPr="00332758">
              <w:rPr>
                <w:rStyle w:val="Style5"/>
                <w:rFonts w:ascii="Arial" w:hAnsi="Arial"/>
                <w:sz w:val="16"/>
                <w:lang w:val="es-ES_tradnl"/>
              </w:rPr>
              <w:t>mensurable</w:t>
            </w:r>
          </w:p>
        </w:tc>
      </w:tr>
      <w:tr w:rsidR="001A2871" w:rsidRPr="00A34388" w:rsidTr="00853209">
        <w:trPr>
          <w:cantSplit/>
        </w:trPr>
        <w:tc>
          <w:tcPr>
            <w:tcW w:w="9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lastRenderedPageBreak/>
              <w:t>Número de oficinas que tramitan los datos del PCT y del Sistema de Madrid con el apoyo de sistemas proporcionados por la OMPI.</w:t>
            </w:r>
          </w:p>
        </w:tc>
        <w:tc>
          <w:tcPr>
            <w:tcW w:w="890"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Por determinar.</w:t>
            </w:r>
          </w:p>
          <w:p w:rsidR="001A2871" w:rsidRPr="00A34388" w:rsidRDefault="001A2871" w:rsidP="00853209">
            <w:pPr>
              <w:rPr>
                <w:rFonts w:cs="Arial"/>
                <w:sz w:val="16"/>
                <w:szCs w:val="16"/>
                <w:lang w:val="es-ES_tradnl"/>
              </w:rPr>
            </w:pPr>
          </w:p>
        </w:tc>
        <w:tc>
          <w:tcPr>
            <w:tcW w:w="806"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Por determinar.</w:t>
            </w:r>
          </w:p>
        </w:tc>
        <w:tc>
          <w:tcPr>
            <w:tcW w:w="1749" w:type="pct"/>
            <w:gridSpan w:val="2"/>
            <w:tcBorders>
              <w:bottom w:val="single" w:sz="4" w:space="0" w:color="auto"/>
            </w:tcBorders>
            <w:shd w:val="clear" w:color="auto" w:fill="FFFFFF"/>
            <w:tcMar>
              <w:top w:w="110" w:type="dxa"/>
            </w:tcMar>
          </w:tcPr>
          <w:p w:rsidR="001A2871" w:rsidRPr="00A34388" w:rsidRDefault="001A2871" w:rsidP="00853209">
            <w:pPr>
              <w:keepNext/>
              <w:keepLines/>
              <w:outlineLvl w:val="4"/>
              <w:rPr>
                <w:rFonts w:cs="Arial"/>
                <w:sz w:val="16"/>
                <w:szCs w:val="16"/>
                <w:lang w:val="es-ES_tradnl"/>
              </w:rPr>
            </w:pPr>
            <w:r w:rsidRPr="00A34388">
              <w:rPr>
                <w:sz w:val="16"/>
                <w:lang w:val="es-ES_tradnl"/>
              </w:rPr>
              <w:t>Seis oficinas:</w:t>
            </w:r>
          </w:p>
          <w:p w:rsidR="001A2871" w:rsidRPr="00A34388" w:rsidRDefault="001A2871" w:rsidP="00853209">
            <w:pPr>
              <w:keepNext/>
              <w:keepLines/>
              <w:outlineLvl w:val="4"/>
              <w:rPr>
                <w:rFonts w:cs="Arial"/>
                <w:sz w:val="16"/>
                <w:szCs w:val="16"/>
                <w:lang w:val="es-ES_tradnl"/>
              </w:rPr>
            </w:pPr>
          </w:p>
          <w:p w:rsidR="001A2871" w:rsidRPr="00A34388" w:rsidRDefault="001A2871" w:rsidP="00853209">
            <w:pPr>
              <w:keepNext/>
              <w:keepLines/>
              <w:outlineLvl w:val="4"/>
              <w:rPr>
                <w:rFonts w:cs="Arial"/>
                <w:sz w:val="16"/>
                <w:szCs w:val="16"/>
                <w:lang w:val="es-ES_tradnl"/>
              </w:rPr>
            </w:pPr>
            <w:r w:rsidRPr="00A34388">
              <w:rPr>
                <w:sz w:val="16"/>
                <w:lang w:val="es-ES_tradnl"/>
              </w:rPr>
              <w:t>Datos del PCT</w:t>
            </w:r>
            <w:proofErr w:type="gramStart"/>
            <w:r w:rsidRPr="00A34388">
              <w:rPr>
                <w:sz w:val="16"/>
                <w:lang w:val="es-ES_tradnl"/>
              </w:rPr>
              <w:t>:  (</w:t>
            </w:r>
            <w:proofErr w:type="gramEnd"/>
            <w:r w:rsidRPr="00A34388">
              <w:rPr>
                <w:sz w:val="16"/>
                <w:lang w:val="es-ES_tradnl"/>
              </w:rPr>
              <w:t xml:space="preserve">cuatro) (Albania, </w:t>
            </w:r>
            <w:proofErr w:type="spellStart"/>
            <w:r w:rsidRPr="00A34388">
              <w:rPr>
                <w:sz w:val="16"/>
                <w:lang w:val="es-ES_tradnl"/>
              </w:rPr>
              <w:t>Belarús</w:t>
            </w:r>
            <w:proofErr w:type="spellEnd"/>
            <w:r w:rsidRPr="00A34388">
              <w:rPr>
                <w:sz w:val="16"/>
                <w:lang w:val="es-ES_tradnl"/>
              </w:rPr>
              <w:t>, ex República Yugoslava de Macedonia, Serbia).</w:t>
            </w:r>
          </w:p>
          <w:p w:rsidR="001A2871" w:rsidRPr="00A34388" w:rsidRDefault="001A2871" w:rsidP="00853209">
            <w:pPr>
              <w:keepNext/>
              <w:keepLines/>
              <w:outlineLvl w:val="4"/>
              <w:rPr>
                <w:rFonts w:cs="Arial"/>
                <w:sz w:val="16"/>
                <w:szCs w:val="16"/>
                <w:lang w:val="es-ES_tradnl"/>
              </w:rPr>
            </w:pPr>
          </w:p>
          <w:p w:rsidR="001A2871" w:rsidRPr="00A34388" w:rsidRDefault="001A2871" w:rsidP="00853209">
            <w:pPr>
              <w:keepNext/>
              <w:keepLines/>
              <w:outlineLvl w:val="4"/>
              <w:rPr>
                <w:rFonts w:cs="Arial"/>
                <w:sz w:val="16"/>
                <w:szCs w:val="16"/>
                <w:lang w:val="es-ES_tradnl"/>
              </w:rPr>
            </w:pPr>
            <w:r w:rsidRPr="00A34388">
              <w:rPr>
                <w:sz w:val="16"/>
                <w:lang w:val="es-ES_tradnl"/>
              </w:rPr>
              <w:t>Datos del sistema de Madrid:  (dos) (Albania, Serbia).</w:t>
            </w:r>
          </w:p>
          <w:p w:rsidR="001A2871" w:rsidRPr="00A34388" w:rsidRDefault="001A2871" w:rsidP="00853209">
            <w:pPr>
              <w:keepNext/>
              <w:keepLines/>
              <w:outlineLvl w:val="4"/>
              <w:rPr>
                <w:rFonts w:cs="Arial"/>
                <w:sz w:val="16"/>
                <w:szCs w:val="16"/>
                <w:lang w:val="es-ES_tradnl"/>
              </w:rPr>
            </w:pPr>
          </w:p>
        </w:tc>
        <w:tc>
          <w:tcPr>
            <w:tcW w:w="586" w:type="pct"/>
            <w:tcBorders>
              <w:bottom w:val="single" w:sz="4" w:space="0" w:color="auto"/>
            </w:tcBorders>
            <w:shd w:val="clear" w:color="auto" w:fill="auto"/>
            <w:tcMar>
              <w:top w:w="110" w:type="dxa"/>
            </w:tcMar>
          </w:tcPr>
          <w:p w:rsidR="001A2871" w:rsidRPr="00332758" w:rsidRDefault="001A2871" w:rsidP="00853209">
            <w:pPr>
              <w:keepNext/>
              <w:keepLines/>
              <w:jc w:val="center"/>
              <w:rPr>
                <w:rStyle w:val="Style5"/>
                <w:rFonts w:ascii="Arial" w:hAnsi="Arial" w:cs="Arial"/>
                <w:sz w:val="16"/>
                <w:szCs w:val="16"/>
                <w:lang w:val="es-ES_tradnl"/>
              </w:rPr>
            </w:pPr>
            <w:r w:rsidRPr="00332758">
              <w:rPr>
                <w:rStyle w:val="Style5"/>
                <w:rFonts w:ascii="Arial" w:hAnsi="Arial"/>
                <w:sz w:val="16"/>
                <w:lang w:val="es-ES_tradnl"/>
              </w:rPr>
              <w:t xml:space="preserve">No </w:t>
            </w:r>
          </w:p>
          <w:p w:rsidR="001A2871" w:rsidRPr="00332758" w:rsidRDefault="001A2871" w:rsidP="00853209">
            <w:pPr>
              <w:keepNext/>
              <w:keepLines/>
              <w:jc w:val="center"/>
              <w:rPr>
                <w:rFonts w:cs="Arial"/>
                <w:bCs/>
                <w:sz w:val="16"/>
                <w:szCs w:val="16"/>
                <w:lang w:val="es-ES_tradnl"/>
              </w:rPr>
            </w:pPr>
            <w:r w:rsidRPr="00332758">
              <w:rPr>
                <w:rStyle w:val="Style5"/>
                <w:rFonts w:ascii="Arial" w:hAnsi="Arial"/>
                <w:sz w:val="16"/>
                <w:lang w:val="es-ES_tradnl"/>
              </w:rPr>
              <w:t>mensurable</w:t>
            </w:r>
          </w:p>
        </w:tc>
      </w:tr>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 xml:space="preserve">Marcos de P.I. adaptados y equilibrados en el ámbito legislativo, reglamentario y de política.  </w:t>
            </w:r>
          </w:p>
        </w:tc>
      </w:tr>
      <w:tr w:rsidR="001A2871" w:rsidRPr="00A34388" w:rsidTr="00853209">
        <w:trPr>
          <w:cantSplit/>
        </w:trPr>
        <w:tc>
          <w:tcPr>
            <w:tcW w:w="969" w:type="pct"/>
            <w:tcBorders>
              <w:top w:val="single" w:sz="4" w:space="0" w:color="auto"/>
            </w:tcBorders>
            <w:shd w:val="clear" w:color="auto" w:fill="auto"/>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Indicadores de rendimiento</w:t>
            </w:r>
          </w:p>
        </w:tc>
        <w:tc>
          <w:tcPr>
            <w:tcW w:w="890" w:type="pct"/>
            <w:tcBorders>
              <w:top w:val="single" w:sz="4" w:space="0" w:color="auto"/>
            </w:tcBorders>
            <w:shd w:val="clear" w:color="auto" w:fill="auto"/>
            <w:vAlign w:val="center"/>
          </w:tcPr>
          <w:p w:rsidR="001A2871" w:rsidRPr="00A34388" w:rsidRDefault="001A2871" w:rsidP="00853209">
            <w:pPr>
              <w:keepNext/>
              <w:keepLines/>
              <w:rPr>
                <w:rFonts w:cs="Arial"/>
                <w:b/>
                <w:bCs/>
                <w:color w:val="808080"/>
                <w:sz w:val="16"/>
                <w:szCs w:val="16"/>
                <w:lang w:val="es-ES_tradnl"/>
              </w:rPr>
            </w:pPr>
            <w:r w:rsidRPr="00332758">
              <w:rPr>
                <w:b/>
                <w:sz w:val="16"/>
                <w:lang w:val="es-ES_tradnl"/>
              </w:rPr>
              <w:t>Referencia</w:t>
            </w:r>
          </w:p>
        </w:tc>
        <w:tc>
          <w:tcPr>
            <w:tcW w:w="806" w:type="pct"/>
            <w:tcBorders>
              <w:top w:val="single" w:sz="4" w:space="0" w:color="auto"/>
            </w:tcBorders>
            <w:shd w:val="clear" w:color="auto" w:fill="auto"/>
            <w:tcMar>
              <w:top w:w="110" w:type="dxa"/>
            </w:tcMar>
            <w:vAlign w:val="center"/>
          </w:tcPr>
          <w:p w:rsidR="001A2871" w:rsidRPr="00A34388" w:rsidRDefault="001A2871" w:rsidP="00853209">
            <w:pPr>
              <w:keepNext/>
              <w:keepLines/>
              <w:rPr>
                <w:rFonts w:cs="Arial"/>
                <w:b/>
                <w:color w:val="808080"/>
                <w:sz w:val="16"/>
                <w:szCs w:val="16"/>
                <w:lang w:val="es-ES_tradnl"/>
              </w:rPr>
            </w:pPr>
            <w:r w:rsidRPr="00332758">
              <w:rPr>
                <w:b/>
                <w:sz w:val="16"/>
                <w:lang w:val="es-ES_tradnl"/>
              </w:rPr>
              <w:t>Objetivos</w:t>
            </w:r>
          </w:p>
        </w:tc>
        <w:tc>
          <w:tcPr>
            <w:tcW w:w="1749" w:type="pct"/>
            <w:gridSpan w:val="2"/>
            <w:tcBorders>
              <w:top w:val="single" w:sz="4" w:space="0" w:color="auto"/>
            </w:tcBorders>
            <w:shd w:val="clear" w:color="auto" w:fill="FFFFFF"/>
            <w:tcMar>
              <w:top w:w="110" w:type="dxa"/>
            </w:tcMar>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Datos sobre el rendimiento</w:t>
            </w:r>
          </w:p>
        </w:tc>
        <w:tc>
          <w:tcPr>
            <w:tcW w:w="586"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cuentan con legislación y/o reglamentos sobre P.I. actualizados.</w:t>
            </w:r>
            <w:r w:rsidRPr="00A34388">
              <w:rPr>
                <w:sz w:val="16"/>
                <w:lang w:val="es-ES_tradnl"/>
              </w:rPr>
              <w:t xml:space="preserve"> </w:t>
            </w:r>
          </w:p>
        </w:tc>
        <w:tc>
          <w:tcPr>
            <w:tcW w:w="890"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Diez países</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color w:val="000000"/>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color w:val="000000"/>
                <w:sz w:val="16"/>
                <w:lang w:val="es-ES_tradnl"/>
              </w:rPr>
              <w:t>Ocho países (2008/09).</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Otros diez</w:t>
            </w:r>
          </w:p>
          <w:p w:rsidR="001A2871" w:rsidRPr="00A34388" w:rsidRDefault="001A2871" w:rsidP="00853209">
            <w:pPr>
              <w:rPr>
                <w:rFonts w:cs="Arial"/>
                <w:sz w:val="16"/>
                <w:szCs w:val="16"/>
                <w:lang w:val="es-ES_tradnl"/>
              </w:rPr>
            </w:pPr>
            <w:r w:rsidRPr="00332758">
              <w:rPr>
                <w:sz w:val="16"/>
                <w:lang w:val="es-ES_tradnl"/>
              </w:rPr>
              <w:t>países.</w:t>
            </w:r>
            <w:r w:rsidRPr="00A34388">
              <w:rPr>
                <w:sz w:val="16"/>
                <w:lang w:val="es-ES_tradnl"/>
              </w:rPr>
              <w:t xml:space="preserve"> </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Albania, Armenia, Belarús, Bosnia y Herzegovina, Eslovenia, Polonia, Rumania y Tayikistán actualizaron su legislación nacional en materia de P.I.</w:t>
            </w:r>
          </w:p>
          <w:p w:rsidR="001A2871" w:rsidRPr="00A34388" w:rsidRDefault="001A2871" w:rsidP="00853209">
            <w:pPr>
              <w:rPr>
                <w:rFonts w:cs="Arial"/>
                <w:sz w:val="8"/>
                <w:szCs w:val="8"/>
                <w:lang w:val="es-ES_tradnl"/>
              </w:rPr>
            </w:pP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Kazajstán y la Federación de Rusia han iniciado el proceso para modificar su legislación.</w:t>
            </w:r>
          </w:p>
        </w:tc>
        <w:tc>
          <w:tcPr>
            <w:tcW w:w="586" w:type="pct"/>
            <w:shd w:val="clear" w:color="auto" w:fill="auto"/>
            <w:tcMar>
              <w:top w:w="110" w:type="dxa"/>
            </w:tcMar>
          </w:tcPr>
          <w:p w:rsidR="001A2871" w:rsidRPr="00A34388" w:rsidRDefault="001A2871" w:rsidP="00853209">
            <w:pPr>
              <w:keepNext/>
              <w:keepLines/>
              <w:jc w:val="center"/>
              <w:rPr>
                <w:rStyle w:val="Style5"/>
                <w:rFonts w:ascii="Arial" w:hAnsi="Arial" w:cs="Arial"/>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p w:rsidR="001A2871" w:rsidRPr="00332758" w:rsidRDefault="001A2871" w:rsidP="00853209">
            <w:pPr>
              <w:keepNext/>
              <w:keepLines/>
              <w:jc w:val="center"/>
              <w:rPr>
                <w:rFonts w:cs="Arial"/>
                <w:bCs/>
                <w:sz w:val="16"/>
                <w:szCs w:val="16"/>
                <w:lang w:val="es-ES_tradnl"/>
              </w:rPr>
            </w:pPr>
          </w:p>
        </w:tc>
      </w:tr>
      <w:tr w:rsidR="001A2871" w:rsidRPr="00A34388" w:rsidTr="00853209">
        <w:trPr>
          <w:cantSplit/>
        </w:trPr>
        <w:tc>
          <w:tcPr>
            <w:tcW w:w="969" w:type="pct"/>
            <w:shd w:val="clear" w:color="auto" w:fill="auto"/>
          </w:tcPr>
          <w:p w:rsidR="001A2871" w:rsidRPr="00A34388" w:rsidRDefault="001A2871" w:rsidP="00853209">
            <w:pPr>
              <w:rPr>
                <w:rFonts w:cs="Arial"/>
                <w:color w:val="808080"/>
                <w:sz w:val="16"/>
                <w:szCs w:val="16"/>
                <w:lang w:val="es-ES_tradnl"/>
              </w:rPr>
            </w:pPr>
            <w:r w:rsidRPr="00332758">
              <w:rPr>
                <w:sz w:val="16"/>
                <w:lang w:val="es-ES_tradnl"/>
              </w:rPr>
              <w:t>Número de peticiones de asesoramiento en materia legislativa, y tipos de asesoramiento brindado en relación con las patentes, los modelos de utilidad, los secretos comerciales y los circuitos integrados, incluidas las flexibilidades pertinentes en materia de P.I.</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Por determinar.</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332758">
              <w:rPr>
                <w:sz w:val="16"/>
                <w:lang w:val="es-ES_tradnl"/>
              </w:rPr>
              <w:t>Por determinar.</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Tres países recibieron asesoramiento de la OMPI en relación con las patentes, los modelos de utilidad, los secretos comerciales y los circuitos integrados.</w:t>
            </w:r>
          </w:p>
          <w:p w:rsidR="001A2871" w:rsidRPr="00A34388" w:rsidRDefault="001A2871" w:rsidP="0053316D">
            <w:pPr>
              <w:pStyle w:val="ListParagraph"/>
              <w:numPr>
                <w:ilvl w:val="0"/>
                <w:numId w:val="65"/>
              </w:numPr>
              <w:rPr>
                <w:rFonts w:cs="Arial"/>
                <w:sz w:val="16"/>
                <w:szCs w:val="16"/>
                <w:lang w:val="es-ES_tradnl"/>
              </w:rPr>
            </w:pPr>
            <w:r w:rsidRPr="00A34388">
              <w:rPr>
                <w:sz w:val="16"/>
                <w:lang w:val="es-ES_tradnl"/>
              </w:rPr>
              <w:t>Belarús (secretos comerciales)</w:t>
            </w:r>
          </w:p>
          <w:p w:rsidR="001A2871" w:rsidRPr="00A34388" w:rsidRDefault="001A2871" w:rsidP="0053316D">
            <w:pPr>
              <w:pStyle w:val="ListParagraph"/>
              <w:numPr>
                <w:ilvl w:val="0"/>
                <w:numId w:val="65"/>
              </w:numPr>
              <w:rPr>
                <w:rFonts w:cs="Arial"/>
                <w:sz w:val="16"/>
                <w:szCs w:val="16"/>
                <w:lang w:val="es-ES_tradnl"/>
              </w:rPr>
            </w:pPr>
            <w:r w:rsidRPr="00A34388">
              <w:rPr>
                <w:sz w:val="16"/>
                <w:lang w:val="es-ES_tradnl"/>
              </w:rPr>
              <w:t>Kazajstán (derecho de patentes)</w:t>
            </w:r>
          </w:p>
          <w:p w:rsidR="001A2871" w:rsidRPr="00A34388" w:rsidRDefault="001A2871" w:rsidP="0053316D">
            <w:pPr>
              <w:pStyle w:val="ListParagraph"/>
              <w:numPr>
                <w:ilvl w:val="0"/>
                <w:numId w:val="65"/>
              </w:numPr>
              <w:rPr>
                <w:rFonts w:cs="Arial"/>
                <w:sz w:val="16"/>
                <w:szCs w:val="16"/>
                <w:lang w:val="es-ES_tradnl"/>
              </w:rPr>
            </w:pPr>
            <w:r w:rsidRPr="00A34388">
              <w:rPr>
                <w:sz w:val="16"/>
                <w:lang w:val="es-ES_tradnl"/>
              </w:rPr>
              <w:t>Polonia (derecho de patentes)</w:t>
            </w:r>
          </w:p>
        </w:tc>
        <w:tc>
          <w:tcPr>
            <w:tcW w:w="586" w:type="pct"/>
            <w:shd w:val="clear" w:color="auto" w:fill="auto"/>
            <w:tcMar>
              <w:top w:w="110" w:type="dxa"/>
            </w:tcMar>
          </w:tcPr>
          <w:p w:rsidR="001A2871" w:rsidRPr="00332758" w:rsidRDefault="001A2871" w:rsidP="00853209">
            <w:pPr>
              <w:keepNext/>
              <w:keepLines/>
              <w:jc w:val="center"/>
              <w:rPr>
                <w:rStyle w:val="Style5"/>
                <w:rFonts w:ascii="Arial" w:hAnsi="Arial" w:cs="Arial"/>
                <w:sz w:val="16"/>
                <w:szCs w:val="16"/>
                <w:lang w:val="es-ES_tradnl"/>
              </w:rPr>
            </w:pPr>
            <w:r w:rsidRPr="00332758">
              <w:rPr>
                <w:rStyle w:val="Style5"/>
                <w:rFonts w:ascii="Arial" w:hAnsi="Arial"/>
                <w:sz w:val="16"/>
                <w:lang w:val="es-ES_tradnl"/>
              </w:rPr>
              <w:t>No</w:t>
            </w:r>
          </w:p>
          <w:p w:rsidR="001A2871" w:rsidRPr="00A34388" w:rsidRDefault="001A2871" w:rsidP="00853209">
            <w:pPr>
              <w:keepNext/>
              <w:keepLines/>
              <w:jc w:val="center"/>
              <w:rPr>
                <w:rFonts w:cs="Arial"/>
                <w:bCs/>
                <w:color w:val="008000"/>
                <w:sz w:val="16"/>
                <w:szCs w:val="16"/>
                <w:lang w:val="es-ES_tradnl"/>
              </w:rPr>
            </w:pPr>
            <w:r w:rsidRPr="00332758">
              <w:rPr>
                <w:rStyle w:val="Style5"/>
                <w:rFonts w:ascii="Arial" w:hAnsi="Arial"/>
                <w:sz w:val="16"/>
                <w:lang w:val="es-ES_tradnl"/>
              </w:rPr>
              <w:t>mensurable</w:t>
            </w:r>
            <w:r w:rsidRPr="00A34388">
              <w:rPr>
                <w:rStyle w:val="Style5"/>
                <w:rFonts w:ascii="Arial" w:hAnsi="Arial"/>
                <w:sz w:val="16"/>
                <w:lang w:val="es-ES_tradnl"/>
              </w:rPr>
              <w:t xml:space="preserve"> </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consideraron útil el asesoramiento en materia legislativa relacionado con las patentes, los modelos de utilidad, los secretos comerciales y los circuitos integrados.</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90%</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Los tres países arriba citados consideraron útil el asesoramiento de la OMPI relacionado con las patentes, los modelos de utilidad, los secretos comerciales y los circuitos integrados.</w:t>
            </w:r>
          </w:p>
        </w:tc>
        <w:tc>
          <w:tcPr>
            <w:tcW w:w="586" w:type="pct"/>
            <w:shd w:val="clear" w:color="auto" w:fill="auto"/>
            <w:tcMar>
              <w:top w:w="110" w:type="dxa"/>
            </w:tcMar>
          </w:tcPr>
          <w:p w:rsidR="001A2871" w:rsidRPr="00A34388" w:rsidRDefault="001A2871" w:rsidP="00853209">
            <w:pPr>
              <w:keepNext/>
              <w:keepLines/>
              <w:jc w:val="center"/>
              <w:rPr>
                <w:rFonts w:cs="Arial"/>
                <w:b/>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países que consideraron útil la información proporcionada en relación con los principios y prácticas del sistema de patentes, y ello incluye las flexibilidades que ofrece el sistema y los desafíos que se plantean en la materia.</w:t>
            </w:r>
          </w:p>
        </w:tc>
        <w:tc>
          <w:tcPr>
            <w:tcW w:w="890" w:type="pct"/>
            <w:shd w:val="clear" w:color="auto" w:fill="auto"/>
          </w:tcPr>
          <w:p w:rsidR="001A2871" w:rsidRPr="002618BA" w:rsidRDefault="001A2871" w:rsidP="00853209">
            <w:pPr>
              <w:rPr>
                <w:rFonts w:cs="Arial"/>
                <w:i/>
                <w:color w:val="002060"/>
                <w:sz w:val="16"/>
                <w:szCs w:val="16"/>
                <w:lang w:val="es-ES_tradnl"/>
              </w:rPr>
            </w:pPr>
            <w:r w:rsidRPr="002618BA">
              <w:rPr>
                <w:i/>
                <w:color w:val="002060"/>
                <w:sz w:val="16"/>
                <w:lang w:val="es-ES_tradnl"/>
              </w:rPr>
              <w:t>Referencia actualizada a fines de 2011:</w:t>
            </w:r>
            <w:r w:rsidRPr="002618BA">
              <w:rPr>
                <w:color w:val="002060"/>
                <w:sz w:val="16"/>
                <w:lang w:val="es-ES_tradnl"/>
              </w:rPr>
              <w:t xml:space="preserve">  En los informes del SCP y del CDIP se recogen los comentarios recibidos de los Estados miembros (no se ofrecen estadísticas).</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90%</w:t>
            </w:r>
          </w:p>
        </w:tc>
        <w:tc>
          <w:tcPr>
            <w:tcW w:w="1749" w:type="pct"/>
            <w:gridSpan w:val="2"/>
            <w:shd w:val="clear" w:color="auto" w:fill="FFFFFF"/>
            <w:tcMar>
              <w:top w:w="110" w:type="dxa"/>
            </w:tcMar>
          </w:tcPr>
          <w:p w:rsidR="001A2871" w:rsidRPr="00A34388" w:rsidRDefault="001A2871" w:rsidP="0053403C">
            <w:pPr>
              <w:rPr>
                <w:rFonts w:cs="Arial"/>
                <w:sz w:val="16"/>
                <w:szCs w:val="16"/>
                <w:lang w:val="es-ES_tradnl"/>
              </w:rPr>
            </w:pPr>
            <w:r w:rsidRPr="00A34388">
              <w:rPr>
                <w:sz w:val="16"/>
                <w:lang w:val="es-ES_tradnl"/>
              </w:rPr>
              <w:t xml:space="preserve">Todos los comentarios recibidos </w:t>
            </w:r>
            <w:r w:rsidR="0053403C" w:rsidRPr="00A34388">
              <w:rPr>
                <w:sz w:val="16"/>
                <w:lang w:val="es-ES_tradnl"/>
              </w:rPr>
              <w:t xml:space="preserve">señalaban </w:t>
            </w:r>
            <w:r w:rsidRPr="00A34388">
              <w:rPr>
                <w:sz w:val="16"/>
                <w:lang w:val="es-ES_tradnl"/>
              </w:rPr>
              <w:t xml:space="preserve">que la información proporcionada se consideró útil.  En una encuesta realizada simultáneamente con la evaluación del programa 1 llevada a cabo por la DASI, más del 90% de los encuestados calificaban la calidad de los documentos sustantivos elaborados por la Secretaría como "excelente" o "buena".   </w:t>
            </w:r>
          </w:p>
        </w:tc>
        <w:tc>
          <w:tcPr>
            <w:tcW w:w="586"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969" w:type="pct"/>
            <w:shd w:val="clear" w:color="auto" w:fill="auto"/>
          </w:tcPr>
          <w:p w:rsidR="001A2871" w:rsidRPr="00A34388" w:rsidRDefault="001A2871" w:rsidP="00853209">
            <w:pPr>
              <w:rPr>
                <w:rFonts w:cs="Arial"/>
                <w:sz w:val="16"/>
                <w:szCs w:val="16"/>
                <w:lang w:val="es-ES_tradnl"/>
              </w:rPr>
            </w:pPr>
            <w:r w:rsidRPr="00332758">
              <w:rPr>
                <w:sz w:val="16"/>
                <w:lang w:val="es-ES_tradnl"/>
              </w:rPr>
              <w:lastRenderedPageBreak/>
              <w:t>Porcentaje de participantes en talleres/seminarios sobre cuestiones específicas relacionadas con las patentes que expresaron satisfacción al respecto.</w:t>
            </w:r>
            <w:r w:rsidRPr="00A34388">
              <w:rPr>
                <w:sz w:val="16"/>
                <w:lang w:val="es-ES_tradnl"/>
              </w:rPr>
              <w:t xml:space="preserve"> </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90%</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El 92,5% de los participantes en talleres/seminarios organizados por el programa 1 se mostraron satisfechos con las actividades realizadas. </w:t>
            </w:r>
          </w:p>
        </w:tc>
        <w:tc>
          <w:tcPr>
            <w:tcW w:w="586"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96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Estados miembros que recibieron asesoramiento en materia legislativa en la esfera de las marcas, los dibujos y modelos industriales y las indicaciones geográficas.</w:t>
            </w:r>
            <w:r w:rsidRPr="00A34388">
              <w:rPr>
                <w:color w:val="000000"/>
                <w:sz w:val="16"/>
                <w:lang w:val="es-ES_tradnl"/>
              </w:rPr>
              <w:t xml:space="preserve"> </w:t>
            </w:r>
          </w:p>
        </w:tc>
        <w:tc>
          <w:tcPr>
            <w:tcW w:w="890" w:type="pct"/>
            <w:shd w:val="clear" w:color="auto" w:fill="auto"/>
          </w:tcPr>
          <w:p w:rsidR="001A2871" w:rsidRPr="00A34388" w:rsidRDefault="001A2871" w:rsidP="00853209">
            <w:pPr>
              <w:rPr>
                <w:rFonts w:cs="Arial"/>
                <w:sz w:val="16"/>
                <w:szCs w:val="16"/>
                <w:lang w:val="es-ES_tradnl"/>
              </w:rPr>
            </w:pPr>
            <w:r w:rsidRPr="00A34388">
              <w:rPr>
                <w:sz w:val="16"/>
                <w:lang w:val="es-ES_tradnl"/>
              </w:rPr>
              <w:t>2</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Asesoramiento en materia legislativa</w:t>
            </w:r>
          </w:p>
          <w:p w:rsidR="001A2871" w:rsidRPr="00A34388" w:rsidRDefault="001A2871" w:rsidP="00853209">
            <w:pPr>
              <w:rPr>
                <w:rFonts w:cs="Arial"/>
                <w:sz w:val="16"/>
                <w:szCs w:val="16"/>
                <w:lang w:val="es-ES_tradnl"/>
              </w:rPr>
            </w:pPr>
            <w:r w:rsidRPr="00A34388">
              <w:rPr>
                <w:sz w:val="16"/>
                <w:lang w:val="es-ES_tradnl"/>
              </w:rPr>
              <w:t>proporcionado a dos Estados miembros.</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Cuatro países recibieron asesoramiento de la OMPI en la esfera de las marcas, los dibujos y modelos industriales y las indicaciones geográficas: </w:t>
            </w:r>
          </w:p>
          <w:p w:rsidR="001A2871" w:rsidRPr="00A34388" w:rsidRDefault="001A2871" w:rsidP="0053316D">
            <w:pPr>
              <w:pStyle w:val="ListParagraph"/>
              <w:numPr>
                <w:ilvl w:val="0"/>
                <w:numId w:val="66"/>
              </w:numPr>
              <w:rPr>
                <w:rFonts w:cs="Arial"/>
                <w:sz w:val="16"/>
                <w:szCs w:val="16"/>
                <w:lang w:val="es-ES_tradnl"/>
              </w:rPr>
            </w:pPr>
            <w:r w:rsidRPr="00A34388">
              <w:rPr>
                <w:sz w:val="16"/>
                <w:lang w:val="es-ES_tradnl"/>
              </w:rPr>
              <w:t>Bosnia y Herzegovina (marcas)</w:t>
            </w:r>
          </w:p>
          <w:p w:rsidR="001A2871" w:rsidRPr="00A34388" w:rsidRDefault="001A2871" w:rsidP="0053316D">
            <w:pPr>
              <w:pStyle w:val="ListParagraph"/>
              <w:numPr>
                <w:ilvl w:val="0"/>
                <w:numId w:val="66"/>
              </w:numPr>
              <w:rPr>
                <w:rFonts w:cs="Arial"/>
                <w:sz w:val="16"/>
                <w:szCs w:val="16"/>
                <w:lang w:val="es-ES_tradnl"/>
              </w:rPr>
            </w:pPr>
            <w:r w:rsidRPr="00A34388">
              <w:rPr>
                <w:sz w:val="16"/>
                <w:lang w:val="es-ES_tradnl"/>
              </w:rPr>
              <w:t>Polonia (dibujos y modelos industriales)</w:t>
            </w:r>
          </w:p>
          <w:p w:rsidR="001A2871" w:rsidRPr="00A34388" w:rsidRDefault="00286B53" w:rsidP="0053316D">
            <w:pPr>
              <w:pStyle w:val="ListParagraph"/>
              <w:numPr>
                <w:ilvl w:val="0"/>
                <w:numId w:val="66"/>
              </w:numPr>
              <w:rPr>
                <w:rFonts w:cs="Arial"/>
                <w:sz w:val="16"/>
                <w:szCs w:val="16"/>
                <w:lang w:val="es-ES_tradnl"/>
              </w:rPr>
            </w:pPr>
            <w:r w:rsidRPr="00A34388">
              <w:rPr>
                <w:sz w:val="16"/>
                <w:lang w:val="es-ES_tradnl"/>
              </w:rPr>
              <w:t xml:space="preserve">la </w:t>
            </w:r>
            <w:r w:rsidR="001A2871" w:rsidRPr="00A34388">
              <w:rPr>
                <w:sz w:val="16"/>
                <w:lang w:val="es-ES_tradnl"/>
              </w:rPr>
              <w:t>Federación de Rusia (dibujos y modelos industriales)</w:t>
            </w:r>
          </w:p>
          <w:p w:rsidR="001A2871" w:rsidRPr="00A34388" w:rsidRDefault="001A2871" w:rsidP="0053316D">
            <w:pPr>
              <w:pStyle w:val="ListParagraph"/>
              <w:numPr>
                <w:ilvl w:val="0"/>
                <w:numId w:val="66"/>
              </w:numPr>
              <w:rPr>
                <w:rFonts w:cs="Arial"/>
                <w:sz w:val="16"/>
                <w:szCs w:val="16"/>
                <w:lang w:val="es-ES_tradnl"/>
              </w:rPr>
            </w:pPr>
            <w:r w:rsidRPr="00A34388">
              <w:rPr>
                <w:sz w:val="16"/>
                <w:lang w:val="es-ES_tradnl"/>
              </w:rPr>
              <w:t>Tayikistán (dibujos y modelos industriales)</w:t>
            </w:r>
          </w:p>
        </w:tc>
        <w:tc>
          <w:tcPr>
            <w:tcW w:w="586"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b/>
                <w:color w:val="00B050"/>
                <w:sz w:val="16"/>
                <w:lang w:val="es-ES_tradnl"/>
              </w:rPr>
              <w:t xml:space="preserve"> </w:t>
            </w:r>
          </w:p>
        </w:tc>
      </w:tr>
      <w:tr w:rsidR="001A2871" w:rsidRPr="00A34388" w:rsidTr="00853209">
        <w:trPr>
          <w:cantSplit/>
        </w:trPr>
        <w:tc>
          <w:tcPr>
            <w:tcW w:w="96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países que presentaron comentarios positivos sobre la utilidad del asesoramiento proporcionado en materia legislativa en la esfera de las marcas, los dibujos y modelos industriales y las indicaciones geográficas.</w:t>
            </w:r>
          </w:p>
          <w:p w:rsidR="001A2871" w:rsidRPr="00A34388" w:rsidRDefault="001A2871" w:rsidP="00853209">
            <w:pPr>
              <w:rPr>
                <w:rFonts w:cs="Arial"/>
                <w:color w:val="000000"/>
                <w:sz w:val="16"/>
                <w:szCs w:val="16"/>
                <w:lang w:val="es-ES_tradnl"/>
              </w:rPr>
            </w:pPr>
            <w:r w:rsidRPr="00A34388">
              <w:rPr>
                <w:color w:val="000000"/>
                <w:sz w:val="16"/>
                <w:lang w:val="es-ES_tradnl"/>
              </w:rPr>
              <w:t xml:space="preserve"> </w:t>
            </w:r>
          </w:p>
        </w:tc>
        <w:tc>
          <w:tcPr>
            <w:tcW w:w="890"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806"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70%</w:t>
            </w:r>
          </w:p>
        </w:tc>
        <w:tc>
          <w:tcPr>
            <w:tcW w:w="1749" w:type="pct"/>
            <w:gridSpan w:val="2"/>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El 100% de los países indicó que la asistencia de la OMPI en el ámbito de las marcas, los dibujos y modelos industriales y las indicaciones geográficas les resultó de utilidad. </w:t>
            </w:r>
          </w:p>
        </w:tc>
        <w:tc>
          <w:tcPr>
            <w:tcW w:w="586"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1A2871" w:rsidRPr="00A34388" w:rsidRDefault="001A2871" w:rsidP="001A2871">
      <w:pPr>
        <w:keepNext/>
        <w:keepLines/>
        <w:rPr>
          <w:rFonts w:cs="Arial"/>
          <w:sz w:val="18"/>
          <w:szCs w:val="18"/>
          <w:lang w:val="es-ES_tradnl"/>
        </w:rPr>
      </w:pPr>
    </w:p>
    <w:p w:rsidR="001A2871" w:rsidRPr="00332758" w:rsidRDefault="001A2871" w:rsidP="001A2871">
      <w:pPr>
        <w:keepNext/>
        <w:keepLines/>
        <w:rPr>
          <w:rFonts w:cs="Arial"/>
          <w:sz w:val="22"/>
          <w:szCs w:val="22"/>
          <w:lang w:val="es-ES_tradnl"/>
        </w:rPr>
      </w:pP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Cs w:val="20"/>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(en miles de francos suizos)</w:t>
      </w:r>
    </w:p>
    <w:p w:rsidR="001A2871" w:rsidRPr="00A34388" w:rsidRDefault="001A2871" w:rsidP="001A2871">
      <w:pPr>
        <w:pStyle w:val="NormalWeb"/>
        <w:spacing w:before="0" w:beforeAutospacing="0" w:after="0" w:afterAutospacing="0"/>
        <w:jc w:val="center"/>
        <w:rPr>
          <w:lang w:val="es-ES_tradnl"/>
        </w:rPr>
      </w:pPr>
    </w:p>
    <w:tbl>
      <w:tblPr>
        <w:tblW w:w="0" w:type="auto"/>
        <w:tblInd w:w="103" w:type="dxa"/>
        <w:tblLayout w:type="fixed"/>
        <w:tblLook w:val="04A0" w:firstRow="1" w:lastRow="0" w:firstColumn="1" w:lastColumn="0" w:noHBand="0" w:noVBand="1"/>
      </w:tblPr>
      <w:tblGrid>
        <w:gridCol w:w="501"/>
        <w:gridCol w:w="4466"/>
        <w:gridCol w:w="1464"/>
        <w:gridCol w:w="1465"/>
        <w:gridCol w:w="1465"/>
      </w:tblGrid>
      <w:tr w:rsidR="001A2871" w:rsidRPr="00A34388" w:rsidTr="00853209">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01" w:type="dxa"/>
            <w:tcBorders>
              <w:top w:val="nil"/>
              <w:left w:val="single" w:sz="4" w:space="0" w:color="auto"/>
              <w:bottom w:val="nil"/>
              <w:right w:val="nil"/>
            </w:tcBorders>
            <w:shd w:val="clear" w:color="000000" w:fill="FFFFFF"/>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I.4</w:t>
            </w:r>
          </w:p>
        </w:tc>
        <w:tc>
          <w:tcPr>
            <w:tcW w:w="4466" w:type="dxa"/>
            <w:tcBorders>
              <w:top w:val="nil"/>
              <w:left w:val="nil"/>
              <w:bottom w:val="nil"/>
              <w:right w:val="nil"/>
            </w:tcBorders>
            <w:shd w:val="clear" w:color="000000" w:fill="FFFFFF"/>
            <w:hideMark/>
          </w:tcPr>
          <w:p w:rsidR="001A2871" w:rsidRPr="00A34388" w:rsidRDefault="001A2871" w:rsidP="00853209">
            <w:pPr>
              <w:spacing w:before="8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464"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1.249 </w:t>
            </w:r>
          </w:p>
        </w:tc>
        <w:tc>
          <w:tcPr>
            <w:tcW w:w="1465"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1.362</w:t>
            </w:r>
          </w:p>
        </w:tc>
        <w:tc>
          <w:tcPr>
            <w:tcW w:w="1465"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1,131 </w:t>
            </w:r>
          </w:p>
        </w:tc>
      </w:tr>
      <w:tr w:rsidR="001A2871" w:rsidRPr="00A34388" w:rsidTr="00853209">
        <w:tc>
          <w:tcPr>
            <w:tcW w:w="501" w:type="dxa"/>
            <w:tcBorders>
              <w:top w:val="nil"/>
              <w:left w:val="single" w:sz="4" w:space="0" w:color="auto"/>
              <w:bottom w:val="nil"/>
              <w:right w:val="nil"/>
            </w:tcBorders>
            <w:shd w:val="clear" w:color="000000" w:fill="FFFFFF"/>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III.1</w:t>
            </w:r>
          </w:p>
        </w:tc>
        <w:tc>
          <w:tcPr>
            <w:tcW w:w="4466" w:type="dxa"/>
            <w:tcBorders>
              <w:top w:val="nil"/>
              <w:left w:val="nil"/>
              <w:bottom w:val="nil"/>
              <w:right w:val="nil"/>
            </w:tcBorders>
            <w:shd w:val="clear" w:color="000000" w:fill="FFFFFF"/>
            <w:hideMark/>
          </w:tcPr>
          <w:p w:rsidR="001A2871" w:rsidRPr="00A34388" w:rsidRDefault="001A2871" w:rsidP="00853209">
            <w:pPr>
              <w:spacing w:before="80"/>
              <w:rPr>
                <w:rFonts w:cs="Arial"/>
                <w:color w:val="808080"/>
                <w:sz w:val="16"/>
                <w:szCs w:val="16"/>
                <w:lang w:val="es-ES_tradnl"/>
              </w:rPr>
            </w:pPr>
            <w:r w:rsidRPr="00332758">
              <w:rPr>
                <w:sz w:val="16"/>
                <w:lang w:val="es-ES_tradnl"/>
              </w:rPr>
              <w:t>Políticas nacionales, estrategias y planes de desarrollo de innovación y de P.I. claramente definidos y coherentes que estén en sintonía con las metas y los objetivos nacionales de desarrollo.</w:t>
            </w:r>
          </w:p>
        </w:tc>
        <w:tc>
          <w:tcPr>
            <w:tcW w:w="1464"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2.207 </w:t>
            </w:r>
          </w:p>
        </w:tc>
        <w:tc>
          <w:tcPr>
            <w:tcW w:w="1465"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1.908 </w:t>
            </w:r>
          </w:p>
        </w:tc>
        <w:tc>
          <w:tcPr>
            <w:tcW w:w="1465"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1.887 </w:t>
            </w:r>
          </w:p>
        </w:tc>
      </w:tr>
      <w:tr w:rsidR="001A2871" w:rsidRPr="00A34388" w:rsidTr="00853209">
        <w:tc>
          <w:tcPr>
            <w:tcW w:w="501" w:type="dxa"/>
            <w:tcBorders>
              <w:top w:val="nil"/>
              <w:left w:val="single" w:sz="4" w:space="0" w:color="auto"/>
              <w:bottom w:val="nil"/>
              <w:right w:val="nil"/>
            </w:tcBorders>
            <w:shd w:val="clear" w:color="000000" w:fill="FFFFFF"/>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III.2</w:t>
            </w:r>
          </w:p>
        </w:tc>
        <w:tc>
          <w:tcPr>
            <w:tcW w:w="4466" w:type="dxa"/>
            <w:tcBorders>
              <w:top w:val="nil"/>
              <w:left w:val="nil"/>
              <w:bottom w:val="nil"/>
              <w:right w:val="nil"/>
            </w:tcBorders>
            <w:shd w:val="clear" w:color="000000" w:fill="FFFFFF"/>
            <w:hideMark/>
          </w:tcPr>
          <w:p w:rsidR="001A2871" w:rsidRPr="00A34388" w:rsidRDefault="001A2871" w:rsidP="00853209">
            <w:pPr>
              <w:spacing w:before="8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464"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1.461 </w:t>
            </w:r>
          </w:p>
        </w:tc>
        <w:tc>
          <w:tcPr>
            <w:tcW w:w="1465" w:type="dxa"/>
            <w:tcBorders>
              <w:top w:val="nil"/>
              <w:left w:val="nil"/>
              <w:bottom w:val="nil"/>
              <w:right w:val="nil"/>
            </w:tcBorders>
            <w:shd w:val="clear" w:color="000000" w:fill="FFFFFF"/>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2.176 </w:t>
            </w:r>
          </w:p>
        </w:tc>
        <w:tc>
          <w:tcPr>
            <w:tcW w:w="1465"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2.121 </w:t>
            </w:r>
          </w:p>
        </w:tc>
      </w:tr>
      <w:tr w:rsidR="001A2871" w:rsidRPr="00A34388" w:rsidTr="00853209">
        <w:tc>
          <w:tcPr>
            <w:tcW w:w="501"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80" w:after="120"/>
              <w:jc w:val="center"/>
              <w:rPr>
                <w:rFonts w:cs="Arial"/>
                <w:color w:val="808080"/>
                <w:sz w:val="16"/>
                <w:szCs w:val="16"/>
                <w:lang w:val="es-ES_tradnl"/>
              </w:rPr>
            </w:pPr>
            <w:r w:rsidRPr="00332758">
              <w:rPr>
                <w:sz w:val="16"/>
                <w:lang w:val="es-ES_tradnl"/>
              </w:rPr>
              <w:t>IV.5</w:t>
            </w:r>
          </w:p>
        </w:tc>
        <w:tc>
          <w:tcPr>
            <w:tcW w:w="4466" w:type="dxa"/>
            <w:tcBorders>
              <w:top w:val="nil"/>
              <w:left w:val="nil"/>
              <w:bottom w:val="single" w:sz="4" w:space="0" w:color="auto"/>
              <w:right w:val="nil"/>
            </w:tcBorders>
            <w:shd w:val="clear" w:color="000000" w:fill="FFFFFF"/>
            <w:hideMark/>
          </w:tcPr>
          <w:p w:rsidR="001A2871" w:rsidRPr="00A34388" w:rsidRDefault="001A2871" w:rsidP="00853209">
            <w:pPr>
              <w:spacing w:before="80" w:after="12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464"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80" w:after="120"/>
              <w:jc w:val="right"/>
              <w:rPr>
                <w:rFonts w:cs="Arial"/>
                <w:color w:val="808080"/>
                <w:sz w:val="16"/>
                <w:szCs w:val="16"/>
                <w:lang w:val="es-ES_tradnl"/>
              </w:rPr>
            </w:pPr>
            <w:r w:rsidRPr="00332758">
              <w:rPr>
                <w:sz w:val="16"/>
                <w:lang w:val="es-ES_tradnl"/>
              </w:rPr>
              <w:t xml:space="preserve">1.522 </w:t>
            </w:r>
          </w:p>
        </w:tc>
        <w:tc>
          <w:tcPr>
            <w:tcW w:w="1465"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80" w:after="120"/>
              <w:jc w:val="right"/>
              <w:rPr>
                <w:rFonts w:cs="Arial"/>
                <w:color w:val="808080"/>
                <w:sz w:val="16"/>
                <w:szCs w:val="16"/>
                <w:lang w:val="es-ES_tradnl"/>
              </w:rPr>
            </w:pPr>
            <w:r w:rsidRPr="00332758">
              <w:rPr>
                <w:sz w:val="16"/>
                <w:lang w:val="es-ES_tradnl"/>
              </w:rPr>
              <w:t>1.087</w:t>
            </w:r>
          </w:p>
        </w:tc>
        <w:tc>
          <w:tcPr>
            <w:tcW w:w="1465"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80" w:after="120"/>
              <w:jc w:val="right"/>
              <w:rPr>
                <w:rFonts w:cs="Arial"/>
                <w:sz w:val="16"/>
                <w:szCs w:val="16"/>
                <w:lang w:val="es-ES_tradnl"/>
              </w:rPr>
            </w:pPr>
            <w:r w:rsidRPr="00332758">
              <w:rPr>
                <w:sz w:val="16"/>
                <w:lang w:val="es-ES_tradnl"/>
              </w:rPr>
              <w:t>1.041</w:t>
            </w:r>
          </w:p>
        </w:tc>
      </w:tr>
      <w:tr w:rsidR="001A2871" w:rsidRPr="00A34388" w:rsidTr="00853209">
        <w:tc>
          <w:tcPr>
            <w:tcW w:w="501"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466"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464" w:type="dxa"/>
            <w:tcBorders>
              <w:top w:val="nil"/>
              <w:left w:val="nil"/>
              <w:bottom w:val="single" w:sz="4" w:space="0" w:color="auto"/>
              <w:right w:val="nil"/>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6.439</w:t>
            </w:r>
          </w:p>
        </w:tc>
        <w:tc>
          <w:tcPr>
            <w:tcW w:w="1465"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6.532</w:t>
            </w:r>
          </w:p>
        </w:tc>
        <w:tc>
          <w:tcPr>
            <w:tcW w:w="1465"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6.181</w:t>
            </w:r>
          </w:p>
        </w:tc>
      </w:tr>
    </w:tbl>
    <w:p w:rsidR="001A2871" w:rsidRPr="00A34388" w:rsidRDefault="001A2871" w:rsidP="001A2871">
      <w:pPr>
        <w:keepNext/>
        <w:keepLines/>
        <w:rPr>
          <w:rFonts w:cs="Arial"/>
          <w:sz w:val="22"/>
          <w:szCs w:val="22"/>
          <w:lang w:val="es-ES_tradnl"/>
        </w:rPr>
      </w:pPr>
    </w:p>
    <w:p w:rsidR="004C0FD5" w:rsidRPr="00A34388" w:rsidRDefault="004C0FD5">
      <w:pPr>
        <w:rPr>
          <w:rFonts w:cs="Arial"/>
          <w:color w:val="000000"/>
          <w:szCs w:val="18"/>
          <w:lang w:val="es-ES_tradnl"/>
        </w:rPr>
      </w:pPr>
      <w:r w:rsidRPr="00A34388">
        <w:rPr>
          <w:color w:val="000000"/>
          <w:lang w:val="es-ES_tradnl"/>
        </w:rPr>
        <w:br w:type="page"/>
      </w: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lastRenderedPageBreak/>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(en miles de francos suizos)</w:t>
      </w:r>
    </w:p>
    <w:p w:rsidR="001A2871" w:rsidRPr="00A34388" w:rsidRDefault="001A2871" w:rsidP="001A2871">
      <w:pPr>
        <w:pStyle w:val="NormalWeb"/>
        <w:spacing w:before="0" w:beforeAutospacing="0" w:after="0" w:afterAutospacing="0"/>
        <w:jc w:val="center"/>
        <w:rPr>
          <w:i/>
          <w:iCs/>
          <w:color w:val="000000"/>
          <w:sz w:val="20"/>
          <w:szCs w:val="20"/>
          <w:lang w:val="es-ES_tradnl"/>
        </w:rPr>
      </w:pPr>
    </w:p>
    <w:tbl>
      <w:tblPr>
        <w:tblW w:w="0" w:type="auto"/>
        <w:tblInd w:w="93" w:type="dxa"/>
        <w:tblLook w:val="04A0" w:firstRow="1" w:lastRow="0" w:firstColumn="1" w:lastColumn="0" w:noHBand="0" w:noVBand="1"/>
      </w:tblPr>
      <w:tblGrid>
        <w:gridCol w:w="2567"/>
        <w:gridCol w:w="1701"/>
        <w:gridCol w:w="1701"/>
        <w:gridCol w:w="1701"/>
        <w:gridCol w:w="1701"/>
      </w:tblGrid>
      <w:tr w:rsidR="001A2871" w:rsidRPr="00A34388" w:rsidTr="00853209">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80" w:after="80"/>
              <w:rPr>
                <w:rFonts w:cs="Arial"/>
                <w:color w:val="000000"/>
                <w:sz w:val="16"/>
                <w:szCs w:val="16"/>
                <w:lang w:val="es-ES_tradnl"/>
              </w:rPr>
            </w:pPr>
            <w:r w:rsidRPr="00A34388">
              <w:rPr>
                <w:color w:val="000000"/>
                <w:sz w:val="16"/>
                <w:lang w:val="es-ES_tradnl"/>
              </w:rPr>
              <w:t> </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808080"/>
                <w:sz w:val="16"/>
                <w:szCs w:val="16"/>
                <w:lang w:val="es-ES_tradnl"/>
              </w:rPr>
            </w:pPr>
            <w:r w:rsidRPr="00332758">
              <w:rPr>
                <w:sz w:val="16"/>
                <w:lang w:val="es-ES_tradnl"/>
              </w:rPr>
              <w:t>Presupuesto aprobado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Gastos en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Índice de utilización</w:t>
            </w:r>
          </w:p>
        </w:tc>
      </w:tr>
      <w:tr w:rsidR="001A2871" w:rsidRPr="00A34388" w:rsidTr="00853209">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 xml:space="preserve">Recursos de personal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4.283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4.594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4.594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sz w:val="16"/>
                <w:szCs w:val="16"/>
                <w:lang w:val="es-ES_tradnl"/>
              </w:rPr>
            </w:pPr>
            <w:r w:rsidRPr="00332758">
              <w:rPr>
                <w:sz w:val="16"/>
                <w:lang w:val="es-ES_tradnl"/>
              </w:rPr>
              <w:t>100%</w:t>
            </w:r>
          </w:p>
        </w:tc>
      </w:tr>
      <w:tr w:rsidR="001A2871" w:rsidRPr="00A34388" w:rsidTr="00853209">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 xml:space="preserve">Recursos no relativos al personal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2.156</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1.939</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1.587</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sz w:val="16"/>
                <w:szCs w:val="16"/>
                <w:lang w:val="es-ES_tradnl"/>
              </w:rPr>
            </w:pPr>
            <w:r w:rsidRPr="00332758">
              <w:rPr>
                <w:sz w:val="16"/>
                <w:lang w:val="es-ES_tradnl"/>
              </w:rPr>
              <w:t>82%</w:t>
            </w:r>
          </w:p>
        </w:tc>
      </w:tr>
      <w:tr w:rsidR="001A2871" w:rsidRPr="00A34388" w:rsidTr="00853209">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jc w:val="right"/>
              <w:rPr>
                <w:rFonts w:cs="Arial"/>
                <w:b/>
                <w:bCs/>
                <w:color w:val="808080"/>
                <w:sz w:val="16"/>
                <w:szCs w:val="16"/>
                <w:lang w:val="es-ES_tradnl"/>
              </w:rPr>
            </w:pPr>
            <w:r w:rsidRPr="00332758">
              <w:rPr>
                <w:b/>
                <w:sz w:val="16"/>
                <w:lang w:val="es-ES_tradnl"/>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6.439</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6.532</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6.181</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b/>
                <w:bCs/>
                <w:sz w:val="16"/>
                <w:szCs w:val="16"/>
                <w:lang w:val="es-ES_tradnl"/>
              </w:rPr>
            </w:pPr>
            <w:r w:rsidRPr="00332758">
              <w:rPr>
                <w:b/>
                <w:sz w:val="16"/>
                <w:lang w:val="es-ES_tradnl"/>
              </w:rPr>
              <w:t>95%</w:t>
            </w:r>
          </w:p>
        </w:tc>
      </w:tr>
    </w:tbl>
    <w:p w:rsidR="001A2871" w:rsidRPr="00A34388" w:rsidRDefault="001A2871" w:rsidP="001A2871">
      <w:pPr>
        <w:pStyle w:val="NormalWeb"/>
        <w:spacing w:before="0" w:beforeAutospacing="0" w:after="0" w:afterAutospacing="0"/>
        <w:jc w:val="center"/>
        <w:rPr>
          <w:i/>
          <w:iCs/>
          <w:color w:val="000000"/>
          <w:sz w:val="22"/>
          <w:szCs w:val="22"/>
          <w:lang w:val="es-ES_tradnl"/>
        </w:rPr>
      </w:pPr>
    </w:p>
    <w:p w:rsidR="001A2871" w:rsidRPr="00A34388" w:rsidRDefault="001A2871" w:rsidP="001A2871">
      <w:pPr>
        <w:autoSpaceDE w:val="0"/>
        <w:autoSpaceDN w:val="0"/>
        <w:rPr>
          <w:rFonts w:cs="Arial"/>
          <w:sz w:val="16"/>
          <w:szCs w:val="16"/>
          <w:lang w:val="es-ES_tradnl"/>
        </w:rPr>
      </w:pPr>
      <w:r w:rsidRPr="00332758">
        <w:rPr>
          <w:sz w:val="16"/>
          <w:lang w:val="es-ES_tradnl"/>
        </w:rPr>
        <w:t>NOTAS:</w:t>
      </w:r>
    </w:p>
    <w:p w:rsidR="001A2871" w:rsidRPr="00A34388" w:rsidRDefault="001A2871" w:rsidP="001A2871">
      <w:pPr>
        <w:autoSpaceDE w:val="0"/>
        <w:autoSpaceDN w:val="0"/>
        <w:rPr>
          <w:rFonts w:cs="Arial"/>
          <w:sz w:val="16"/>
          <w:szCs w:val="16"/>
          <w:lang w:val="es-ES_tradnl"/>
        </w:rPr>
      </w:pPr>
    </w:p>
    <w:p w:rsidR="001A2871" w:rsidRPr="00A34388" w:rsidRDefault="001A2871" w:rsidP="001A2871">
      <w:pPr>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autoSpaceDE w:val="0"/>
        <w:autoSpaceDN w:val="0"/>
        <w:rPr>
          <w:rFonts w:cs="Arial"/>
          <w:sz w:val="16"/>
          <w:szCs w:val="16"/>
          <w:lang w:val="es-ES_tradnl"/>
        </w:rPr>
      </w:pPr>
    </w:p>
    <w:p w:rsidR="001A2871" w:rsidRPr="00A34388" w:rsidRDefault="001A2871" w:rsidP="008372FC">
      <w:pPr>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rPr>
          <w:rFonts w:cs="Arial"/>
          <w:sz w:val="22"/>
          <w:szCs w:val="22"/>
          <w:lang w:val="es-ES_tradnl"/>
        </w:rPr>
      </w:pPr>
    </w:p>
    <w:p w:rsidR="001A2871" w:rsidRPr="00332758" w:rsidRDefault="001A2871" w:rsidP="001A2871">
      <w:pPr>
        <w:pStyle w:val="ListParagraph"/>
        <w:ind w:left="0"/>
        <w:rPr>
          <w:rFonts w:cs="Arial"/>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pStyle w:val="ListParagraph"/>
        <w:ind w:left="360"/>
        <w:rPr>
          <w:rFonts w:cs="Arial"/>
          <w:u w:val="single"/>
          <w:lang w:val="es-ES_tradnl"/>
        </w:rPr>
      </w:pPr>
    </w:p>
    <w:p w:rsidR="001A2871" w:rsidRPr="00A34388" w:rsidRDefault="001A2871" w:rsidP="001A2871">
      <w:pPr>
        <w:tabs>
          <w:tab w:val="left" w:pos="709"/>
        </w:tabs>
        <w:autoSpaceDE w:val="0"/>
        <w:autoSpaceDN w:val="0"/>
        <w:jc w:val="both"/>
        <w:rPr>
          <w:rFonts w:cs="Arial"/>
          <w:szCs w:val="20"/>
          <w:lang w:val="es-ES_tradnl"/>
        </w:rPr>
      </w:pPr>
      <w:r w:rsidRPr="00332758">
        <w:rPr>
          <w:lang w:val="es-ES_tradnl"/>
        </w:rPr>
        <w:t>10.10.</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jc w:val="both"/>
        <w:rPr>
          <w:rFonts w:cs="Arial"/>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10.11.</w:t>
      </w:r>
      <w:r w:rsidRPr="00A34388">
        <w:rPr>
          <w:lang w:val="es-ES_tradnl"/>
        </w:rPr>
        <w:tab/>
        <w:t xml:space="preserve">El incremento de la asignación </w:t>
      </w:r>
      <w:r w:rsidR="00BC3916" w:rsidRPr="00A34388">
        <w:rPr>
          <w:lang w:val="es-ES_tradnl"/>
        </w:rPr>
        <w:t xml:space="preserve">de </w:t>
      </w:r>
      <w:r w:rsidRPr="00A34388">
        <w:rPr>
          <w:lang w:val="es-ES_tradnl"/>
        </w:rPr>
        <w:t xml:space="preserve">recursos de personal refleja la creación de un coordinador específico en el programa para coordinar la promoción y prestación de servicios y programas de la OMPI a países desarrollados. </w:t>
      </w:r>
    </w:p>
    <w:p w:rsidR="001A2871" w:rsidRPr="00A34388" w:rsidRDefault="001A2871" w:rsidP="001A2871">
      <w:pPr>
        <w:jc w:val="both"/>
        <w:rPr>
          <w:rFonts w:cs="Arial"/>
          <w:sz w:val="22"/>
          <w:szCs w:val="22"/>
          <w:lang w:val="es-ES_tradnl"/>
        </w:rPr>
      </w:pPr>
    </w:p>
    <w:p w:rsidR="001A2871" w:rsidRPr="00332758" w:rsidRDefault="001A2871" w:rsidP="001A2871">
      <w:pPr>
        <w:tabs>
          <w:tab w:val="left" w:pos="709"/>
        </w:tabs>
        <w:jc w:val="both"/>
        <w:rPr>
          <w:rFonts w:cs="Arial"/>
          <w:szCs w:val="20"/>
          <w:lang w:val="es-ES_tradnl"/>
        </w:rPr>
      </w:pPr>
      <w:r w:rsidRPr="00332758">
        <w:rPr>
          <w:lang w:val="es-ES_tradnl"/>
        </w:rPr>
        <w:t>10.12.</w:t>
      </w:r>
      <w:r w:rsidRPr="00A34388">
        <w:rPr>
          <w:lang w:val="es-ES_tradnl"/>
        </w:rPr>
        <w:tab/>
      </w:r>
      <w:r w:rsidRPr="00332758">
        <w:rPr>
          <w:lang w:val="es-ES_tradnl"/>
        </w:rPr>
        <w:t xml:space="preserve">El aumento de los recursos relativos a los resultados I.4 (Asesoramiento en materia legislativa) y III.2 (Mejora de las capacidades en el ámbito de los recursos humanos) refleja el mayor hincapié que se hace en las actividades que tienen por objeto mejorar las capacidades en la esfera de los recursos humanos en el plano nacional para utilizar la P.I. en aras del desarrollo y la formulación de marcos legislativos y reguladores pertinentes y acordes con la aplicación de las estrategias nacionales de P.I. </w:t>
      </w:r>
    </w:p>
    <w:p w:rsidR="001A2871" w:rsidRPr="00A34388" w:rsidRDefault="001A2871" w:rsidP="001A2871">
      <w:pPr>
        <w:rPr>
          <w:rFonts w:cs="Arial"/>
          <w:sz w:val="22"/>
          <w:szCs w:val="22"/>
          <w:lang w:val="es-ES_tradnl"/>
        </w:rPr>
      </w:pPr>
    </w:p>
    <w:p w:rsidR="001A2871" w:rsidRPr="00332758" w:rsidRDefault="001A2871" w:rsidP="001A2871">
      <w:pPr>
        <w:pStyle w:val="ListParagraph"/>
        <w:ind w:left="0"/>
        <w:rPr>
          <w:rFonts w:cs="Arial"/>
          <w:u w:val="single"/>
          <w:lang w:val="es-ES_tradnl"/>
        </w:rPr>
      </w:pPr>
      <w:r w:rsidRPr="00332758">
        <w:rPr>
          <w:lang w:val="es-ES_tradnl"/>
        </w:rPr>
        <w:t>B.</w:t>
      </w:r>
      <w:r w:rsidRPr="00A34388">
        <w:rPr>
          <w:lang w:val="es-ES_tradnl"/>
        </w:rPr>
        <w:tab/>
      </w:r>
      <w:r w:rsidRPr="00332758">
        <w:rPr>
          <w:u w:val="single"/>
          <w:lang w:val="es-ES_tradnl"/>
        </w:rPr>
        <w:t>Utilización del presupuesto</w:t>
      </w:r>
      <w:r w:rsidR="001B6AC7" w:rsidRPr="00332758">
        <w:rPr>
          <w:u w:val="single"/>
          <w:lang w:val="es-ES_tradnl"/>
        </w:rPr>
        <w:t xml:space="preserve"> </w:t>
      </w:r>
      <w:r w:rsidRPr="00332758">
        <w:rPr>
          <w:u w:val="single"/>
          <w:lang w:val="es-ES_tradnl"/>
        </w:rPr>
        <w:t>en</w:t>
      </w:r>
      <w:r w:rsidR="001B6AC7" w:rsidRPr="00332758">
        <w:rPr>
          <w:u w:val="single"/>
          <w:lang w:val="es-ES_tradnl"/>
        </w:rPr>
        <w:t> </w:t>
      </w:r>
      <w:r w:rsidRPr="00332758">
        <w:rPr>
          <w:u w:val="single"/>
          <w:lang w:val="es-ES_tradnl"/>
        </w:rPr>
        <w:t>2012/13</w:t>
      </w:r>
    </w:p>
    <w:p w:rsidR="001A2871" w:rsidRPr="00A34388" w:rsidRDefault="001A2871" w:rsidP="001A2871">
      <w:pPr>
        <w:rPr>
          <w:rFonts w:cs="Arial"/>
          <w:szCs w:val="20"/>
          <w:lang w:val="es-ES_tradnl"/>
        </w:rPr>
      </w:pPr>
    </w:p>
    <w:p w:rsidR="004C0FD5" w:rsidRPr="00A34388" w:rsidRDefault="001A2871" w:rsidP="001A2871">
      <w:pPr>
        <w:tabs>
          <w:tab w:val="left" w:pos="709"/>
        </w:tabs>
        <w:jc w:val="both"/>
        <w:rPr>
          <w:lang w:val="es-ES_tradnl"/>
        </w:rPr>
      </w:pPr>
      <w:r w:rsidRPr="00A34388">
        <w:rPr>
          <w:lang w:val="es-ES_tradnl"/>
        </w:rPr>
        <w:t>10.13.</w:t>
      </w:r>
      <w:r w:rsidRPr="00A34388">
        <w:rPr>
          <w:lang w:val="es-ES_tradnl"/>
        </w:rPr>
        <w:tab/>
        <w:t xml:space="preserve">La utilización del presupuesto, que asciende al 82% en </w:t>
      </w:r>
      <w:r w:rsidR="00A55D65" w:rsidRPr="00A34388">
        <w:rPr>
          <w:lang w:val="es-ES_tradnl"/>
        </w:rPr>
        <w:t xml:space="preserve">lo que respecta a </w:t>
      </w:r>
      <w:r w:rsidRPr="00A34388">
        <w:rPr>
          <w:lang w:val="es-ES_tradnl"/>
        </w:rPr>
        <w:t xml:space="preserve">los recursos no relativos al personal, refleja la aplicación del modelo de racionalización </w:t>
      </w:r>
      <w:r w:rsidR="00BC3916" w:rsidRPr="00A34388">
        <w:rPr>
          <w:lang w:val="es-ES_tradnl"/>
        </w:rPr>
        <w:t xml:space="preserve">de </w:t>
      </w:r>
      <w:r w:rsidRPr="00A34388">
        <w:rPr>
          <w:lang w:val="es-ES_tradnl"/>
        </w:rPr>
        <w:t xml:space="preserve">las actividades relacionadas con la mejora de la infraestructura técnica y de conocimientos de las oficinas y demás instituciones de P.I. (resultado IV.5).  Por tanto, el programa continuó coordinando estas actividades, mientras que el programa 15 se encargó de la ejecución efectiva de las soluciones de automatización. </w:t>
      </w:r>
    </w:p>
    <w:p w:rsidR="001A2871" w:rsidRPr="00A34388" w:rsidRDefault="001A2871" w:rsidP="001A2871">
      <w:pPr>
        <w:tabs>
          <w:tab w:val="left" w:pos="709"/>
        </w:tabs>
        <w:jc w:val="both"/>
        <w:rPr>
          <w:rFonts w:cs="Arial"/>
          <w:szCs w:val="20"/>
          <w:lang w:val="es-ES_tradnl"/>
        </w:rPr>
      </w:pPr>
      <w:r w:rsidRPr="00A34388">
        <w:rPr>
          <w:lang w:val="es-ES_tradnl"/>
        </w:rPr>
        <w:br w:type="page"/>
      </w:r>
    </w:p>
    <w:p w:rsidR="00391D6B" w:rsidRPr="003934C8" w:rsidRDefault="00391D6B" w:rsidP="00391D6B">
      <w:pPr>
        <w:pStyle w:val="Heading3"/>
        <w:rPr>
          <w:rFonts w:hint="eastAsia"/>
          <w:lang w:val="es-ES"/>
        </w:rPr>
      </w:pPr>
      <w:bookmarkStart w:id="40" w:name="_Toc394319059"/>
      <w:bookmarkStart w:id="41" w:name="_Toc395279665"/>
      <w:r w:rsidRPr="003934C8">
        <w:rPr>
          <w:lang w:val="es-ES"/>
        </w:rPr>
        <w:lastRenderedPageBreak/>
        <w:t>Programa 11</w:t>
      </w:r>
      <w:r w:rsidRPr="003934C8">
        <w:rPr>
          <w:lang w:val="es-ES"/>
        </w:rPr>
        <w:tab/>
        <w:t>Academia de la OMPI</w:t>
      </w:r>
      <w:bookmarkEnd w:id="40"/>
      <w:bookmarkEnd w:id="41"/>
    </w:p>
    <w:p w:rsidR="001A2871" w:rsidRPr="00332758" w:rsidRDefault="001A2871" w:rsidP="001A2871">
      <w:pPr>
        <w:ind w:left="2694" w:hanging="2694"/>
        <w:rPr>
          <w:rFonts w:cs="Arial"/>
          <w:sz w:val="22"/>
          <w:szCs w:val="22"/>
          <w:lang w:val="es-ES_tradnl"/>
        </w:rPr>
      </w:pPr>
    </w:p>
    <w:p w:rsidR="001A2871" w:rsidRPr="00332758" w:rsidRDefault="001A2871" w:rsidP="001A2871">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G. Onyeama</w:t>
      </w:r>
    </w:p>
    <w:p w:rsidR="001A2871" w:rsidRPr="00A34388" w:rsidRDefault="001A2871" w:rsidP="001A2871">
      <w:pPr>
        <w:rPr>
          <w:rFonts w:cs="Arial"/>
          <w:sz w:val="22"/>
          <w:szCs w:val="22"/>
          <w:lang w:val="es-ES_tradnl"/>
        </w:rPr>
      </w:pPr>
    </w:p>
    <w:p w:rsidR="001A2871" w:rsidRPr="00A34388" w:rsidRDefault="001A2871" w:rsidP="001A2871">
      <w:pPr>
        <w:rPr>
          <w:rFonts w:cs="Arial"/>
          <w:bCs/>
          <w:sz w:val="22"/>
          <w:szCs w:val="22"/>
          <w:lang w:val="es-ES_tradnl"/>
        </w:rPr>
      </w:pPr>
    </w:p>
    <w:p w:rsidR="001A2871" w:rsidRPr="00A34388" w:rsidRDefault="003E3F45" w:rsidP="001A2871">
      <w:pPr>
        <w:spacing w:line="260" w:lineRule="atLeast"/>
        <w:rPr>
          <w:rFonts w:cs="Arial"/>
          <w:bCs/>
          <w:sz w:val="22"/>
          <w:szCs w:val="22"/>
          <w:lang w:val="es-ES_tradnl"/>
        </w:rPr>
      </w:pPr>
      <w:r>
        <w:rPr>
          <w:sz w:val="22"/>
          <w:lang w:val="es-ES_tradnl"/>
        </w:rPr>
        <w:t>AVANCES LOGRADOS EN EL BIENIO 2012/13</w:t>
      </w:r>
    </w:p>
    <w:p w:rsidR="001A2871" w:rsidRPr="00A34388" w:rsidRDefault="001A2871" w:rsidP="001A2871">
      <w:pPr>
        <w:autoSpaceDE w:val="0"/>
        <w:autoSpaceDN w:val="0"/>
        <w:adjustRightInd w:val="0"/>
        <w:rPr>
          <w:rFonts w:cs="Arial"/>
          <w:sz w:val="22"/>
          <w:szCs w:val="22"/>
          <w:lang w:val="es-ES_tradnl"/>
        </w:rPr>
      </w:pPr>
    </w:p>
    <w:p w:rsidR="001A2871" w:rsidRPr="00A34388" w:rsidRDefault="001A2871" w:rsidP="001A2871">
      <w:pPr>
        <w:pStyle w:val="ListParagraph"/>
        <w:numPr>
          <w:ilvl w:val="0"/>
          <w:numId w:val="38"/>
        </w:numPr>
        <w:tabs>
          <w:tab w:val="left" w:pos="709"/>
        </w:tabs>
        <w:autoSpaceDE w:val="0"/>
        <w:autoSpaceDN w:val="0"/>
        <w:adjustRightInd w:val="0"/>
        <w:ind w:left="0" w:firstLine="0"/>
        <w:jc w:val="both"/>
        <w:rPr>
          <w:rFonts w:cs="Arial"/>
          <w:bCs/>
          <w:color w:val="000000"/>
          <w:lang w:val="es-ES_tradnl"/>
        </w:rPr>
      </w:pPr>
      <w:r w:rsidRPr="00332758">
        <w:rPr>
          <w:lang w:val="es-ES_tradnl"/>
        </w:rPr>
        <w:t>En 2012, la Academia siguió organizando una gran variedad de actividades de formación y de enseñanza para satisfacer las necesidades de fortalecimiento de capacidades de los países en desarrollo, los PMA y los países con economías en transición mediante una combinación de:  i) actividades de formación presencial para funcionarios gubernamentales de oficinas de propiedad industrial o de derecho de autor y otras instituciones del sector público que participan directamente o indirectamente en la gestión o las negociaciones internacionales relativas a la P.I. (Programa de Desarrollo Profesional);  ii)  una cartera de 14 cursos de enseñanza a distancia en 11 idiomas (Programa de Enseñanza a Distancia);  iii) una serie de programas de máster conjuntos en Derecho de la propiedad intelectual y otras actividades diseñadas para la promoción de los estudios superiores en P.I. (Programa para instituciones académicas), así como actividades especiales para estudiantes, jóvenes profesionales de la P.I. (Programa de cursos de verano de la OMPI) y directivos que participan en la gestión de la P.I. (Programa para directivos).</w:t>
      </w:r>
      <w:r w:rsidRPr="00A34388">
        <w:rPr>
          <w:color w:val="000000"/>
          <w:lang w:val="es-ES_tradnl"/>
        </w:rPr>
        <w:t xml:space="preserve"> </w:t>
      </w:r>
    </w:p>
    <w:p w:rsidR="001A2871" w:rsidRPr="00A34388" w:rsidRDefault="001A2871" w:rsidP="001A2871">
      <w:pPr>
        <w:tabs>
          <w:tab w:val="left" w:pos="709"/>
        </w:tabs>
        <w:autoSpaceDE w:val="0"/>
        <w:autoSpaceDN w:val="0"/>
        <w:adjustRightInd w:val="0"/>
        <w:jc w:val="both"/>
        <w:rPr>
          <w:rFonts w:cs="Arial"/>
          <w:bCs/>
          <w:color w:val="000000"/>
          <w:szCs w:val="20"/>
          <w:lang w:val="es-ES_tradnl"/>
        </w:rPr>
      </w:pPr>
    </w:p>
    <w:p w:rsidR="001A2871" w:rsidRPr="00A34388" w:rsidRDefault="001A2871" w:rsidP="001A2871">
      <w:pPr>
        <w:pStyle w:val="ListParagraph"/>
        <w:numPr>
          <w:ilvl w:val="0"/>
          <w:numId w:val="38"/>
        </w:numPr>
        <w:tabs>
          <w:tab w:val="left" w:pos="709"/>
        </w:tabs>
        <w:autoSpaceDE w:val="0"/>
        <w:autoSpaceDN w:val="0"/>
        <w:adjustRightInd w:val="0"/>
        <w:ind w:left="0" w:firstLine="0"/>
        <w:jc w:val="both"/>
        <w:rPr>
          <w:rFonts w:cs="Arial"/>
          <w:bCs/>
          <w:color w:val="000000"/>
          <w:lang w:val="es-ES_tradnl"/>
        </w:rPr>
      </w:pPr>
      <w:r w:rsidRPr="00332758">
        <w:rPr>
          <w:lang w:val="es-ES_tradnl"/>
        </w:rPr>
        <w:t xml:space="preserve">Con respecto al Programa de Desarrollo Profesional, en 2012/13, la Academia organizó 46 cursos de formación en asociación con las autoridades encargadas de la propiedad industrial y/o de los derechos de autor de Alemania, Argelia, Austria, Canadá, Cuba, Egipto, España, </w:t>
      </w:r>
      <w:r w:rsidR="00584235" w:rsidRPr="00332758">
        <w:rPr>
          <w:lang w:val="es-ES_tradnl"/>
        </w:rPr>
        <w:t xml:space="preserve">los </w:t>
      </w:r>
      <w:r w:rsidRPr="00332758">
        <w:rPr>
          <w:lang w:val="es-ES_tradnl"/>
        </w:rPr>
        <w:t xml:space="preserve">Estados Unidos de América, Filipinas, Finlandia, Francia, Honduras, Israel, México, Marruecos, Noruega, Portugal, Reino Unido, República Checa, Suecia, Suiza, Tailandia y </w:t>
      </w:r>
      <w:r w:rsidR="0065614B" w:rsidRPr="00332758">
        <w:rPr>
          <w:lang w:val="es-ES_tradnl"/>
        </w:rPr>
        <w:t xml:space="preserve">el </w:t>
      </w:r>
      <w:r w:rsidRPr="00332758">
        <w:rPr>
          <w:lang w:val="es-ES_tradnl"/>
        </w:rPr>
        <w:t>Uruguay, así como la Organización Mundial del Comercio (OMC) y el Centro de Estudios Internacionales de la Propiedad Intelectual (CEIPI), en Estrasburgo (Francia).</w:t>
      </w:r>
      <w:r w:rsidRPr="00A34388">
        <w:rPr>
          <w:color w:val="000000"/>
          <w:lang w:val="es-ES_tradnl"/>
        </w:rPr>
        <w:t xml:space="preserve">  </w:t>
      </w:r>
      <w:r w:rsidRPr="00332758">
        <w:rPr>
          <w:lang w:val="es-ES_tradnl"/>
        </w:rPr>
        <w:t>Un total de 484 participantes procedentes de países en desarrollo, PMA y países con economías en transición se beneficiaron de estas actividades.</w:t>
      </w:r>
      <w:r w:rsidRPr="00A34388">
        <w:rPr>
          <w:color w:val="000000"/>
          <w:lang w:val="es-ES_tradnl"/>
        </w:rPr>
        <w:t xml:space="preserve">  Los cursos trataron los siguientes temas principales:  derecho de autor y derechos conexos;  búsqueda y examen de patentes;  información y documentación de patentes;  nuevas cuestiones de P.I. para responsables de la adopción de políticas;  legislación y práctica </w:t>
      </w:r>
      <w:r w:rsidR="00EF4041">
        <w:rPr>
          <w:color w:val="000000"/>
          <w:lang w:val="es-ES_tradnl"/>
        </w:rPr>
        <w:t xml:space="preserve">en materia </w:t>
      </w:r>
      <w:r w:rsidRPr="00A34388">
        <w:rPr>
          <w:color w:val="000000"/>
          <w:lang w:val="es-ES_tradnl"/>
        </w:rPr>
        <w:t>de marcas;  y gestión de oficinas de P.I.  En 2013, el programa hizo especial hincapié en una revisión de la estructura y el contenido de su cartera, en la identificación de nuevos socios, sobre todo en regiones en desarrollo, y en la mejora de la coordinación de las actividades de la OMPI para el fortalecimiento de capacidades de los recursos humanos en toda la Organización.</w:t>
      </w:r>
    </w:p>
    <w:p w:rsidR="001A2871" w:rsidRPr="00A34388" w:rsidRDefault="001A2871" w:rsidP="001A2871">
      <w:pPr>
        <w:autoSpaceDE w:val="0"/>
        <w:autoSpaceDN w:val="0"/>
        <w:adjustRightInd w:val="0"/>
        <w:jc w:val="both"/>
        <w:rPr>
          <w:rFonts w:cs="Arial"/>
          <w:bCs/>
          <w:color w:val="000000"/>
          <w:szCs w:val="20"/>
          <w:lang w:val="es-ES_tradnl"/>
        </w:rPr>
      </w:pPr>
    </w:p>
    <w:p w:rsidR="001A2871" w:rsidRPr="00A34388" w:rsidRDefault="001A2871" w:rsidP="001A2871">
      <w:pPr>
        <w:autoSpaceDE w:val="0"/>
        <w:autoSpaceDN w:val="0"/>
        <w:adjustRightInd w:val="0"/>
        <w:jc w:val="center"/>
        <w:rPr>
          <w:rFonts w:cs="Arial"/>
          <w:bCs/>
          <w:color w:val="000000"/>
          <w:sz w:val="22"/>
          <w:szCs w:val="22"/>
          <w:lang w:val="es-ES_tradnl"/>
        </w:rPr>
      </w:pPr>
      <w:r w:rsidRPr="00A34388">
        <w:rPr>
          <w:i/>
          <w:color w:val="000000"/>
          <w:sz w:val="22"/>
          <w:lang w:val="es-ES_tradnl"/>
        </w:rPr>
        <w:t>Distribución geográfica de los participantes en el Programa de Perfeccionamiento Profesional 2012</w:t>
      </w:r>
    </w:p>
    <w:p w:rsidR="001A2871" w:rsidRPr="00A34388" w:rsidRDefault="001A2871" w:rsidP="001A2871">
      <w:pPr>
        <w:autoSpaceDE w:val="0"/>
        <w:autoSpaceDN w:val="0"/>
        <w:adjustRightInd w:val="0"/>
        <w:jc w:val="both"/>
        <w:rPr>
          <w:rFonts w:cs="Arial"/>
          <w:bCs/>
          <w:color w:val="000000"/>
          <w:sz w:val="22"/>
          <w:szCs w:val="22"/>
          <w:lang w:val="es-ES_tradnl"/>
        </w:rPr>
      </w:pPr>
    </w:p>
    <w:p w:rsidR="001A2871" w:rsidRPr="00A34388" w:rsidRDefault="001A2871" w:rsidP="001A2871">
      <w:pPr>
        <w:autoSpaceDE w:val="0"/>
        <w:autoSpaceDN w:val="0"/>
        <w:adjustRightInd w:val="0"/>
        <w:jc w:val="both"/>
        <w:rPr>
          <w:rFonts w:cs="Arial"/>
          <w:bCs/>
          <w:color w:val="000000"/>
          <w:sz w:val="22"/>
          <w:szCs w:val="22"/>
          <w:lang w:val="es-ES_tradnl"/>
        </w:rPr>
      </w:pPr>
    </w:p>
    <w:tbl>
      <w:tblPr>
        <w:tblW w:w="0" w:type="auto"/>
        <w:tblInd w:w="2392" w:type="dxa"/>
        <w:tblBorders>
          <w:insideH w:val="single" w:sz="4" w:space="0" w:color="auto"/>
        </w:tblBorders>
        <w:tblLook w:val="00A0" w:firstRow="1" w:lastRow="0" w:firstColumn="1" w:lastColumn="0" w:noHBand="0" w:noVBand="0"/>
      </w:tblPr>
      <w:tblGrid>
        <w:gridCol w:w="1169"/>
        <w:gridCol w:w="1170"/>
        <w:gridCol w:w="1169"/>
        <w:gridCol w:w="1170"/>
      </w:tblGrid>
      <w:tr w:rsidR="001A2871" w:rsidRPr="00A34388" w:rsidTr="00853209">
        <w:tc>
          <w:tcPr>
            <w:tcW w:w="1169" w:type="dxa"/>
          </w:tcPr>
          <w:p w:rsidR="001A2871" w:rsidRPr="00A34388" w:rsidRDefault="001A2871" w:rsidP="00853209">
            <w:pPr>
              <w:jc w:val="right"/>
              <w:rPr>
                <w:rFonts w:ascii="Garamond" w:hAnsi="Garamond"/>
                <w:b/>
                <w:sz w:val="24"/>
                <w:lang w:val="es-ES_tradnl"/>
              </w:rPr>
            </w:pPr>
            <w:r w:rsidRPr="00A34388">
              <w:rPr>
                <w:rFonts w:ascii="Garamond" w:hAnsi="Garamond"/>
                <w:b/>
                <w:sz w:val="24"/>
                <w:lang w:val="es-ES_tradnl"/>
              </w:rPr>
              <w:t>2012</w:t>
            </w:r>
          </w:p>
        </w:tc>
        <w:tc>
          <w:tcPr>
            <w:tcW w:w="1170" w:type="dxa"/>
          </w:tcPr>
          <w:p w:rsidR="001A2871" w:rsidRPr="00A34388" w:rsidRDefault="001A2871" w:rsidP="00853209">
            <w:pPr>
              <w:rPr>
                <w:rFonts w:ascii="Garamond" w:hAnsi="Garamond"/>
                <w:b/>
                <w:sz w:val="24"/>
                <w:lang w:val="es-ES_tradnl"/>
              </w:rPr>
            </w:pPr>
          </w:p>
        </w:tc>
        <w:tc>
          <w:tcPr>
            <w:tcW w:w="1169" w:type="dxa"/>
          </w:tcPr>
          <w:p w:rsidR="001A2871" w:rsidRPr="00A34388" w:rsidRDefault="001A2871" w:rsidP="00853209">
            <w:pPr>
              <w:rPr>
                <w:rFonts w:ascii="Garamond" w:hAnsi="Garamond"/>
                <w:b/>
                <w:sz w:val="24"/>
                <w:lang w:val="es-ES_tradnl"/>
              </w:rPr>
            </w:pPr>
          </w:p>
        </w:tc>
        <w:tc>
          <w:tcPr>
            <w:tcW w:w="1170" w:type="dxa"/>
          </w:tcPr>
          <w:p w:rsidR="001A2871" w:rsidRPr="00A34388" w:rsidRDefault="001A2871" w:rsidP="00853209">
            <w:pPr>
              <w:jc w:val="center"/>
              <w:rPr>
                <w:rFonts w:ascii="Garamond" w:hAnsi="Garamond"/>
                <w:b/>
                <w:sz w:val="24"/>
                <w:lang w:val="es-ES_tradnl"/>
              </w:rPr>
            </w:pPr>
            <w:r w:rsidRPr="00A34388">
              <w:rPr>
                <w:rFonts w:ascii="Garamond" w:hAnsi="Garamond"/>
                <w:b/>
                <w:sz w:val="24"/>
                <w:lang w:val="es-ES_tradnl"/>
              </w:rPr>
              <w:t>2013</w:t>
            </w:r>
          </w:p>
        </w:tc>
      </w:tr>
    </w:tbl>
    <w:p w:rsidR="001A2871" w:rsidRPr="00A34388" w:rsidRDefault="001A2871" w:rsidP="001A2871">
      <w:pPr>
        <w:autoSpaceDE w:val="0"/>
        <w:autoSpaceDN w:val="0"/>
        <w:adjustRightInd w:val="0"/>
        <w:jc w:val="both"/>
        <w:rPr>
          <w:rFonts w:eastAsia="MS Mincho" w:cs="Arial"/>
          <w:sz w:val="22"/>
          <w:szCs w:val="22"/>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r w:rsidRPr="00A34388">
        <w:rPr>
          <w:rFonts w:ascii="Garamond" w:hAnsi="Garamond"/>
          <w:noProof/>
          <w:sz w:val="24"/>
        </w:rPr>
        <mc:AlternateContent>
          <mc:Choice Requires="wpg">
            <w:drawing>
              <wp:inline distT="0" distB="0" distL="0" distR="0" wp14:anchorId="34E7EC1A" wp14:editId="40595F56">
                <wp:extent cx="5889625" cy="1733550"/>
                <wp:effectExtent l="0" t="0" r="0" b="0"/>
                <wp:docPr id="11" name="Group 11"/>
                <wp:cNvGraphicFramePr/>
                <a:graphic xmlns:a="http://schemas.openxmlformats.org/drawingml/2006/main">
                  <a:graphicData uri="http://schemas.microsoft.com/office/word/2010/wordprocessingGroup">
                    <wpg:wgp>
                      <wpg:cNvGrpSpPr/>
                      <wpg:grpSpPr>
                        <a:xfrm>
                          <a:off x="0" y="0"/>
                          <a:ext cx="5889625" cy="1733550"/>
                          <a:chOff x="0" y="0"/>
                          <a:chExt cx="5890161" cy="1733798"/>
                        </a:xfrm>
                      </wpg:grpSpPr>
                      <wpg:graphicFrame>
                        <wpg:cNvPr id="12" name="Chart 12"/>
                        <wpg:cNvFrPr/>
                        <wpg:xfrm>
                          <a:off x="0" y="11876"/>
                          <a:ext cx="2945081" cy="1721922"/>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15" name="Chart 15"/>
                        <wpg:cNvFrPr/>
                        <wpg:xfrm>
                          <a:off x="2897580" y="0"/>
                          <a:ext cx="2992581" cy="1721922"/>
                        </wpg:xfrm>
                        <a:graphic>
                          <a:graphicData uri="http://schemas.openxmlformats.org/drawingml/2006/chart">
                            <c:chart xmlns:c="http://schemas.openxmlformats.org/drawingml/2006/chart" xmlns:r="http://schemas.openxmlformats.org/officeDocument/2006/relationships" r:id="rId57"/>
                          </a:graphicData>
                        </a:graphic>
                      </wpg:graphicFrame>
                    </wpg:wgp>
                  </a:graphicData>
                </a:graphic>
              </wp:inline>
            </w:drawing>
          </mc:Choice>
          <mc:Fallback>
            <w:pict>
              <v:group id="Group 11" o:spid="_x0000_s1026" style="width:463.75pt;height:136.5pt;mso-position-horizontal-relative:char;mso-position-vertical-relative:line" coordsize="58901,17337"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A9WIB6HwEAAO4EAAAaAAgBeGwvX3JlbHMvd29ya2Jvb2sueG1sLnJlbHM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">
                <v:shape id="Chart 12" o:spid="_x0000_s1027" type="#_x0000_t75" style="position:absolute;top:121;width:29446;height:171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">
                  <v:imagedata r:id="rId59" o:title=""/>
                  <o:lock v:ext="edit" aspectratio="f"/>
                </v:shape>
                <v:shape id="Chart 15" o:spid="_x0000_s1028" type="#_x0000_t75" style="position:absolute;left:28958;width:29934;height:171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">
                  <v:imagedata r:id="rId60" o:title=""/>
                  <o:lock v:ext="edit" aspectratio="f"/>
                </v:shape>
                <w10:anchorlock/>
              </v:group>
              <o:OLEObject Type="Embed" ProgID="Excel.Chart.8" ShapeID="Chart 12" DrawAspect="Content" ObjectID="_1468062665" r:id="rId61">
                <o:FieldCodes>\s</o:FieldCodes>
              </o:OLEObject>
              <o:OLEObject Type="Embed" ProgID="Excel.Chart.8" ShapeID="Chart 15" DrawAspect="Content" ObjectID="_1468062666" r:id="rId62">
                <o:FieldCodes>\s</o:FieldCodes>
              </o:OLEObject>
            </w:pict>
          </mc:Fallback>
        </mc:AlternateContent>
      </w:r>
    </w:p>
    <w:p w:rsidR="001A2871" w:rsidRPr="00A34388" w:rsidRDefault="001A2871" w:rsidP="001A2871">
      <w:pPr>
        <w:autoSpaceDE w:val="0"/>
        <w:autoSpaceDN w:val="0"/>
        <w:adjustRightInd w:val="0"/>
        <w:jc w:val="both"/>
        <w:rPr>
          <w:rFonts w:eastAsia="MS Mincho" w:cs="Arial"/>
          <w:sz w:val="22"/>
          <w:szCs w:val="22"/>
          <w:lang w:val="es-ES_tradnl"/>
        </w:rPr>
      </w:pPr>
    </w:p>
    <w:p w:rsidR="00556042" w:rsidRPr="00A34388" w:rsidRDefault="001A2871" w:rsidP="001A2871">
      <w:pPr>
        <w:pStyle w:val="ListParagraph"/>
        <w:numPr>
          <w:ilvl w:val="0"/>
          <w:numId w:val="38"/>
        </w:numPr>
        <w:tabs>
          <w:tab w:val="left" w:pos="709"/>
        </w:tabs>
        <w:autoSpaceDE w:val="0"/>
        <w:autoSpaceDN w:val="0"/>
        <w:adjustRightInd w:val="0"/>
        <w:ind w:left="0" w:firstLine="0"/>
        <w:jc w:val="both"/>
        <w:rPr>
          <w:rFonts w:eastAsia="MS Mincho" w:cs="Arial"/>
          <w:lang w:val="es-ES_tradnl"/>
        </w:rPr>
      </w:pPr>
      <w:r w:rsidRPr="00A34388">
        <w:rPr>
          <w:lang w:val="es-ES_tradnl"/>
        </w:rPr>
        <w:t xml:space="preserve">El Programa de Enseñanza a Distancia continuó atrayendo a estudiantes y otros participantes de todo el mundo.  Durante el bienio, unas 81.484 personas (aproximadamente 75.000 en sus cursos introductorios y 5.000 en sus cursos avanzados) de 189 países pudieron beneficiarse de las actividades plurilingües (11 idiomas) y de la innovadora plataforma de enseñanza a distancia puesta en marcha a finales de 2011.  La Academia de la OMPI siguió examinando el contenido de sus cursos de enseñanza a distancia con el fin de actualizarlo y adaptarlo a los objetivos de la Agenda para el Desarrollo.  </w:t>
      </w:r>
      <w:r w:rsidR="00556042" w:rsidRPr="00A34388">
        <w:rPr>
          <w:lang w:val="es-ES_tradnl"/>
        </w:rPr>
        <w:t xml:space="preserve">A este respecto, más de un centenar de profesionales de los seis países beneficiarios del proyecto de creación </w:t>
      </w:r>
      <w:r w:rsidR="00556042" w:rsidRPr="00A34388">
        <w:rPr>
          <w:lang w:val="es-ES_tradnl"/>
        </w:rPr>
        <w:lastRenderedPageBreak/>
        <w:t xml:space="preserve">de academias nacionales de P.I. recibieron formación en el marco de una sesión especial de formación de formadores para futuros tutores de enseñanza a distancia.  Se organizaron también </w:t>
      </w:r>
      <w:r w:rsidR="009F4808" w:rsidRPr="00A34388">
        <w:rPr>
          <w:lang w:val="es-ES_tradnl"/>
        </w:rPr>
        <w:t xml:space="preserve">varias sesiones </w:t>
      </w:r>
      <w:r w:rsidR="00D53C24" w:rsidRPr="00A34388">
        <w:rPr>
          <w:lang w:val="es-ES_tradnl"/>
        </w:rPr>
        <w:t xml:space="preserve">diseñadas </w:t>
      </w:r>
      <w:r w:rsidR="009F4808" w:rsidRPr="00A34388">
        <w:rPr>
          <w:lang w:val="es-ES_tradnl"/>
        </w:rPr>
        <w:t xml:space="preserve">a medida con:  </w:t>
      </w:r>
      <w:r w:rsidR="00556042" w:rsidRPr="00A34388">
        <w:rPr>
          <w:lang w:val="es-ES_tradnl"/>
        </w:rPr>
        <w:t>i) oficinas de P.I. (el Brasil, China, Méxi</w:t>
      </w:r>
      <w:r w:rsidR="009F4808" w:rsidRPr="00A34388">
        <w:rPr>
          <w:lang w:val="es-ES_tradnl"/>
        </w:rPr>
        <w:t xml:space="preserve">co y la Federación de Rusia);  </w:t>
      </w:r>
      <w:r w:rsidR="00556042" w:rsidRPr="00A34388">
        <w:rPr>
          <w:lang w:val="es-ES_tradnl"/>
        </w:rPr>
        <w:t>ii) otras instituciones nacionales interesadas (el Brasil, Bulgaria, China, Croacia, Honduras, México, la República de Corea, Serbia y la Organización Regional Africana de la Pr</w:t>
      </w:r>
      <w:r w:rsidR="009F4808" w:rsidRPr="00A34388">
        <w:rPr>
          <w:lang w:val="es-ES_tradnl"/>
        </w:rPr>
        <w:t xml:space="preserve">opiedad Intelectual (ARIPO));  </w:t>
      </w:r>
      <w:r w:rsidR="00556042" w:rsidRPr="00A34388">
        <w:rPr>
          <w:lang w:val="es-ES_tradnl"/>
        </w:rPr>
        <w:t xml:space="preserve">iii) CATI (Etiopía, </w:t>
      </w:r>
      <w:r w:rsidR="00640EF0" w:rsidRPr="00A34388">
        <w:rPr>
          <w:lang w:val="es-ES_tradnl"/>
        </w:rPr>
        <w:t>Filipinas</w:t>
      </w:r>
      <w:r w:rsidR="00556042" w:rsidRPr="00A34388">
        <w:rPr>
          <w:lang w:val="es-ES_tradnl"/>
        </w:rPr>
        <w:t>, la Federación de Rusia y el Uruguay);  y iv) 11 universidades.  Asimismo, se trabajó en la elaboración de tres nuevos cursos sobre la gestión colectiva del derecho de autor y los derechos conexos;  la P.I. y la salud pública;  y aspectos económicos de la P.I.  Se realizaron avances sustanciales, pero la complejidad de los temas tratados y otras prioridades acuciantes, como la revisión y actualización continuas de los módulos existentes, la traducción de los cursos a los idiomas oficiales de las Naciones Unidas y la creciente demanda de sesiones ad hoc, no permitieron que los nuevos cursos estuvieran concluidos para el final del bienio.</w:t>
      </w:r>
    </w:p>
    <w:p w:rsidR="001A2871" w:rsidRPr="00A34388" w:rsidRDefault="001A2871" w:rsidP="00556042">
      <w:pPr>
        <w:pStyle w:val="ListParagraph"/>
        <w:tabs>
          <w:tab w:val="left" w:pos="709"/>
        </w:tabs>
        <w:autoSpaceDE w:val="0"/>
        <w:autoSpaceDN w:val="0"/>
        <w:adjustRightInd w:val="0"/>
        <w:ind w:left="0"/>
        <w:jc w:val="both"/>
        <w:rPr>
          <w:rFonts w:eastAsia="MS Mincho" w:cs="Arial"/>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p>
    <w:p w:rsidR="001A2871" w:rsidRPr="00FB3A1D" w:rsidRDefault="001A2871" w:rsidP="001A2871">
      <w:pPr>
        <w:autoSpaceDE w:val="0"/>
        <w:autoSpaceDN w:val="0"/>
        <w:adjustRightInd w:val="0"/>
        <w:jc w:val="center"/>
        <w:rPr>
          <w:rFonts w:eastAsia="MS Mincho" w:cs="Arial"/>
          <w:sz w:val="22"/>
          <w:szCs w:val="22"/>
          <w:lang w:val="es-ES_tradnl"/>
        </w:rPr>
      </w:pPr>
      <w:r w:rsidRPr="00FB3A1D">
        <w:rPr>
          <w:i/>
          <w:sz w:val="22"/>
          <w:lang w:val="es-ES_tradnl"/>
        </w:rPr>
        <w:t>Distribución geográfica de los participantes en el Programa de Enseñanza a Distancia 2012/2013</w:t>
      </w:r>
    </w:p>
    <w:tbl>
      <w:tblPr>
        <w:tblpPr w:leftFromText="180" w:rightFromText="180" w:vertAnchor="text" w:horzAnchor="page" w:tblpX="3613" w:tblpY="109"/>
        <w:tblW w:w="0" w:type="auto"/>
        <w:tblBorders>
          <w:insideH w:val="single" w:sz="4" w:space="0" w:color="auto"/>
        </w:tblBorders>
        <w:tblLook w:val="00A0" w:firstRow="1" w:lastRow="0" w:firstColumn="1" w:lastColumn="0" w:noHBand="0" w:noVBand="0"/>
      </w:tblPr>
      <w:tblGrid>
        <w:gridCol w:w="1169"/>
        <w:gridCol w:w="1170"/>
        <w:gridCol w:w="1169"/>
        <w:gridCol w:w="1170"/>
      </w:tblGrid>
      <w:tr w:rsidR="001A2871" w:rsidRPr="00A34388" w:rsidTr="00853209">
        <w:tc>
          <w:tcPr>
            <w:tcW w:w="1169" w:type="dxa"/>
          </w:tcPr>
          <w:p w:rsidR="001A2871" w:rsidRPr="00A34388" w:rsidRDefault="001A2871" w:rsidP="00853209">
            <w:pPr>
              <w:jc w:val="right"/>
              <w:rPr>
                <w:rFonts w:ascii="Garamond" w:hAnsi="Garamond"/>
                <w:b/>
                <w:sz w:val="24"/>
                <w:lang w:val="es-ES_tradnl"/>
              </w:rPr>
            </w:pPr>
            <w:r w:rsidRPr="00A34388">
              <w:rPr>
                <w:rFonts w:ascii="Garamond" w:hAnsi="Garamond"/>
                <w:b/>
                <w:sz w:val="24"/>
                <w:lang w:val="es-ES_tradnl"/>
              </w:rPr>
              <w:t>2012</w:t>
            </w:r>
          </w:p>
        </w:tc>
        <w:tc>
          <w:tcPr>
            <w:tcW w:w="1170" w:type="dxa"/>
          </w:tcPr>
          <w:p w:rsidR="001A2871" w:rsidRPr="00A34388" w:rsidRDefault="001A2871" w:rsidP="00853209">
            <w:pPr>
              <w:rPr>
                <w:rFonts w:ascii="Garamond" w:hAnsi="Garamond"/>
                <w:b/>
                <w:sz w:val="24"/>
                <w:lang w:val="es-ES_tradnl"/>
              </w:rPr>
            </w:pPr>
          </w:p>
        </w:tc>
        <w:tc>
          <w:tcPr>
            <w:tcW w:w="1169" w:type="dxa"/>
          </w:tcPr>
          <w:p w:rsidR="001A2871" w:rsidRPr="00A34388" w:rsidRDefault="001A2871" w:rsidP="00853209">
            <w:pPr>
              <w:rPr>
                <w:rFonts w:ascii="Garamond" w:hAnsi="Garamond"/>
                <w:b/>
                <w:sz w:val="24"/>
                <w:lang w:val="es-ES_tradnl"/>
              </w:rPr>
            </w:pPr>
          </w:p>
        </w:tc>
        <w:tc>
          <w:tcPr>
            <w:tcW w:w="1170" w:type="dxa"/>
          </w:tcPr>
          <w:p w:rsidR="001A2871" w:rsidRPr="00A34388" w:rsidRDefault="001A2871" w:rsidP="00853209">
            <w:pPr>
              <w:jc w:val="center"/>
              <w:rPr>
                <w:rFonts w:ascii="Garamond" w:hAnsi="Garamond"/>
                <w:b/>
                <w:sz w:val="24"/>
                <w:lang w:val="es-ES_tradnl"/>
              </w:rPr>
            </w:pPr>
            <w:r w:rsidRPr="00A34388">
              <w:rPr>
                <w:rFonts w:ascii="Garamond" w:hAnsi="Garamond"/>
                <w:b/>
                <w:sz w:val="24"/>
                <w:lang w:val="es-ES_tradnl"/>
              </w:rPr>
              <w:t>2013</w:t>
            </w:r>
          </w:p>
        </w:tc>
      </w:tr>
    </w:tbl>
    <w:p w:rsidR="001A2871" w:rsidRPr="00A34388" w:rsidRDefault="001A2871" w:rsidP="001A2871">
      <w:pPr>
        <w:autoSpaceDE w:val="0"/>
        <w:autoSpaceDN w:val="0"/>
        <w:adjustRightInd w:val="0"/>
        <w:jc w:val="both"/>
        <w:rPr>
          <w:rFonts w:eastAsia="MS Mincho" w:cs="Arial"/>
          <w:sz w:val="22"/>
          <w:szCs w:val="22"/>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p>
    <w:p w:rsidR="001A2871" w:rsidRPr="00A34388" w:rsidRDefault="001A2871" w:rsidP="001A2871">
      <w:pPr>
        <w:autoSpaceDE w:val="0"/>
        <w:autoSpaceDN w:val="0"/>
        <w:adjustRightInd w:val="0"/>
        <w:jc w:val="both"/>
        <w:rPr>
          <w:rFonts w:eastAsia="MS Mincho" w:cs="Arial"/>
          <w:sz w:val="22"/>
          <w:szCs w:val="22"/>
          <w:lang w:val="es-ES_tradnl"/>
        </w:rPr>
      </w:pPr>
      <w:r w:rsidRPr="00A34388">
        <w:rPr>
          <w:rFonts w:ascii="Garamond" w:hAnsi="Garamond"/>
          <w:i/>
          <w:noProof/>
          <w:sz w:val="24"/>
        </w:rPr>
        <mc:AlternateContent>
          <mc:Choice Requires="wpg">
            <w:drawing>
              <wp:inline distT="0" distB="0" distL="0" distR="0" wp14:anchorId="2CCD9E86" wp14:editId="67473F03">
                <wp:extent cx="5878286" cy="1745673"/>
                <wp:effectExtent l="0" t="0" r="8255" b="6985"/>
                <wp:docPr id="17" name="Group 17"/>
                <wp:cNvGraphicFramePr/>
                <a:graphic xmlns:a="http://schemas.openxmlformats.org/drawingml/2006/main">
                  <a:graphicData uri="http://schemas.microsoft.com/office/word/2010/wordprocessingGroup">
                    <wpg:wgp>
                      <wpg:cNvGrpSpPr/>
                      <wpg:grpSpPr>
                        <a:xfrm>
                          <a:off x="0" y="0"/>
                          <a:ext cx="5878286" cy="1745673"/>
                          <a:chOff x="0" y="0"/>
                          <a:chExt cx="5878286" cy="1745673"/>
                        </a:xfrm>
                      </wpg:grpSpPr>
                      <wpg:graphicFrame>
                        <wpg:cNvPr id="18" name="Chart 18"/>
                        <wpg:cNvFrPr/>
                        <wpg:xfrm>
                          <a:off x="2897580" y="0"/>
                          <a:ext cx="2980706" cy="1721922"/>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19" name="Chart 19"/>
                        <wpg:cNvFrPr/>
                        <wpg:xfrm>
                          <a:off x="0" y="23750"/>
                          <a:ext cx="2968832" cy="1721923"/>
                        </wpg:xfrm>
                        <a:graphic>
                          <a:graphicData uri="http://schemas.openxmlformats.org/drawingml/2006/chart">
                            <c:chart xmlns:c="http://schemas.openxmlformats.org/drawingml/2006/chart" xmlns:r="http://schemas.openxmlformats.org/officeDocument/2006/relationships" r:id="rId64"/>
                          </a:graphicData>
                        </a:graphic>
                      </wpg:graphicFrame>
                    </wpg:wgp>
                  </a:graphicData>
                </a:graphic>
              </wp:inline>
            </w:drawing>
          </mc:Choice>
          <mc:Fallback>
            <w:pict>
              <v:group id="Group 17" o:spid="_x0000_s1026" style="width:462.85pt;height:137.45pt;mso-position-horizontal-relative:char;mso-position-vertical-relative:line" coordsize="58782,1745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&#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">
                <v:shape id="Chart 18" o:spid="_x0000_s1027" type="#_x0000_t75" style="position:absolute;left:28956;width:29809;height:17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">
                  <v:imagedata r:id="rId65" o:title=""/>
                  <o:lock v:ext="edit" aspectratio="f"/>
                </v:shape>
                <v:shape id="Chart 19" o:spid="_x0000_s1028" type="#_x0000_t75" style="position:absolute;top:243;width:29687;height:17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">
                  <v:imagedata r:id="rId66" o:title=""/>
                  <o:lock v:ext="edit" aspectratio="f"/>
                </v:shape>
                <w10:anchorlock/>
              </v:group>
              <o:OLEObject Type="Embed" ProgID="Excel.Chart.8" ShapeID="Chart 18" DrawAspect="Content" ObjectID="_1468062677" r:id="rId67">
                <o:FieldCodes>\s</o:FieldCodes>
              </o:OLEObject>
              <o:OLEObject Type="Embed" ProgID="Excel.Chart.8" ShapeID="Chart 19" DrawAspect="Content" ObjectID="_1468062678" r:id="rId68">
                <o:FieldCodes>\s</o:FieldCodes>
              </o:OLEObject>
            </w:pict>
          </mc:Fallback>
        </mc:AlternateContent>
      </w:r>
    </w:p>
    <w:p w:rsidR="001A2871" w:rsidRPr="00A34388" w:rsidRDefault="001A2871" w:rsidP="001A2871">
      <w:pPr>
        <w:autoSpaceDE w:val="0"/>
        <w:autoSpaceDN w:val="0"/>
        <w:adjustRightInd w:val="0"/>
        <w:jc w:val="both"/>
        <w:rPr>
          <w:rFonts w:cs="Arial"/>
          <w:sz w:val="22"/>
          <w:szCs w:val="22"/>
          <w:lang w:val="es-ES_tradnl"/>
        </w:rPr>
      </w:pPr>
    </w:p>
    <w:p w:rsidR="001A2871" w:rsidRPr="00A34388" w:rsidRDefault="001A2871" w:rsidP="001A2871">
      <w:pPr>
        <w:autoSpaceDE w:val="0"/>
        <w:autoSpaceDN w:val="0"/>
        <w:adjustRightInd w:val="0"/>
        <w:jc w:val="both"/>
        <w:rPr>
          <w:rFonts w:cs="Arial"/>
          <w:sz w:val="22"/>
          <w:szCs w:val="22"/>
          <w:lang w:val="es-ES_tradnl"/>
        </w:rPr>
      </w:pPr>
    </w:p>
    <w:p w:rsidR="001A2871" w:rsidRPr="00A34388" w:rsidRDefault="001A2871" w:rsidP="001A2871">
      <w:pPr>
        <w:pStyle w:val="ListParagraph"/>
        <w:numPr>
          <w:ilvl w:val="0"/>
          <w:numId w:val="38"/>
        </w:numPr>
        <w:tabs>
          <w:tab w:val="left" w:pos="709"/>
        </w:tabs>
        <w:autoSpaceDE w:val="0"/>
        <w:autoSpaceDN w:val="0"/>
        <w:adjustRightInd w:val="0"/>
        <w:ind w:left="0" w:firstLine="0"/>
        <w:jc w:val="both"/>
        <w:rPr>
          <w:rFonts w:cs="Arial"/>
          <w:lang w:val="es-ES_tradnl"/>
        </w:rPr>
      </w:pPr>
      <w:r w:rsidRPr="00332758">
        <w:rPr>
          <w:lang w:val="es-ES_tradnl"/>
        </w:rPr>
        <w:t xml:space="preserve">El Programa de instituciones académicas siguió ofreciendo cursos de máster conjuntos en Derecho de la propiedad intelectual en beneficio de los nacionales de países en desarrollo y países con economías en transición, en cooperación con una serie de universidades.  </w:t>
      </w:r>
      <w:r w:rsidRPr="00A34388">
        <w:rPr>
          <w:lang w:val="es-ES_tradnl"/>
        </w:rPr>
        <w:t xml:space="preserve">Durante el bienio, un total de 332 estudiantes procedentes de 88 países (de los cuales 167 recibieron el financiamiento íntegro de sus estudios por parte de la OMPI), se graduaron en el marco de los programas de máster en derecho de P.I. que ofreció la Academia de la OMPI en colaboración con:  la Universidad de Turín (Italia); </w:t>
      </w:r>
      <w:r w:rsidR="00267DA6" w:rsidRPr="00A34388">
        <w:rPr>
          <w:lang w:val="es-ES_tradnl"/>
        </w:rPr>
        <w:t xml:space="preserve"> </w:t>
      </w:r>
      <w:r w:rsidRPr="00A34388">
        <w:rPr>
          <w:lang w:val="es-ES_tradnl"/>
        </w:rPr>
        <w:t xml:space="preserve">la Africa University y la ARIPO (Zimbabwe);  la Queensland University of Technology (QUT) (Australia);  la Universidad de Yaundé II y la Organización Africana de la Propiedad Intelectual (OAPI) (Camerún);  la Universidad Nacional de Seúl (SNU) y la Oficina Surcoreana de la Propiedad Intelectual (KIPO) (República de Corea);  la Universidad Austral y el Instituto Nacional de Propiedad Industrial (INPI) (Argentina);  y la Universidad de Haifa (Israel).  Además, la Academia continuó prestando asistencia a instituciones académicas de seis países en desarrollo y PMA (Bangladesh, Indonesia, Jamaica, Liberia, </w:t>
      </w:r>
      <w:r w:rsidR="00246125" w:rsidRPr="00A34388">
        <w:rPr>
          <w:lang w:val="es-ES_tradnl"/>
        </w:rPr>
        <w:t xml:space="preserve">la </w:t>
      </w:r>
      <w:r w:rsidRPr="00A34388">
        <w:rPr>
          <w:lang w:val="es-ES_tradnl"/>
        </w:rPr>
        <w:t>República Unida de Tanzanía y Venezuela) para el establecimiento de nuevos planes de estudio o la revisión de los existentes en el ámbito de los estudios superiores en P.I.  Con el fin de promover los estudios superiores en P.I., la Academia posibilitó la participación de diez académicos procedentes de países en desarrollo y países con economías en transición en las actividades de la Asociación Internacional para el Progreso de la Enseñanza y la Investigación de la Propiedad Intelectual (ATRIP).  Tanto en 2012 como en 2013 se organizó conjuntamente con la OMC un coloquio para enseñantes de propiedad intelectual que benefició a un total de 54 académicos procedentes de países en desarrollo y de países con economías en transición.  Los coloquios ofrecieron un foro de diálogo y debate sobre los últimos avances en ámbitos clave de la P.I. y sobre aspectos docentes y pedagógicos.  También se organizaron en la sede de la OMPI sesiones informativas ad hoc para más de 300 personas, incluidos más de 30 diplomáticos residentes en Ginebra.</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pStyle w:val="ListParagraph"/>
        <w:numPr>
          <w:ilvl w:val="0"/>
          <w:numId w:val="38"/>
        </w:numPr>
        <w:tabs>
          <w:tab w:val="left" w:pos="709"/>
        </w:tabs>
        <w:autoSpaceDE w:val="0"/>
        <w:autoSpaceDN w:val="0"/>
        <w:adjustRightInd w:val="0"/>
        <w:ind w:left="0" w:firstLine="0"/>
        <w:jc w:val="both"/>
        <w:rPr>
          <w:rFonts w:cs="Arial"/>
          <w:lang w:val="es-ES_tradnl"/>
        </w:rPr>
      </w:pPr>
      <w:r w:rsidRPr="00A34388">
        <w:rPr>
          <w:lang w:val="es-ES_tradnl"/>
        </w:rPr>
        <w:t>En 2012/13, la Academia organizó dos sesiones de formación de tres días de duración</w:t>
      </w:r>
      <w:r w:rsidR="00EF4041">
        <w:rPr>
          <w:lang w:val="es-ES_tradnl"/>
        </w:rPr>
        <w:t>,</w:t>
      </w:r>
      <w:r w:rsidRPr="00A34388">
        <w:rPr>
          <w:lang w:val="es-ES_tradnl"/>
        </w:rPr>
        <w:t xml:space="preserve"> en el marco de su Programa para </w:t>
      </w:r>
      <w:r w:rsidR="00EF4041">
        <w:rPr>
          <w:lang w:val="es-ES_tradnl"/>
        </w:rPr>
        <w:t>ejecutivos,</w:t>
      </w:r>
      <w:r w:rsidRPr="00A34388">
        <w:rPr>
          <w:lang w:val="es-ES_tradnl"/>
        </w:rPr>
        <w:t xml:space="preserve"> que se dirigieron a 48 </w:t>
      </w:r>
      <w:r w:rsidR="00EF4041">
        <w:rPr>
          <w:lang w:val="es-ES_tradnl"/>
        </w:rPr>
        <w:t xml:space="preserve">ejecutivos </w:t>
      </w:r>
      <w:r w:rsidRPr="00A34388">
        <w:rPr>
          <w:lang w:val="es-ES_tradnl"/>
        </w:rPr>
        <w:t xml:space="preserve">procedentes de 18 países y tuvieron lugar en Santiago de Chile y Ciudad del Cabo en los meses de marzo y diciembre de 2012, respectivamente.  La labor de sensibilización sobre la P.I. de graduados superiores y jóvenes profesionales continuó siendo prioritaria durante el bienio.  La Academia organizó 18 sesiones en el </w:t>
      </w:r>
      <w:r w:rsidRPr="00A34388">
        <w:rPr>
          <w:lang w:val="es-ES_tradnl"/>
        </w:rPr>
        <w:lastRenderedPageBreak/>
        <w:t xml:space="preserve">marco del Programa de cursos de verano en colaboración con diez gobiernos anfitriones (Croacia, </w:t>
      </w:r>
      <w:r w:rsidR="00286B53" w:rsidRPr="00A34388">
        <w:rPr>
          <w:lang w:val="es-ES_tradnl"/>
        </w:rPr>
        <w:t xml:space="preserve">los </w:t>
      </w:r>
      <w:r w:rsidRPr="00A34388">
        <w:rPr>
          <w:lang w:val="es-ES_tradnl"/>
        </w:rPr>
        <w:t xml:space="preserve">Estados Unidos de América, </w:t>
      </w:r>
      <w:r w:rsidR="00286B53" w:rsidRPr="00A34388">
        <w:rPr>
          <w:lang w:val="es-ES_tradnl"/>
        </w:rPr>
        <w:t xml:space="preserve">la </w:t>
      </w:r>
      <w:r w:rsidRPr="00A34388">
        <w:rPr>
          <w:lang w:val="es-ES_tradnl"/>
        </w:rPr>
        <w:t xml:space="preserve">Federación de Rusia, México, </w:t>
      </w:r>
      <w:r w:rsidR="00286B53" w:rsidRPr="00A34388">
        <w:rPr>
          <w:lang w:val="es-ES_tradnl"/>
        </w:rPr>
        <w:t xml:space="preserve">la </w:t>
      </w:r>
      <w:r w:rsidRPr="00A34388">
        <w:rPr>
          <w:lang w:val="es-ES_tradnl"/>
        </w:rPr>
        <w:t>República de Corea, Singapur, Sudáfrica, Tailandia, Turquía y Ucrania).  Asimismo, se organizaron dos sesiones (una en cada año del bienio) en colaboración con la Universidad de Ginebra, que se llevaron a cabo en la sede de la OMPI.  Las sesiones brindaron la oportunidad a un total de 630 estudiantes y jóvenes profesionales de apreciar la importancia de la P.I. para el desarrollo, así como la función que desempeña la OMPI en la cooperación multilateral en materia de P.I.  De estas 20 sesiones, cuatro se centraron en esferas concretas de la P.I. – marcas, derecho de autor y derechos conexos y la P.I. y la transferencia de tecnología.</w:t>
      </w:r>
    </w:p>
    <w:p w:rsidR="001A2871" w:rsidRPr="00A34388" w:rsidRDefault="001A2871" w:rsidP="001A2871">
      <w:pPr>
        <w:pStyle w:val="ListParagraph"/>
        <w:autoSpaceDE w:val="0"/>
        <w:autoSpaceDN w:val="0"/>
        <w:adjustRightInd w:val="0"/>
        <w:ind w:left="0"/>
        <w:jc w:val="both"/>
        <w:rPr>
          <w:rFonts w:cs="Arial"/>
          <w:lang w:val="es-ES_tradnl"/>
        </w:rPr>
      </w:pPr>
    </w:p>
    <w:p w:rsidR="001A2871" w:rsidRPr="00A34388" w:rsidRDefault="001A2871" w:rsidP="001A2871">
      <w:pPr>
        <w:pStyle w:val="ListParagraph"/>
        <w:keepNext/>
        <w:keepLines/>
        <w:numPr>
          <w:ilvl w:val="0"/>
          <w:numId w:val="38"/>
        </w:numPr>
        <w:tabs>
          <w:tab w:val="left" w:pos="709"/>
        </w:tabs>
        <w:autoSpaceDE w:val="0"/>
        <w:autoSpaceDN w:val="0"/>
        <w:adjustRightInd w:val="0"/>
        <w:ind w:left="0" w:firstLine="0"/>
        <w:jc w:val="both"/>
        <w:rPr>
          <w:rFonts w:cs="Arial"/>
          <w:bCs/>
          <w:color w:val="000000"/>
          <w:lang w:val="es-ES_tradnl"/>
        </w:rPr>
      </w:pPr>
      <w:r w:rsidRPr="00332758">
        <w:rPr>
          <w:lang w:val="es-ES_tradnl"/>
        </w:rPr>
        <w:t>En mayo de 2012, el CDIP aprobó la segunda fase del proyecto de creación de academias nacionales de P.I. que abarcó seis países.</w:t>
      </w:r>
      <w:r w:rsidRPr="00A34388">
        <w:rPr>
          <w:color w:val="000000"/>
          <w:lang w:val="es-ES_tradnl"/>
        </w:rPr>
        <w:t xml:space="preserve">  Como consecuencia, para finales de 2013 se habían creado cuatro instituciones nacionales de formación en materia de P.I. en los cuatro países integrados en la primera fase del proyecto, a saber, Colombia (“</w:t>
      </w:r>
      <w:r w:rsidRPr="00A34388">
        <w:rPr>
          <w:i/>
          <w:color w:val="000000"/>
          <w:lang w:val="es-ES_tradnl"/>
        </w:rPr>
        <w:t>Aula de Propiedad Intelectual</w:t>
      </w:r>
      <w:r w:rsidRPr="00A34388">
        <w:rPr>
          <w:color w:val="000000"/>
          <w:lang w:val="es-ES_tradnl"/>
        </w:rPr>
        <w:t xml:space="preserve"> (API)”);  </w:t>
      </w:r>
      <w:r w:rsidR="0065614B" w:rsidRPr="00A34388">
        <w:rPr>
          <w:color w:val="000000"/>
          <w:lang w:val="es-ES_tradnl"/>
        </w:rPr>
        <w:t xml:space="preserve">la </w:t>
      </w:r>
      <w:r w:rsidRPr="00A34388">
        <w:rPr>
          <w:color w:val="000000"/>
          <w:lang w:val="es-ES_tradnl"/>
        </w:rPr>
        <w:t>República Dominicana (“</w:t>
      </w:r>
      <w:r w:rsidRPr="00A34388">
        <w:rPr>
          <w:i/>
          <w:color w:val="000000"/>
          <w:lang w:val="es-ES_tradnl"/>
        </w:rPr>
        <w:t>Academia Nacional de la Propiedad Intelectual</w:t>
      </w:r>
      <w:r w:rsidRPr="00A34388">
        <w:rPr>
          <w:color w:val="000000"/>
          <w:lang w:val="es-ES_tradnl"/>
        </w:rPr>
        <w:t xml:space="preserve"> (ANPI)”);  </w:t>
      </w:r>
      <w:r w:rsidR="0065614B" w:rsidRPr="00A34388">
        <w:rPr>
          <w:color w:val="000000"/>
          <w:lang w:val="es-ES_tradnl"/>
        </w:rPr>
        <w:t xml:space="preserve">el </w:t>
      </w:r>
      <w:r w:rsidRPr="00A34388">
        <w:rPr>
          <w:color w:val="000000"/>
          <w:lang w:val="es-ES_tradnl"/>
        </w:rPr>
        <w:t>Perú (“</w:t>
      </w:r>
      <w:r w:rsidRPr="00A34388">
        <w:rPr>
          <w:i/>
          <w:color w:val="000000"/>
          <w:lang w:val="es-ES_tradnl"/>
        </w:rPr>
        <w:t>Escuela de la Competencia y de la Propiedad Intelectual</w:t>
      </w:r>
      <w:r w:rsidRPr="00A34388">
        <w:rPr>
          <w:color w:val="000000"/>
          <w:lang w:val="es-ES_tradnl"/>
        </w:rPr>
        <w:t xml:space="preserve"> (ECPI)”);  y Túnez (“</w:t>
      </w:r>
      <w:r w:rsidRPr="00A34388">
        <w:rPr>
          <w:i/>
          <w:color w:val="000000"/>
          <w:lang w:val="es-ES_tradnl"/>
        </w:rPr>
        <w:t>Academie Tunisienne de la Propriété Intellectuelle</w:t>
      </w:r>
      <w:r w:rsidRPr="00A34388">
        <w:rPr>
          <w:color w:val="000000"/>
          <w:lang w:val="es-ES_tradnl"/>
        </w:rPr>
        <w:t xml:space="preserve"> (ATPI)”).  La Academia comenzó igualmente a poner en marcha actividades en otros dos países (Egipto y Etiopía) integrados en la segunda fase del proyecto, cuya fecha de finalización está prevista para 2014.  </w:t>
      </w:r>
      <w:r w:rsidRPr="00332758">
        <w:rPr>
          <w:lang w:val="es-ES_tradnl"/>
        </w:rPr>
        <w:t>Las actividades se centraron en la formación de los formadores mediante talleres locales y la participación de ciertos formadores nacionales en el programa de máster conjunto en P.I.</w:t>
      </w:r>
      <w:r w:rsidRPr="00A34388">
        <w:rPr>
          <w:color w:val="000000"/>
          <w:lang w:val="es-ES_tradnl"/>
        </w:rPr>
        <w:t xml:space="preserve"> </w:t>
      </w:r>
    </w:p>
    <w:p w:rsidR="001A2871" w:rsidRPr="00A34388" w:rsidRDefault="001A2871" w:rsidP="001A2871">
      <w:pPr>
        <w:autoSpaceDE w:val="0"/>
        <w:autoSpaceDN w:val="0"/>
        <w:adjustRightInd w:val="0"/>
        <w:jc w:val="both"/>
        <w:rPr>
          <w:rFonts w:cs="Arial"/>
          <w:bCs/>
          <w:color w:val="000000"/>
          <w:sz w:val="22"/>
          <w:szCs w:val="22"/>
          <w:lang w:val="es-ES_tradnl"/>
        </w:rPr>
      </w:pPr>
    </w:p>
    <w:p w:rsidR="001A2871" w:rsidRPr="00332758" w:rsidRDefault="001A2871" w:rsidP="001A2871">
      <w:pPr>
        <w:autoSpaceDE w:val="0"/>
        <w:autoSpaceDN w:val="0"/>
        <w:adjustRightInd w:val="0"/>
        <w:jc w:val="both"/>
        <w:rPr>
          <w:rFonts w:cs="Arial"/>
          <w:bCs/>
          <w:sz w:val="22"/>
          <w:szCs w:val="22"/>
          <w:lang w:val="es-ES_tradnl"/>
        </w:rPr>
      </w:pPr>
      <w:r w:rsidRPr="00332758">
        <w:rPr>
          <w:sz w:val="22"/>
          <w:lang w:val="es-ES_tradnl"/>
        </w:rPr>
        <w:t>APLICACIÓN DE LA AGENDA PARA EL DESARROLLO</w:t>
      </w:r>
    </w:p>
    <w:p w:rsidR="001A2871" w:rsidRPr="00332758" w:rsidRDefault="001A2871" w:rsidP="001A2871">
      <w:pPr>
        <w:autoSpaceDE w:val="0"/>
        <w:autoSpaceDN w:val="0"/>
        <w:adjustRightInd w:val="0"/>
        <w:jc w:val="both"/>
        <w:rPr>
          <w:rFonts w:cs="Arial"/>
          <w:bCs/>
          <w:sz w:val="22"/>
          <w:szCs w:val="22"/>
          <w:lang w:val="es-ES_tradnl"/>
        </w:rPr>
      </w:pPr>
    </w:p>
    <w:p w:rsidR="001A2871" w:rsidRPr="00A34388" w:rsidRDefault="001A2871" w:rsidP="001A2871">
      <w:pPr>
        <w:pStyle w:val="ListParagraph"/>
        <w:numPr>
          <w:ilvl w:val="0"/>
          <w:numId w:val="38"/>
        </w:numPr>
        <w:tabs>
          <w:tab w:val="left" w:pos="709"/>
        </w:tabs>
        <w:ind w:left="0" w:firstLine="0"/>
        <w:jc w:val="both"/>
        <w:rPr>
          <w:rFonts w:cs="Arial"/>
          <w:bCs/>
          <w:lang w:val="es-ES_tradnl"/>
        </w:rPr>
      </w:pPr>
      <w:r w:rsidRPr="00332758">
        <w:rPr>
          <w:lang w:val="es-ES_tradnl"/>
        </w:rPr>
        <w:t>El diseño, la planificación y la ejecución de las actividades del programa 11 se basaron en las recomendaciones pertinentes de la Agenda para el Desarrollo.  Los programas de la Academia se orientaron al desarrollo y atendieron las exigencias de las partes interesadas (recomendación 1) y procuraron presentar la P.I. a diferentes niveles académicos y generar un mayor nivel de sensibilización pública hacia la P.I</w:t>
      </w:r>
      <w:r w:rsidR="00A45ECF" w:rsidRPr="00332758">
        <w:rPr>
          <w:lang w:val="es-ES_tradnl"/>
        </w:rPr>
        <w:t>.</w:t>
      </w:r>
      <w:r w:rsidRPr="00332758">
        <w:rPr>
          <w:lang w:val="es-ES_tradnl"/>
        </w:rPr>
        <w:t xml:space="preserve"> (recomendación 3).</w:t>
      </w:r>
      <w:r w:rsidRPr="00A34388">
        <w:rPr>
          <w:lang w:val="es-ES_tradnl"/>
        </w:rPr>
        <w:t xml:space="preserve">  </w:t>
      </w:r>
      <w:r w:rsidRPr="00332758">
        <w:rPr>
          <w:lang w:val="es-ES_tradnl"/>
        </w:rPr>
        <w:t>En concordancia con la recomendación 5, se publicaron a finales de 2012 y en 2013 los primeros Programas de Enseñanza y Formación de la Academia de la OMPI, en los que se exponían, de forma clara y transparente, el contenido y los asociados de todos los programas de formación de la Academia de la OMPI, demostrando la oferta variada y creciente del Programa de Desarrollo Profesional, el Programa de Enseñanza a Distancia, el Programa para instituciones académicas, el Programa de formación para directivos y los Cursos de Verano de la OMPI.</w:t>
      </w:r>
      <w:r w:rsidRPr="00A34388">
        <w:rPr>
          <w:lang w:val="es-ES_tradnl"/>
        </w:rPr>
        <w:t xml:space="preserve">  Las asociaciones estratégicas con instituciones académicas, especialmente en países en desarrollo, PMA y países con economías en transición se han reforzado y ampliado, con inclusión de colaboraciones en programas de máster conjunto y otros cursos sobre P.I.  </w:t>
      </w:r>
      <w:r w:rsidRPr="00332758">
        <w:rPr>
          <w:lang w:val="es-ES_tradnl"/>
        </w:rPr>
        <w:t>Además, en el marco del Programa de Enseñanza a Distancia se elaboraron módulos de la Agenda para el Desarrollo específicos para sus cursos, en consulta con expertos de la Organización, la comunidad académica y las autoridades nacionales</w:t>
      </w:r>
      <w:r w:rsidR="00537926" w:rsidRPr="00332758">
        <w:rPr>
          <w:lang w:val="es-ES_tradnl"/>
        </w:rPr>
        <w:t xml:space="preserve">. </w:t>
      </w:r>
      <w:r w:rsidRPr="00332758">
        <w:rPr>
          <w:lang w:val="es-ES_tradnl"/>
        </w:rPr>
        <w:t xml:space="preserve"> </w:t>
      </w:r>
      <w:r w:rsidRPr="00A34388">
        <w:rPr>
          <w:lang w:val="es-ES_tradnl"/>
        </w:rPr>
        <w:t xml:space="preserve">Los cursos también han sido utilizados por instituciones académicas </w:t>
      </w:r>
      <w:r w:rsidR="00EF4041">
        <w:rPr>
          <w:lang w:val="es-ES_tradnl"/>
        </w:rPr>
        <w:t>asociadas</w:t>
      </w:r>
      <w:r w:rsidRPr="00A34388">
        <w:rPr>
          <w:lang w:val="es-ES_tradnl"/>
        </w:rPr>
        <w:t>.  Los planes de formación ofrecidos por todos los programas de la Academia de la OMPI se están reestructurando para incluir un enfoque dinámico de la dimensión de la Agenda para el Desarrollo.</w:t>
      </w:r>
    </w:p>
    <w:p w:rsidR="001A2871" w:rsidRPr="00A34388" w:rsidRDefault="001A2871" w:rsidP="001A2871">
      <w:pPr>
        <w:jc w:val="both"/>
        <w:rPr>
          <w:rFonts w:cs="Arial"/>
          <w:bCs/>
          <w:sz w:val="16"/>
          <w:szCs w:val="16"/>
          <w:lang w:val="es-ES_tradnl"/>
        </w:rPr>
      </w:pPr>
    </w:p>
    <w:p w:rsidR="001A2871" w:rsidRPr="00A34388" w:rsidRDefault="001A2871" w:rsidP="001A2871">
      <w:pPr>
        <w:pStyle w:val="ListParagraph"/>
        <w:numPr>
          <w:ilvl w:val="0"/>
          <w:numId w:val="38"/>
        </w:numPr>
        <w:tabs>
          <w:tab w:val="left" w:pos="709"/>
        </w:tabs>
        <w:ind w:left="0" w:firstLine="0"/>
        <w:jc w:val="both"/>
        <w:rPr>
          <w:rFonts w:cs="Arial"/>
          <w:lang w:val="es-ES_tradnl"/>
        </w:rPr>
      </w:pPr>
      <w:r w:rsidRPr="00332758">
        <w:rPr>
          <w:lang w:val="es-ES_tradnl"/>
        </w:rPr>
        <w:t>La Fase I del proyecto piloto para la creación de academias nacionales de P.I. finalizó y se evaluó.</w:t>
      </w:r>
      <w:r w:rsidRPr="00A34388">
        <w:rPr>
          <w:lang w:val="es-ES_tradnl"/>
        </w:rPr>
        <w:t xml:space="preserve">  El CDIP aprobó la segunda fase del proyecto, que abarcó seis países:  los cuatro países piloto (Colombia, </w:t>
      </w:r>
      <w:r w:rsidR="0065614B" w:rsidRPr="00A34388">
        <w:rPr>
          <w:lang w:val="es-ES_tradnl"/>
        </w:rPr>
        <w:t xml:space="preserve">la </w:t>
      </w:r>
      <w:r w:rsidRPr="00A34388">
        <w:rPr>
          <w:lang w:val="es-ES_tradnl"/>
        </w:rPr>
        <w:t xml:space="preserve">República Dominicana, </w:t>
      </w:r>
      <w:r w:rsidR="0065614B" w:rsidRPr="00A34388">
        <w:rPr>
          <w:lang w:val="es-ES_tradnl"/>
        </w:rPr>
        <w:t xml:space="preserve">el </w:t>
      </w:r>
      <w:r w:rsidRPr="00A34388">
        <w:rPr>
          <w:lang w:val="es-ES_tradnl"/>
        </w:rPr>
        <w:t>Perú y Túnez)</w:t>
      </w:r>
      <w:r w:rsidRPr="00A34388">
        <w:rPr>
          <w:rStyle w:val="FootnoteReference"/>
          <w:lang w:val="es-ES_tradnl"/>
        </w:rPr>
        <w:footnoteReference w:id="22"/>
      </w:r>
      <w:r w:rsidRPr="00A34388">
        <w:rPr>
          <w:lang w:val="es-ES_tradnl"/>
        </w:rPr>
        <w:t xml:space="preserve"> y dos nuevos países (Egipto y Etiopía).  Se crearon cuatro instituciones nacionales de enseñanza sobre P.I., que actualmente ofrecen programas de formación, y dos academias piloto se encuentran en fase de ejecución.  Las actividades incluían programas de formación de formadores, módulos regionales para coordinadores académicos, becas para programas de máster sobre P.I. y la elaboración de material docente adicional y planes de creación de capacidad y negocio.  Las seis academias piloto están integradas en la Red Mundial de Academias de Propiedad Intelectual (GNIPA).</w:t>
      </w:r>
    </w:p>
    <w:p w:rsidR="001A2871" w:rsidRPr="00A34388" w:rsidRDefault="001A2871" w:rsidP="001A2871">
      <w:pPr>
        <w:ind w:left="2268" w:hanging="2268"/>
        <w:rPr>
          <w:rFonts w:eastAsia="MS Mincho" w:cs="Arial"/>
          <w:b/>
          <w:sz w:val="22"/>
          <w:szCs w:val="22"/>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rPr>
          <w:rFonts w:cs="Arial"/>
          <w:sz w:val="22"/>
          <w:szCs w:val="22"/>
          <w:lang w:val="es-ES_tradnl"/>
        </w:rPr>
      </w:pPr>
      <w:r w:rsidRPr="00332758">
        <w:rPr>
          <w:sz w:val="22"/>
          <w:lang w:val="es-ES_tradnl"/>
        </w:rPr>
        <w:lastRenderedPageBreak/>
        <w:t>DATOS SOBRE EL RENDIMIENTO</w:t>
      </w:r>
    </w:p>
    <w:p w:rsidR="001A2871" w:rsidRPr="00A34388" w:rsidRDefault="001A2871" w:rsidP="001A2871">
      <w:pPr>
        <w:ind w:left="2268" w:hanging="2268"/>
        <w:rPr>
          <w:b/>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0"/>
        <w:gridCol w:w="1710"/>
        <w:gridCol w:w="1679"/>
        <w:gridCol w:w="3092"/>
        <w:gridCol w:w="1276"/>
      </w:tblGrid>
      <w:tr w:rsidR="001A2871" w:rsidRPr="00A9508D" w:rsidTr="00853209">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1A2871" w:rsidRPr="00A34388" w:rsidTr="00853209">
        <w:tc>
          <w:tcPr>
            <w:tcW w:w="855" w:type="pct"/>
            <w:tcBorders>
              <w:top w:val="single" w:sz="4" w:space="0" w:color="auto"/>
            </w:tcBorders>
            <w:shd w:val="clear" w:color="auto" w:fill="auto"/>
            <w:vAlign w:val="center"/>
          </w:tcPr>
          <w:p w:rsidR="001A2871" w:rsidRPr="00A34388" w:rsidRDefault="001A2871" w:rsidP="00853209">
            <w:pPr>
              <w:spacing w:after="40"/>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853209">
            <w:pPr>
              <w:spacing w:after="40"/>
              <w:rPr>
                <w:rFonts w:cs="Arial"/>
                <w:b/>
                <w:bCs/>
                <w:color w:val="808080"/>
                <w:sz w:val="16"/>
                <w:szCs w:val="16"/>
                <w:lang w:val="es-ES_tradnl"/>
              </w:rPr>
            </w:pPr>
            <w:r w:rsidRPr="00332758">
              <w:rPr>
                <w:b/>
                <w:sz w:val="16"/>
                <w:lang w:val="es-ES_tradnl"/>
              </w:rPr>
              <w:t>Referencia</w:t>
            </w:r>
          </w:p>
        </w:tc>
        <w:tc>
          <w:tcPr>
            <w:tcW w:w="897" w:type="pct"/>
            <w:tcBorders>
              <w:top w:val="single" w:sz="4" w:space="0" w:color="auto"/>
            </w:tcBorders>
            <w:shd w:val="clear" w:color="auto" w:fill="auto"/>
            <w:tcMar>
              <w:top w:w="110" w:type="dxa"/>
            </w:tcMar>
            <w:vAlign w:val="center"/>
          </w:tcPr>
          <w:p w:rsidR="001A2871" w:rsidRPr="00A34388" w:rsidRDefault="001A2871" w:rsidP="00853209">
            <w:pPr>
              <w:spacing w:after="40"/>
              <w:rPr>
                <w:rFonts w:cs="Arial"/>
                <w:b/>
                <w:color w:val="808080"/>
                <w:sz w:val="16"/>
                <w:szCs w:val="16"/>
                <w:lang w:val="es-ES_tradnl"/>
              </w:rPr>
            </w:pPr>
            <w:r w:rsidRPr="00332758">
              <w:rPr>
                <w:b/>
                <w:sz w:val="16"/>
                <w:lang w:val="es-ES_tradnl"/>
              </w:rPr>
              <w:t>Objetivos</w:t>
            </w:r>
          </w:p>
        </w:tc>
        <w:tc>
          <w:tcPr>
            <w:tcW w:w="1652" w:type="pct"/>
            <w:tcBorders>
              <w:top w:val="single" w:sz="4" w:space="0" w:color="auto"/>
            </w:tcBorders>
            <w:shd w:val="clear" w:color="auto" w:fill="FFFFFF"/>
            <w:tcMar>
              <w:top w:w="110" w:type="dxa"/>
            </w:tcMar>
            <w:vAlign w:val="center"/>
          </w:tcPr>
          <w:p w:rsidR="001A2871" w:rsidRPr="00A34388" w:rsidRDefault="001A2871" w:rsidP="00853209">
            <w:pPr>
              <w:spacing w:after="40"/>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spacing w:after="40"/>
              <w:jc w:val="center"/>
              <w:rPr>
                <w:rFonts w:cs="Arial"/>
                <w:b/>
                <w:bCs/>
                <w:sz w:val="16"/>
                <w:szCs w:val="16"/>
                <w:lang w:val="es-ES_tradnl"/>
              </w:rPr>
            </w:pPr>
            <w:r w:rsidRPr="00332758">
              <w:rPr>
                <w:b/>
                <w:sz w:val="16"/>
                <w:lang w:val="es-ES_tradnl"/>
              </w:rPr>
              <w:t>Clave de colores</w:t>
            </w:r>
          </w:p>
        </w:tc>
      </w:tr>
      <w:tr w:rsidR="001A2871" w:rsidRPr="00A34388" w:rsidTr="00853209">
        <w:tc>
          <w:tcPr>
            <w:tcW w:w="855"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estudiantes procedentes de oficinas de P.I. que se muestran satisfechos con la formación proporcionada.</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color w:val="002060"/>
                <w:sz w:val="16"/>
                <w:lang w:val="es-ES_tradnl"/>
              </w:rPr>
              <w:t xml:space="preserve">  95%</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80%</w:t>
            </w:r>
          </w:p>
        </w:tc>
        <w:tc>
          <w:tcPr>
            <w:tcW w:w="897" w:type="pct"/>
            <w:shd w:val="clear" w:color="auto" w:fill="auto"/>
            <w:tcMar>
              <w:top w:w="110" w:type="dxa"/>
            </w:tcMar>
          </w:tcPr>
          <w:p w:rsidR="001A2871" w:rsidRPr="00A34388" w:rsidRDefault="001A2871" w:rsidP="00853209">
            <w:pPr>
              <w:rPr>
                <w:rFonts w:cs="Arial"/>
                <w:color w:val="000000" w:themeColor="text1"/>
                <w:sz w:val="16"/>
                <w:szCs w:val="16"/>
                <w:lang w:val="es-ES_tradnl"/>
              </w:rPr>
            </w:pPr>
            <w:r w:rsidRPr="00A34388">
              <w:rPr>
                <w:color w:val="000000" w:themeColor="text1"/>
                <w:sz w:val="16"/>
                <w:lang w:val="es-ES_tradnl"/>
              </w:rPr>
              <w:t>90%</w:t>
            </w:r>
          </w:p>
        </w:tc>
        <w:tc>
          <w:tcPr>
            <w:tcW w:w="1652" w:type="pct"/>
            <w:shd w:val="clear" w:color="auto" w:fill="FFFFFF"/>
            <w:tcMar>
              <w:top w:w="110" w:type="dxa"/>
            </w:tcMar>
          </w:tcPr>
          <w:p w:rsidR="001A2871" w:rsidRPr="00A34388" w:rsidRDefault="001A2871" w:rsidP="00853209">
            <w:pPr>
              <w:rPr>
                <w:rFonts w:cs="Arial"/>
                <w:color w:val="000000" w:themeColor="text1"/>
                <w:sz w:val="16"/>
                <w:szCs w:val="16"/>
                <w:lang w:val="es-ES_tradnl"/>
              </w:rPr>
            </w:pPr>
            <w:r w:rsidRPr="00A34388">
              <w:rPr>
                <w:color w:val="000000" w:themeColor="text1"/>
                <w:sz w:val="16"/>
                <w:lang w:val="es-ES_tradnl"/>
              </w:rPr>
              <w:t>95%</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Porcentaje de estudiantes que utilizan en la práctica las capacidades adquiridas en la formación.</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 75%</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 xml:space="preserve">Referencia original (Presup. por prog. 2012/13): </w:t>
            </w:r>
            <w:r w:rsidRPr="00A34388">
              <w:rPr>
                <w:sz w:val="16"/>
                <w:lang w:val="es-ES_tradnl"/>
              </w:rPr>
              <w:t xml:space="preserve"> 60%</w:t>
            </w:r>
          </w:p>
        </w:tc>
        <w:tc>
          <w:tcPr>
            <w:tcW w:w="897" w:type="pct"/>
            <w:shd w:val="clear" w:color="auto" w:fill="auto"/>
            <w:tcMar>
              <w:top w:w="110" w:type="dxa"/>
            </w:tcMar>
          </w:tcPr>
          <w:p w:rsidR="001A2871" w:rsidRPr="00A34388" w:rsidRDefault="001A2871" w:rsidP="00853209">
            <w:pPr>
              <w:pStyle w:val="Default"/>
              <w:rPr>
                <w:color w:val="000000" w:themeColor="text1"/>
                <w:sz w:val="16"/>
                <w:szCs w:val="16"/>
                <w:lang w:val="es-ES_tradnl"/>
              </w:rPr>
            </w:pPr>
            <w:r w:rsidRPr="00A34388">
              <w:rPr>
                <w:color w:val="000000" w:themeColor="text1"/>
                <w:sz w:val="16"/>
                <w:lang w:val="es-ES_tradnl"/>
              </w:rPr>
              <w:t>80%</w:t>
            </w:r>
          </w:p>
        </w:tc>
        <w:tc>
          <w:tcPr>
            <w:tcW w:w="1652" w:type="pct"/>
            <w:shd w:val="clear" w:color="auto" w:fill="FFFFFF"/>
            <w:tcMar>
              <w:top w:w="110" w:type="dxa"/>
            </w:tcMar>
          </w:tcPr>
          <w:p w:rsidR="001A2871" w:rsidRPr="00A34388" w:rsidRDefault="001A2871" w:rsidP="00853209">
            <w:pPr>
              <w:rPr>
                <w:rFonts w:cs="Arial"/>
                <w:color w:val="000000" w:themeColor="text1"/>
                <w:sz w:val="16"/>
                <w:szCs w:val="16"/>
                <w:lang w:val="es-ES_tradnl"/>
              </w:rPr>
            </w:pPr>
            <w:r w:rsidRPr="00A34388">
              <w:rPr>
                <w:color w:val="000000" w:themeColor="text1"/>
                <w:sz w:val="16"/>
                <w:lang w:val="es-ES_tradnl"/>
              </w:rPr>
              <w:t>75%</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Porcentaje de supervisores que aplican satisfactoriamente las capacidades adquiridas un año después de la formación.</w:t>
            </w:r>
          </w:p>
          <w:p w:rsidR="001A2871" w:rsidRPr="00A34388" w:rsidRDefault="001A2871" w:rsidP="00853209">
            <w:pPr>
              <w:ind w:firstLineChars="3" w:firstLine="5"/>
              <w:rPr>
                <w:rFonts w:cs="Arial"/>
                <w:sz w:val="16"/>
                <w:szCs w:val="16"/>
                <w:lang w:val="es-ES_tradnl"/>
              </w:rPr>
            </w:pP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color w:val="002060"/>
                <w:sz w:val="16"/>
                <w:lang w:val="es-ES_tradnl"/>
              </w:rPr>
              <w:t xml:space="preserve">  70% </w:t>
            </w:r>
          </w:p>
          <w:p w:rsidR="001A2871" w:rsidRPr="00A34388" w:rsidRDefault="001A2871" w:rsidP="00853209">
            <w:pPr>
              <w:rPr>
                <w:rFonts w:cs="Arial"/>
                <w:i/>
                <w:sz w:val="8"/>
                <w:szCs w:val="8"/>
                <w:lang w:val="es-ES_tradnl"/>
              </w:rPr>
            </w:pPr>
          </w:p>
          <w:p w:rsidR="001A2871" w:rsidRPr="00A34388" w:rsidRDefault="001A2871" w:rsidP="00853209">
            <w:pPr>
              <w:rPr>
                <w:rFonts w:cs="Arial"/>
                <w:i/>
                <w:sz w:val="16"/>
                <w:szCs w:val="16"/>
                <w:lang w:val="es-ES_tradnl"/>
              </w:rPr>
            </w:pPr>
            <w:r w:rsidRPr="00A34388">
              <w:rPr>
                <w:i/>
                <w:sz w:val="16"/>
                <w:lang w:val="es-ES_tradnl"/>
              </w:rPr>
              <w:t xml:space="preserve">Referencia original (Presup. por prog. 2012/13): </w:t>
            </w:r>
            <w:r w:rsidRPr="00A34388">
              <w:rPr>
                <w:sz w:val="16"/>
                <w:lang w:val="es-ES_tradnl"/>
              </w:rPr>
              <w:t xml:space="preserve"> 60%</w:t>
            </w:r>
          </w:p>
        </w:tc>
        <w:tc>
          <w:tcPr>
            <w:tcW w:w="897" w:type="pct"/>
            <w:shd w:val="clear" w:color="auto" w:fill="auto"/>
            <w:tcMar>
              <w:top w:w="110" w:type="dxa"/>
            </w:tcMar>
          </w:tcPr>
          <w:p w:rsidR="001A2871" w:rsidRPr="00A34388" w:rsidRDefault="001A2871" w:rsidP="00853209">
            <w:pPr>
              <w:pStyle w:val="Default"/>
              <w:rPr>
                <w:i/>
                <w:color w:val="000000" w:themeColor="text1"/>
                <w:sz w:val="16"/>
                <w:szCs w:val="16"/>
                <w:lang w:val="es-ES_tradnl"/>
              </w:rPr>
            </w:pPr>
            <w:r w:rsidRPr="00A34388">
              <w:rPr>
                <w:color w:val="000000" w:themeColor="text1"/>
                <w:sz w:val="16"/>
                <w:lang w:val="es-ES_tradnl"/>
              </w:rPr>
              <w:t>70%</w:t>
            </w:r>
          </w:p>
        </w:tc>
        <w:tc>
          <w:tcPr>
            <w:tcW w:w="1652" w:type="pct"/>
            <w:shd w:val="clear" w:color="auto" w:fill="FFFFFF"/>
            <w:tcMar>
              <w:top w:w="110" w:type="dxa"/>
            </w:tcMar>
          </w:tcPr>
          <w:p w:rsidR="001A2871" w:rsidRPr="00A34388" w:rsidRDefault="001A2871" w:rsidP="00853209">
            <w:pPr>
              <w:rPr>
                <w:rFonts w:cs="Arial"/>
                <w:color w:val="000000" w:themeColor="text1"/>
                <w:sz w:val="16"/>
                <w:szCs w:val="16"/>
                <w:lang w:val="es-ES_tradnl"/>
              </w:rPr>
            </w:pPr>
            <w:r w:rsidRPr="00A34388">
              <w:rPr>
                <w:color w:val="000000" w:themeColor="text1"/>
                <w:sz w:val="16"/>
                <w:lang w:val="es-ES_tradnl"/>
              </w:rPr>
              <w:t>75%</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graduados de la Academia de la OMPI y de instituciones académicas asociadas (oferta conjunta).</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68 </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60</w:t>
            </w:r>
          </w:p>
        </w:tc>
        <w:tc>
          <w:tcPr>
            <w:tcW w:w="897" w:type="pct"/>
            <w:shd w:val="clear" w:color="auto" w:fill="auto"/>
            <w:tcMar>
              <w:top w:w="110" w:type="dxa"/>
            </w:tcMar>
          </w:tcPr>
          <w:p w:rsidR="001A2871" w:rsidRPr="00A34388" w:rsidRDefault="001A2871" w:rsidP="00853209">
            <w:pPr>
              <w:pStyle w:val="Default"/>
              <w:rPr>
                <w:i/>
                <w:color w:val="auto"/>
                <w:sz w:val="16"/>
                <w:szCs w:val="16"/>
                <w:lang w:val="es-ES_tradnl"/>
              </w:rPr>
            </w:pPr>
            <w:r w:rsidRPr="00A34388">
              <w:rPr>
                <w:color w:val="auto"/>
                <w:sz w:val="16"/>
                <w:lang w:val="es-ES_tradnl"/>
              </w:rPr>
              <w:t>75 (en 2012/13)</w:t>
            </w:r>
            <w:r w:rsidRPr="00A34388">
              <w:rPr>
                <w:rStyle w:val="FootnoteReference"/>
                <w:color w:val="auto"/>
                <w:sz w:val="16"/>
                <w:lang w:val="es-ES_tradnl"/>
              </w:rPr>
              <w:footnoteReference w:id="23"/>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167 (bienio)</w:t>
            </w:r>
          </w:p>
          <w:p w:rsidR="001A2871" w:rsidRPr="00A34388" w:rsidRDefault="001A2871" w:rsidP="001A2871">
            <w:pPr>
              <w:pStyle w:val="ListParagraph"/>
              <w:numPr>
                <w:ilvl w:val="0"/>
                <w:numId w:val="37"/>
              </w:numPr>
              <w:rPr>
                <w:rFonts w:cs="Arial"/>
                <w:sz w:val="16"/>
                <w:szCs w:val="16"/>
                <w:lang w:val="es-ES_tradnl"/>
              </w:rPr>
            </w:pPr>
            <w:r w:rsidRPr="00A34388">
              <w:rPr>
                <w:sz w:val="16"/>
                <w:lang w:val="es-ES_tradnl"/>
              </w:rPr>
              <w:t>72 (2012)</w:t>
            </w:r>
          </w:p>
          <w:p w:rsidR="001A2871" w:rsidRPr="00A34388" w:rsidRDefault="001A2871" w:rsidP="001A2871">
            <w:pPr>
              <w:pStyle w:val="ListParagraph"/>
              <w:numPr>
                <w:ilvl w:val="0"/>
                <w:numId w:val="37"/>
              </w:numPr>
              <w:rPr>
                <w:rFonts w:cs="Arial"/>
                <w:sz w:val="16"/>
                <w:szCs w:val="16"/>
                <w:lang w:val="es-ES_tradnl"/>
              </w:rPr>
            </w:pPr>
            <w:r w:rsidRPr="00A34388">
              <w:rPr>
                <w:sz w:val="16"/>
                <w:lang w:val="es-ES_tradnl"/>
              </w:rPr>
              <w:t>95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participantes formados anualmente en los cursos de verano de la OMPI.</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640</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600</w:t>
            </w:r>
          </w:p>
        </w:tc>
        <w:tc>
          <w:tcPr>
            <w:tcW w:w="897" w:type="pct"/>
            <w:shd w:val="clear" w:color="auto" w:fill="auto"/>
            <w:tcMar>
              <w:top w:w="110" w:type="dxa"/>
            </w:tcMar>
          </w:tcPr>
          <w:p w:rsidR="001A2871" w:rsidRPr="00A34388" w:rsidRDefault="001A2871" w:rsidP="00853209">
            <w:pPr>
              <w:pStyle w:val="Default"/>
              <w:rPr>
                <w:lang w:val="es-ES_tradnl"/>
              </w:rPr>
            </w:pPr>
            <w:r w:rsidRPr="00A34388">
              <w:rPr>
                <w:sz w:val="16"/>
                <w:lang w:val="es-ES_tradnl"/>
              </w:rPr>
              <w:t>400 (en 2012/13)</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630 (bienio)</w:t>
            </w:r>
          </w:p>
          <w:p w:rsidR="001A2871" w:rsidRPr="00A34388" w:rsidRDefault="001A2871" w:rsidP="001A2871">
            <w:pPr>
              <w:pStyle w:val="ListParagraph"/>
              <w:numPr>
                <w:ilvl w:val="0"/>
                <w:numId w:val="35"/>
              </w:numPr>
              <w:rPr>
                <w:rFonts w:cs="Arial"/>
                <w:sz w:val="16"/>
                <w:szCs w:val="16"/>
                <w:lang w:val="es-ES_tradnl"/>
              </w:rPr>
            </w:pPr>
            <w:r w:rsidRPr="00A34388">
              <w:rPr>
                <w:sz w:val="16"/>
                <w:lang w:val="es-ES_tradnl"/>
              </w:rPr>
              <w:t>301 (2012)</w:t>
            </w:r>
          </w:p>
          <w:p w:rsidR="001A2871" w:rsidRPr="00A34388" w:rsidRDefault="001A2871" w:rsidP="001A2871">
            <w:pPr>
              <w:pStyle w:val="ListParagraph"/>
              <w:numPr>
                <w:ilvl w:val="0"/>
                <w:numId w:val="35"/>
              </w:numPr>
              <w:rPr>
                <w:rFonts w:cs="Arial"/>
                <w:sz w:val="16"/>
                <w:szCs w:val="16"/>
                <w:lang w:val="es-ES_tradnl"/>
              </w:rPr>
            </w:pPr>
            <w:r w:rsidRPr="00A34388">
              <w:rPr>
                <w:sz w:val="16"/>
                <w:lang w:val="es-ES_tradnl"/>
              </w:rPr>
              <w:t>329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profesores de P.I. que recibieron formación.</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30</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30</w:t>
            </w:r>
          </w:p>
        </w:tc>
        <w:tc>
          <w:tcPr>
            <w:tcW w:w="897" w:type="pct"/>
            <w:shd w:val="clear" w:color="auto" w:fill="auto"/>
            <w:tcMar>
              <w:top w:w="110" w:type="dxa"/>
            </w:tcMar>
          </w:tcPr>
          <w:p w:rsidR="001A2871" w:rsidRPr="00A34388" w:rsidRDefault="001A2871" w:rsidP="00853209">
            <w:pPr>
              <w:pStyle w:val="Default"/>
              <w:rPr>
                <w:lang w:val="es-ES_tradnl"/>
              </w:rPr>
            </w:pPr>
            <w:r w:rsidRPr="00A34388">
              <w:rPr>
                <w:sz w:val="16"/>
                <w:lang w:val="es-ES_tradnl"/>
              </w:rPr>
              <w:t xml:space="preserve">36 (en 2012/13) </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En 2012/13, un total de 54 profesores asistieron al Coloquio OMPI-OMC para enseñantes de propiedad intelectual y al Congreso de la Asociación Internacional para el Progreso de la Enseñanza y de la Investigación en Propiedad Intelectual (ATRIP), que se celebra anualmente:</w:t>
            </w:r>
          </w:p>
          <w:p w:rsidR="001A2871" w:rsidRPr="00A34388" w:rsidRDefault="001A2871" w:rsidP="001A2871">
            <w:pPr>
              <w:pStyle w:val="ListParagraph"/>
              <w:numPr>
                <w:ilvl w:val="0"/>
                <w:numId w:val="36"/>
              </w:numPr>
              <w:rPr>
                <w:rFonts w:cs="Arial"/>
                <w:sz w:val="16"/>
                <w:szCs w:val="16"/>
                <w:lang w:val="es-ES_tradnl"/>
              </w:rPr>
            </w:pPr>
            <w:r w:rsidRPr="00A34388">
              <w:rPr>
                <w:sz w:val="16"/>
                <w:lang w:val="es-ES_tradnl"/>
              </w:rPr>
              <w:t>27 (2012)</w:t>
            </w:r>
            <w:r w:rsidRPr="00A34388">
              <w:rPr>
                <w:rStyle w:val="FootnoteReference"/>
                <w:sz w:val="16"/>
                <w:lang w:val="es-ES_tradnl"/>
              </w:rPr>
              <w:footnoteReference w:id="24"/>
            </w:r>
          </w:p>
          <w:p w:rsidR="001A2871" w:rsidRPr="00A34388" w:rsidRDefault="001A2871" w:rsidP="001A2871">
            <w:pPr>
              <w:pStyle w:val="ListParagraph"/>
              <w:numPr>
                <w:ilvl w:val="0"/>
                <w:numId w:val="36"/>
              </w:numPr>
              <w:rPr>
                <w:rFonts w:cs="Arial"/>
                <w:lang w:val="es-ES_tradnl"/>
              </w:rPr>
            </w:pPr>
            <w:r w:rsidRPr="00A34388">
              <w:rPr>
                <w:sz w:val="16"/>
                <w:lang w:val="es-ES_tradnl"/>
              </w:rPr>
              <w:t>27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StyleHeading3ComplexItalicLatin12ptChar"/>
                <w:sz w:val="16"/>
                <w:lang w:val="es-ES_tradnl"/>
              </w:rPr>
              <w:t xml:space="preserve"> </w:t>
            </w:r>
          </w:p>
        </w:tc>
      </w:tr>
      <w:tr w:rsidR="001A2871" w:rsidRPr="00A34388" w:rsidTr="00853209">
        <w:tc>
          <w:tcPr>
            <w:tcW w:w="855"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academias nacionales de P.I. establecidas.</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Cuatro</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2</w:t>
            </w:r>
          </w:p>
        </w:tc>
        <w:tc>
          <w:tcPr>
            <w:tcW w:w="897" w:type="pct"/>
            <w:shd w:val="clear" w:color="auto" w:fill="auto"/>
            <w:tcMar>
              <w:top w:w="110" w:type="dxa"/>
            </w:tcMar>
          </w:tcPr>
          <w:p w:rsidR="001A2871" w:rsidRPr="00A34388" w:rsidRDefault="001A2871" w:rsidP="00853209">
            <w:pPr>
              <w:pStyle w:val="Default"/>
              <w:rPr>
                <w:i/>
                <w:color w:val="auto"/>
                <w:sz w:val="16"/>
                <w:szCs w:val="16"/>
                <w:lang w:val="es-ES_tradnl"/>
              </w:rPr>
            </w:pPr>
            <w:r w:rsidRPr="00A34388">
              <w:rPr>
                <w:color w:val="auto"/>
                <w:sz w:val="16"/>
                <w:lang w:val="es-ES_tradnl"/>
              </w:rPr>
              <w:t>4 (en 2012/13)</w:t>
            </w:r>
          </w:p>
        </w:tc>
        <w:tc>
          <w:tcPr>
            <w:tcW w:w="1652" w:type="pct"/>
            <w:shd w:val="clear" w:color="auto" w:fill="FFFFFF"/>
            <w:tcMar>
              <w:top w:w="110" w:type="dxa"/>
            </w:tcMar>
          </w:tcPr>
          <w:p w:rsidR="001A2871" w:rsidRPr="00A34388" w:rsidRDefault="001A2871" w:rsidP="00556042">
            <w:pPr>
              <w:rPr>
                <w:rFonts w:cs="Arial"/>
                <w:sz w:val="16"/>
                <w:szCs w:val="16"/>
                <w:lang w:val="es-ES_tradnl"/>
              </w:rPr>
            </w:pPr>
            <w:r w:rsidRPr="00A34388">
              <w:rPr>
                <w:sz w:val="16"/>
                <w:lang w:val="es-ES_tradnl"/>
              </w:rPr>
              <w:t xml:space="preserve">Para finales de 2013 se habían creado cuatro nuevas academias nacionales de P.I. en Colombia, </w:t>
            </w:r>
            <w:r w:rsidR="0065614B" w:rsidRPr="00A34388">
              <w:rPr>
                <w:sz w:val="16"/>
                <w:lang w:val="es-ES_tradnl"/>
              </w:rPr>
              <w:t xml:space="preserve">la </w:t>
            </w:r>
            <w:r w:rsidRPr="00A34388">
              <w:rPr>
                <w:sz w:val="16"/>
                <w:lang w:val="es-ES_tradnl"/>
              </w:rPr>
              <w:t xml:space="preserve">República Dominicana, </w:t>
            </w:r>
            <w:r w:rsidR="0065614B" w:rsidRPr="00A34388">
              <w:rPr>
                <w:sz w:val="16"/>
                <w:lang w:val="es-ES_tradnl"/>
              </w:rPr>
              <w:t xml:space="preserve">el </w:t>
            </w:r>
            <w:r w:rsidRPr="00A34388">
              <w:rPr>
                <w:sz w:val="16"/>
                <w:lang w:val="es-ES_tradnl"/>
              </w:rPr>
              <w:t>Perú y Túnez.  La creación de instituciones en Egipto y Etiopía estaba muy avanzada a finales de 2013 y la conclusión de las actividades estaba prevista para el bienio 2014/15.</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tcBorders>
              <w:bottom w:val="single" w:sz="4" w:space="0" w:color="auto"/>
            </w:tcBorders>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 xml:space="preserve">Número de nuevos acuerdos de cooperación </w:t>
            </w:r>
            <w:r w:rsidRPr="00332758">
              <w:rPr>
                <w:sz w:val="16"/>
                <w:lang w:val="es-ES_tradnl"/>
              </w:rPr>
              <w:lastRenderedPageBreak/>
              <w:t>interinstitucional.</w:t>
            </w:r>
          </w:p>
        </w:tc>
        <w:tc>
          <w:tcPr>
            <w:tcW w:w="914" w:type="pct"/>
            <w:tcBorders>
              <w:bottom w:val="single" w:sz="4" w:space="0" w:color="auto"/>
            </w:tcBorders>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lastRenderedPageBreak/>
              <w:t xml:space="preserve">Referencia actualizada a fines de 2011:  </w:t>
            </w:r>
            <w:r w:rsidRPr="00A34388">
              <w:rPr>
                <w:color w:val="002060"/>
                <w:sz w:val="16"/>
                <w:lang w:val="es-ES_tradnl"/>
              </w:rPr>
              <w:t xml:space="preserve">3 </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2</w:t>
            </w:r>
          </w:p>
        </w:tc>
        <w:tc>
          <w:tcPr>
            <w:tcW w:w="897" w:type="pct"/>
            <w:tcBorders>
              <w:bottom w:val="single" w:sz="4" w:space="0" w:color="auto"/>
            </w:tcBorders>
            <w:shd w:val="clear" w:color="auto" w:fill="auto"/>
            <w:tcMar>
              <w:top w:w="110" w:type="dxa"/>
            </w:tcMar>
          </w:tcPr>
          <w:p w:rsidR="001A2871" w:rsidRPr="00A34388" w:rsidRDefault="001A2871" w:rsidP="00853209">
            <w:pPr>
              <w:pStyle w:val="Default"/>
              <w:rPr>
                <w:i/>
                <w:color w:val="auto"/>
                <w:sz w:val="16"/>
                <w:szCs w:val="16"/>
                <w:lang w:val="es-ES_tradnl"/>
              </w:rPr>
            </w:pPr>
            <w:r w:rsidRPr="00A34388">
              <w:rPr>
                <w:color w:val="auto"/>
                <w:sz w:val="16"/>
                <w:lang w:val="es-ES_tradnl"/>
              </w:rPr>
              <w:lastRenderedPageBreak/>
              <w:t>3 (en 2012/13)</w:t>
            </w:r>
          </w:p>
        </w:tc>
        <w:tc>
          <w:tcPr>
            <w:tcW w:w="1652"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Para el final del bienio, cinco nuevas instituciones nacionales de enseñanza (en Azerbaiyán, </w:t>
            </w:r>
            <w:r w:rsidR="0065614B" w:rsidRPr="00A34388">
              <w:rPr>
                <w:sz w:val="16"/>
                <w:lang w:val="es-ES_tradnl"/>
              </w:rPr>
              <w:t xml:space="preserve">la </w:t>
            </w:r>
            <w:r w:rsidRPr="00A34388">
              <w:rPr>
                <w:sz w:val="16"/>
                <w:lang w:val="es-ES_tradnl"/>
              </w:rPr>
              <w:t xml:space="preserve">República </w:t>
            </w:r>
            <w:r w:rsidRPr="00A34388">
              <w:rPr>
                <w:sz w:val="16"/>
                <w:lang w:val="es-ES_tradnl"/>
              </w:rPr>
              <w:lastRenderedPageBreak/>
              <w:t xml:space="preserve">Dominicana, Marruecos, Túnez y Viet Nam) se habían adherido a la Red Mundial de Academias de Propiedad Intelectual (GNIPA).  La participación de </w:t>
            </w:r>
            <w:r w:rsidR="0065614B" w:rsidRPr="00A34388">
              <w:rPr>
                <w:sz w:val="16"/>
                <w:lang w:val="es-ES_tradnl"/>
              </w:rPr>
              <w:t xml:space="preserve">la </w:t>
            </w:r>
            <w:r w:rsidRPr="00A34388">
              <w:rPr>
                <w:sz w:val="16"/>
                <w:lang w:val="es-ES_tradnl"/>
              </w:rPr>
              <w:t>República Dominicana y Túnez era uno de los resultados previstos del proyecto de creación de academias nacionales de P.I.</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lastRenderedPageBreak/>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9508D" w:rsidTr="00853209">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452" w:hanging="1452"/>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Mayor facilidad de acceso a la formación en P.I.</w:t>
            </w:r>
          </w:p>
        </w:tc>
      </w:tr>
      <w:tr w:rsidR="001A2871" w:rsidRPr="00A34388" w:rsidTr="00853209">
        <w:tc>
          <w:tcPr>
            <w:tcW w:w="855"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97"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52"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c>
          <w:tcPr>
            <w:tcW w:w="855" w:type="pct"/>
            <w:shd w:val="clear" w:color="auto" w:fill="FFFFFF"/>
          </w:tcPr>
          <w:p w:rsidR="001A2871" w:rsidRPr="00A34388" w:rsidRDefault="001A2871" w:rsidP="00853209">
            <w:pPr>
              <w:ind w:firstLineChars="3" w:firstLine="5"/>
              <w:rPr>
                <w:rFonts w:cs="Arial"/>
                <w:sz w:val="16"/>
                <w:szCs w:val="16"/>
                <w:lang w:val="es-ES_tradnl"/>
              </w:rPr>
            </w:pPr>
            <w:r w:rsidRPr="00332758">
              <w:rPr>
                <w:sz w:val="16"/>
                <w:lang w:val="es-ES_tradnl"/>
              </w:rPr>
              <w:t>Número de inscripciones en línea en los cursos de enseñanza a distancia.</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83.000 </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100.000</w:t>
            </w:r>
          </w:p>
        </w:tc>
        <w:tc>
          <w:tcPr>
            <w:tcW w:w="897"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100.000</w:t>
            </w:r>
          </w:p>
          <w:p w:rsidR="001A2871" w:rsidRPr="00A34388" w:rsidRDefault="001A2871" w:rsidP="00853209">
            <w:pPr>
              <w:pStyle w:val="Default"/>
              <w:rPr>
                <w:lang w:val="es-ES_tradnl"/>
              </w:rPr>
            </w:pPr>
            <w:r w:rsidRPr="00A34388">
              <w:rPr>
                <w:color w:val="auto"/>
                <w:sz w:val="16"/>
                <w:lang w:val="es-ES_tradnl"/>
              </w:rPr>
              <w:t xml:space="preserve">(en 2012/13). </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81.484 inscripciones en línea en el bienio (las inscripciones se suspendieron temporalmente en 2013 a petición de la oficina de P.I. de China para permitir ajustes de la plataforma informática y la actualización de la formación del personal).</w:t>
            </w:r>
          </w:p>
          <w:p w:rsidR="001A2871" w:rsidRPr="00A34388" w:rsidRDefault="001A2871" w:rsidP="001A2871">
            <w:pPr>
              <w:pStyle w:val="ListParagraph"/>
              <w:numPr>
                <w:ilvl w:val="0"/>
                <w:numId w:val="36"/>
              </w:numPr>
              <w:rPr>
                <w:rFonts w:cs="Arial"/>
                <w:sz w:val="16"/>
                <w:szCs w:val="16"/>
                <w:lang w:val="es-ES_tradnl"/>
              </w:rPr>
            </w:pPr>
            <w:r w:rsidRPr="00A34388">
              <w:rPr>
                <w:sz w:val="16"/>
                <w:lang w:val="es-ES_tradnl"/>
              </w:rPr>
              <w:t>40.844 (2012)</w:t>
            </w:r>
          </w:p>
          <w:p w:rsidR="001A2871" w:rsidRPr="00A34388" w:rsidRDefault="001A2871" w:rsidP="001A2871">
            <w:pPr>
              <w:pStyle w:val="ListParagraph"/>
              <w:numPr>
                <w:ilvl w:val="0"/>
                <w:numId w:val="36"/>
              </w:numPr>
              <w:rPr>
                <w:rFonts w:cs="Arial"/>
                <w:sz w:val="16"/>
                <w:szCs w:val="16"/>
                <w:lang w:val="es-ES_tradnl"/>
              </w:rPr>
            </w:pPr>
            <w:r w:rsidRPr="00A34388">
              <w:rPr>
                <w:sz w:val="16"/>
                <w:lang w:val="es-ES_tradnl"/>
              </w:rPr>
              <w:t>40.640 (2013)</w:t>
            </w:r>
          </w:p>
        </w:tc>
        <w:tc>
          <w:tcPr>
            <w:tcW w:w="682"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Porcentaje de estudiantes que completan los cursos de enseñanza a distancia.</w:t>
            </w:r>
          </w:p>
        </w:tc>
        <w:tc>
          <w:tcPr>
            <w:tcW w:w="914" w:type="pct"/>
            <w:shd w:val="clear" w:color="auto" w:fill="auto"/>
          </w:tcPr>
          <w:p w:rsidR="001A2871" w:rsidRPr="00A34388" w:rsidRDefault="001A2871" w:rsidP="00853209">
            <w:pPr>
              <w:pStyle w:val="Default"/>
              <w:rPr>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68%</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007E4D96" w:rsidRPr="00A34388">
              <w:rPr>
                <w:i/>
                <w:sz w:val="16"/>
                <w:lang w:val="es-ES_tradnl"/>
              </w:rPr>
              <w:t xml:space="preserve"> </w:t>
            </w:r>
            <w:r w:rsidRPr="00A34388">
              <w:rPr>
                <w:sz w:val="16"/>
                <w:lang w:val="es-ES_tradnl"/>
              </w:rPr>
              <w:t xml:space="preserve"> 60%</w:t>
            </w:r>
          </w:p>
        </w:tc>
        <w:tc>
          <w:tcPr>
            <w:tcW w:w="897" w:type="pct"/>
            <w:shd w:val="clear" w:color="auto" w:fill="auto"/>
            <w:tcMar>
              <w:top w:w="110" w:type="dxa"/>
            </w:tcMar>
          </w:tcPr>
          <w:p w:rsidR="001A2871" w:rsidRPr="00A34388" w:rsidRDefault="001A2871" w:rsidP="00853209">
            <w:pPr>
              <w:pStyle w:val="Default"/>
              <w:rPr>
                <w:color w:val="auto"/>
                <w:sz w:val="16"/>
                <w:szCs w:val="16"/>
                <w:lang w:val="es-ES_tradnl"/>
              </w:rPr>
            </w:pPr>
            <w:r w:rsidRPr="00A34388">
              <w:rPr>
                <w:color w:val="auto"/>
                <w:sz w:val="16"/>
                <w:lang w:val="es-ES_tradnl"/>
              </w:rPr>
              <w:t>75%</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71%</w:t>
            </w:r>
          </w:p>
        </w:tc>
        <w:tc>
          <w:tcPr>
            <w:tcW w:w="682" w:type="pct"/>
            <w:shd w:val="clear" w:color="auto" w:fill="auto"/>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Porcentaje de participantes en cursos de enseñanza a distancia que superan el examen.</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64%</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65%</w:t>
            </w:r>
          </w:p>
        </w:tc>
        <w:tc>
          <w:tcPr>
            <w:tcW w:w="897" w:type="pct"/>
            <w:shd w:val="clear" w:color="auto" w:fill="auto"/>
            <w:tcMar>
              <w:top w:w="110" w:type="dxa"/>
            </w:tcMar>
          </w:tcPr>
          <w:p w:rsidR="001A2871" w:rsidRPr="00A34388" w:rsidRDefault="001A2871" w:rsidP="00853209">
            <w:pPr>
              <w:pStyle w:val="Default"/>
              <w:rPr>
                <w:color w:val="auto"/>
                <w:sz w:val="16"/>
                <w:szCs w:val="16"/>
                <w:lang w:val="es-ES_tradnl"/>
              </w:rPr>
            </w:pPr>
            <w:r w:rsidRPr="00A34388">
              <w:rPr>
                <w:color w:val="auto"/>
                <w:sz w:val="16"/>
                <w:lang w:val="es-ES_tradnl"/>
              </w:rPr>
              <w:t>75%</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78%</w:t>
            </w:r>
          </w:p>
        </w:tc>
        <w:tc>
          <w:tcPr>
            <w:tcW w:w="682" w:type="pct"/>
            <w:shd w:val="clear" w:color="auto" w:fill="auto"/>
            <w:tcMar>
              <w:top w:w="110" w:type="dxa"/>
            </w:tcMar>
          </w:tcPr>
          <w:p w:rsidR="001A2871" w:rsidRPr="00A34388" w:rsidRDefault="001A2871"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FFFFFF"/>
          </w:tcPr>
          <w:p w:rsidR="001A2871" w:rsidRPr="00A34388" w:rsidRDefault="001A2871" w:rsidP="00853209">
            <w:pPr>
              <w:ind w:firstLineChars="3" w:firstLine="5"/>
              <w:rPr>
                <w:rFonts w:cs="Arial"/>
                <w:sz w:val="16"/>
                <w:szCs w:val="16"/>
                <w:lang w:val="es-ES_tradnl"/>
              </w:rPr>
            </w:pPr>
            <w:r w:rsidRPr="00332758">
              <w:rPr>
                <w:sz w:val="16"/>
                <w:lang w:val="es-ES_tradnl"/>
              </w:rPr>
              <w:t>Número de cursos de la Academia incorporados a los planes de estudios de instituciones docentes.</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10</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8 (2010/11)</w:t>
            </w:r>
          </w:p>
          <w:p w:rsidR="001A2871" w:rsidRPr="00A34388" w:rsidRDefault="001A2871" w:rsidP="00853209">
            <w:pPr>
              <w:rPr>
                <w:rFonts w:cs="Arial"/>
                <w:sz w:val="16"/>
                <w:szCs w:val="16"/>
                <w:lang w:val="es-ES_tradnl"/>
              </w:rPr>
            </w:pPr>
          </w:p>
        </w:tc>
        <w:tc>
          <w:tcPr>
            <w:tcW w:w="897" w:type="pct"/>
            <w:shd w:val="clear" w:color="auto" w:fill="auto"/>
            <w:tcMar>
              <w:top w:w="110" w:type="dxa"/>
            </w:tcMar>
          </w:tcPr>
          <w:p w:rsidR="001A2871" w:rsidRPr="00A34388" w:rsidRDefault="001A2871" w:rsidP="00853209">
            <w:pPr>
              <w:pStyle w:val="Default"/>
              <w:rPr>
                <w:color w:val="auto"/>
                <w:sz w:val="16"/>
                <w:szCs w:val="16"/>
                <w:lang w:val="es-ES_tradnl"/>
              </w:rPr>
            </w:pPr>
            <w:r w:rsidRPr="00A34388">
              <w:rPr>
                <w:color w:val="auto"/>
                <w:sz w:val="16"/>
                <w:lang w:val="es-ES_tradnl"/>
              </w:rPr>
              <w:t>8 (en 2012/13)</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11</w:t>
            </w:r>
          </w:p>
        </w:tc>
        <w:tc>
          <w:tcPr>
            <w:tcW w:w="682"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auto"/>
          </w:tcPr>
          <w:p w:rsidR="001A2871" w:rsidRPr="00A34388" w:rsidRDefault="001A2871" w:rsidP="00853209">
            <w:pPr>
              <w:keepNext/>
              <w:keepLines/>
              <w:ind w:firstLineChars="3" w:firstLine="5"/>
              <w:rPr>
                <w:rFonts w:cs="Arial"/>
                <w:sz w:val="16"/>
                <w:szCs w:val="16"/>
                <w:lang w:val="es-ES_tradnl"/>
              </w:rPr>
            </w:pPr>
            <w:r w:rsidRPr="00332758">
              <w:rPr>
                <w:sz w:val="16"/>
                <w:lang w:val="es-ES_tradnl"/>
              </w:rPr>
              <w:t>Número de nuevos cursos en línea/a diferentes niveles de especialización.</w:t>
            </w:r>
          </w:p>
        </w:tc>
        <w:tc>
          <w:tcPr>
            <w:tcW w:w="914" w:type="pct"/>
            <w:shd w:val="clear" w:color="auto" w:fill="auto"/>
          </w:tcPr>
          <w:p w:rsidR="001A2871" w:rsidRPr="00A34388" w:rsidRDefault="001A2871" w:rsidP="00853209">
            <w:pPr>
              <w:keepNext/>
              <w:keepLines/>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2 </w:t>
            </w:r>
          </w:p>
          <w:p w:rsidR="001A2871" w:rsidRPr="00A34388" w:rsidRDefault="001A2871" w:rsidP="00853209">
            <w:pPr>
              <w:keepNext/>
              <w:keepLines/>
              <w:rPr>
                <w:rFonts w:cs="Arial"/>
                <w:i/>
                <w:color w:val="002060"/>
                <w:sz w:val="8"/>
                <w:szCs w:val="8"/>
                <w:lang w:val="es-ES_tradnl"/>
              </w:rPr>
            </w:pPr>
          </w:p>
          <w:p w:rsidR="001A2871" w:rsidRPr="00A34388" w:rsidRDefault="001A2871" w:rsidP="00853209">
            <w:pPr>
              <w:keepNext/>
              <w:keepLines/>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p>
          <w:p w:rsidR="001A2871" w:rsidRPr="00A34388" w:rsidRDefault="001A2871" w:rsidP="00853209">
            <w:pPr>
              <w:keepNext/>
              <w:keepLines/>
              <w:rPr>
                <w:rFonts w:cs="Arial"/>
                <w:sz w:val="16"/>
                <w:szCs w:val="16"/>
                <w:lang w:val="es-ES_tradnl"/>
              </w:rPr>
            </w:pPr>
            <w:r w:rsidRPr="00A34388">
              <w:rPr>
                <w:sz w:val="16"/>
                <w:lang w:val="es-ES_tradnl"/>
              </w:rPr>
              <w:t>2 (2010/11)</w:t>
            </w:r>
          </w:p>
        </w:tc>
        <w:tc>
          <w:tcPr>
            <w:tcW w:w="897" w:type="pct"/>
            <w:shd w:val="clear" w:color="auto" w:fill="auto"/>
            <w:tcMar>
              <w:top w:w="110" w:type="dxa"/>
            </w:tcMar>
          </w:tcPr>
          <w:p w:rsidR="001A2871" w:rsidRPr="00A34388" w:rsidRDefault="001A2871" w:rsidP="00853209">
            <w:pPr>
              <w:keepNext/>
              <w:keepLines/>
              <w:rPr>
                <w:rFonts w:cs="Arial"/>
                <w:sz w:val="16"/>
                <w:szCs w:val="16"/>
                <w:lang w:val="es-ES_tradnl"/>
              </w:rPr>
            </w:pPr>
            <w:r w:rsidRPr="00A34388">
              <w:rPr>
                <w:sz w:val="16"/>
                <w:lang w:val="es-ES_tradnl"/>
              </w:rPr>
              <w:t>3 (en 2012/13)</w:t>
            </w:r>
          </w:p>
        </w:tc>
        <w:tc>
          <w:tcPr>
            <w:tcW w:w="1652" w:type="pct"/>
            <w:shd w:val="clear" w:color="auto" w:fill="FFFFFF"/>
            <w:tcMar>
              <w:top w:w="110" w:type="dxa"/>
            </w:tcMar>
          </w:tcPr>
          <w:p w:rsidR="001A2871" w:rsidRPr="00A34388" w:rsidRDefault="001A2871" w:rsidP="00853209">
            <w:pPr>
              <w:keepNext/>
              <w:keepLines/>
              <w:rPr>
                <w:rFonts w:cs="Arial"/>
                <w:sz w:val="16"/>
                <w:szCs w:val="16"/>
                <w:lang w:val="es-ES_tradnl"/>
              </w:rPr>
            </w:pPr>
            <w:r w:rsidRPr="00A34388">
              <w:rPr>
                <w:sz w:val="16"/>
                <w:lang w:val="es-ES_tradnl"/>
              </w:rPr>
              <w:t>A lo largo del bienio se llevaron a cabo trabajos para lanzar tres nuevos cursos (gestión colectiva del derecho de autor y los derechos conexos, la P.I. y la salud pública y aspectos económicos de la P.I.).  Sin embargo, la elaboración del contenido y su adaptación para la enseñanza a distancia tardaron más de lo previsto.</w:t>
            </w:r>
          </w:p>
        </w:tc>
        <w:tc>
          <w:tcPr>
            <w:tcW w:w="682" w:type="pct"/>
            <w:shd w:val="clear" w:color="auto" w:fill="auto"/>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1A2871" w:rsidRPr="00A34388" w:rsidTr="00853209">
        <w:tc>
          <w:tcPr>
            <w:tcW w:w="855" w:type="pct"/>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idiomas en los que se imparten los cursos.</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11 </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11</w:t>
            </w:r>
          </w:p>
        </w:tc>
        <w:tc>
          <w:tcPr>
            <w:tcW w:w="897" w:type="pct"/>
            <w:shd w:val="clear" w:color="auto" w:fill="auto"/>
            <w:tcMar>
              <w:top w:w="110" w:type="dxa"/>
            </w:tcMar>
          </w:tcPr>
          <w:p w:rsidR="001A2871" w:rsidRPr="00A34388" w:rsidRDefault="001A2871" w:rsidP="00853209">
            <w:pPr>
              <w:pStyle w:val="Default"/>
              <w:rPr>
                <w:color w:val="auto"/>
                <w:sz w:val="16"/>
                <w:szCs w:val="16"/>
                <w:lang w:val="es-ES_tradnl"/>
              </w:rPr>
            </w:pPr>
            <w:r w:rsidRPr="00A34388">
              <w:rPr>
                <w:sz w:val="16"/>
                <w:lang w:val="es-ES_tradnl"/>
              </w:rPr>
              <w:t>11</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11</w:t>
            </w:r>
          </w:p>
        </w:tc>
        <w:tc>
          <w:tcPr>
            <w:tcW w:w="682" w:type="pct"/>
            <w:shd w:val="clear" w:color="auto" w:fill="auto"/>
            <w:tcMar>
              <w:top w:w="110" w:type="dxa"/>
            </w:tcMar>
          </w:tcPr>
          <w:p w:rsidR="001A2871" w:rsidRPr="00A34388" w:rsidRDefault="001A2871" w:rsidP="00853209">
            <w:pPr>
              <w:keepNext/>
              <w:keepLines/>
              <w:spacing w:after="120"/>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1A2871" w:rsidRPr="00A34388" w:rsidTr="00853209">
        <w:tc>
          <w:tcPr>
            <w:tcW w:w="855" w:type="pct"/>
            <w:tcBorders>
              <w:bottom w:val="single" w:sz="4" w:space="0" w:color="auto"/>
            </w:tcBorders>
            <w:shd w:val="clear" w:color="auto" w:fill="auto"/>
          </w:tcPr>
          <w:p w:rsidR="001A2871" w:rsidRPr="00A34388" w:rsidRDefault="001A2871" w:rsidP="00853209">
            <w:pPr>
              <w:ind w:firstLineChars="3" w:firstLine="5"/>
              <w:rPr>
                <w:rFonts w:cs="Arial"/>
                <w:sz w:val="16"/>
                <w:szCs w:val="16"/>
                <w:lang w:val="es-ES_tradnl"/>
              </w:rPr>
            </w:pPr>
            <w:r w:rsidRPr="00332758">
              <w:rPr>
                <w:sz w:val="16"/>
                <w:lang w:val="es-ES_tradnl"/>
              </w:rPr>
              <w:t>Número de becas para países en desarrollo, PMA y países con economías en transición.</w:t>
            </w:r>
          </w:p>
        </w:tc>
        <w:tc>
          <w:tcPr>
            <w:tcW w:w="914" w:type="pct"/>
            <w:tcBorders>
              <w:bottom w:val="single" w:sz="4" w:space="0" w:color="auto"/>
            </w:tcBorders>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920</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1.000 (2010/11)</w:t>
            </w:r>
          </w:p>
          <w:p w:rsidR="001A2871" w:rsidRPr="00A34388" w:rsidRDefault="001A2871" w:rsidP="00853209">
            <w:pPr>
              <w:rPr>
                <w:rFonts w:cs="Arial"/>
                <w:sz w:val="16"/>
                <w:szCs w:val="16"/>
                <w:lang w:val="es-ES_tradnl"/>
              </w:rPr>
            </w:pPr>
          </w:p>
        </w:tc>
        <w:tc>
          <w:tcPr>
            <w:tcW w:w="897"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1.400</w:t>
            </w:r>
          </w:p>
          <w:p w:rsidR="001A2871" w:rsidRPr="00A34388" w:rsidRDefault="001A2871" w:rsidP="00853209">
            <w:pPr>
              <w:rPr>
                <w:rFonts w:cs="Arial"/>
                <w:sz w:val="16"/>
                <w:szCs w:val="16"/>
                <w:lang w:val="es-ES_tradnl"/>
              </w:rPr>
            </w:pPr>
          </w:p>
        </w:tc>
        <w:tc>
          <w:tcPr>
            <w:tcW w:w="1652"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2.415 (bienio)</w:t>
            </w:r>
          </w:p>
          <w:p w:rsidR="001A2871" w:rsidRPr="00A34388" w:rsidRDefault="001A2871" w:rsidP="001A2871">
            <w:pPr>
              <w:pStyle w:val="ListParagraph"/>
              <w:numPr>
                <w:ilvl w:val="0"/>
                <w:numId w:val="36"/>
              </w:numPr>
              <w:rPr>
                <w:rFonts w:cs="Arial"/>
                <w:sz w:val="16"/>
                <w:szCs w:val="16"/>
                <w:lang w:val="es-ES_tradnl"/>
              </w:rPr>
            </w:pPr>
            <w:r w:rsidRPr="00A34388">
              <w:rPr>
                <w:sz w:val="16"/>
                <w:lang w:val="es-ES_tradnl"/>
              </w:rPr>
              <w:t>845 (2012)</w:t>
            </w:r>
          </w:p>
          <w:p w:rsidR="001A2871" w:rsidRPr="00A34388" w:rsidRDefault="001A2871" w:rsidP="001A2871">
            <w:pPr>
              <w:pStyle w:val="ListParagraph"/>
              <w:numPr>
                <w:ilvl w:val="0"/>
                <w:numId w:val="36"/>
              </w:numPr>
              <w:rPr>
                <w:rFonts w:cs="Arial"/>
                <w:lang w:val="es-ES_tradnl"/>
              </w:rPr>
            </w:pPr>
            <w:r w:rsidRPr="00A34388">
              <w:rPr>
                <w:sz w:val="16"/>
                <w:lang w:val="es-ES_tradnl"/>
              </w:rPr>
              <w:t>1.570 (2013)</w:t>
            </w:r>
          </w:p>
        </w:tc>
        <w:tc>
          <w:tcPr>
            <w:tcW w:w="682" w:type="pct"/>
            <w:tcBorders>
              <w:bottom w:val="single" w:sz="4" w:space="0" w:color="auto"/>
            </w:tcBorders>
            <w:shd w:val="clear" w:color="auto" w:fill="auto"/>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9508D" w:rsidTr="00853209">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9E5904">
            <w:pPr>
              <w:keepNext/>
              <w:keepLines/>
              <w:tabs>
                <w:tab w:val="left" w:pos="1452"/>
              </w:tabs>
              <w:spacing w:before="120" w:after="120"/>
              <w:ind w:left="1452" w:hanging="1452"/>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Fomento de las capacidades de gestión de P.I. para las empresas.</w:t>
            </w:r>
            <w:r w:rsidRPr="00332758">
              <w:rPr>
                <w:b/>
                <w:sz w:val="16"/>
                <w:lang w:val="es-ES_tradnl"/>
              </w:rPr>
              <w:t> </w:t>
            </w:r>
            <w:r w:rsidRPr="00332758">
              <w:rPr>
                <w:sz w:val="16"/>
                <w:lang w:val="es-ES_tradnl"/>
              </w:rPr>
              <w:t> </w:t>
            </w:r>
          </w:p>
        </w:tc>
      </w:tr>
      <w:tr w:rsidR="001A2871" w:rsidRPr="00A34388" w:rsidTr="00853209">
        <w:tc>
          <w:tcPr>
            <w:tcW w:w="855" w:type="pct"/>
            <w:tcBorders>
              <w:top w:val="single" w:sz="4" w:space="0" w:color="auto"/>
            </w:tcBorders>
            <w:shd w:val="clear" w:color="auto" w:fill="auto"/>
            <w:vAlign w:val="center"/>
          </w:tcPr>
          <w:p w:rsidR="001A2871" w:rsidRPr="00A34388" w:rsidRDefault="001A2871" w:rsidP="009E5904">
            <w:pPr>
              <w:keepNext/>
              <w:spacing w:after="40"/>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9E5904">
            <w:pPr>
              <w:keepNext/>
              <w:spacing w:after="40"/>
              <w:rPr>
                <w:rFonts w:cs="Arial"/>
                <w:b/>
                <w:bCs/>
                <w:color w:val="808080"/>
                <w:sz w:val="16"/>
                <w:szCs w:val="16"/>
                <w:lang w:val="es-ES_tradnl"/>
              </w:rPr>
            </w:pPr>
            <w:r w:rsidRPr="00332758">
              <w:rPr>
                <w:b/>
                <w:sz w:val="16"/>
                <w:lang w:val="es-ES_tradnl"/>
              </w:rPr>
              <w:t>Referencia</w:t>
            </w:r>
          </w:p>
        </w:tc>
        <w:tc>
          <w:tcPr>
            <w:tcW w:w="897" w:type="pct"/>
            <w:tcBorders>
              <w:top w:val="single" w:sz="4" w:space="0" w:color="auto"/>
            </w:tcBorders>
            <w:shd w:val="clear" w:color="auto" w:fill="auto"/>
            <w:tcMar>
              <w:top w:w="110" w:type="dxa"/>
            </w:tcMar>
            <w:vAlign w:val="center"/>
          </w:tcPr>
          <w:p w:rsidR="001A2871" w:rsidRPr="00A34388" w:rsidRDefault="001A2871" w:rsidP="009E5904">
            <w:pPr>
              <w:keepNext/>
              <w:spacing w:after="40"/>
              <w:rPr>
                <w:rFonts w:cs="Arial"/>
                <w:b/>
                <w:color w:val="808080"/>
                <w:sz w:val="16"/>
                <w:szCs w:val="16"/>
                <w:lang w:val="es-ES_tradnl"/>
              </w:rPr>
            </w:pPr>
            <w:r w:rsidRPr="00332758">
              <w:rPr>
                <w:b/>
                <w:sz w:val="16"/>
                <w:lang w:val="es-ES_tradnl"/>
              </w:rPr>
              <w:t>Objetivos</w:t>
            </w:r>
          </w:p>
        </w:tc>
        <w:tc>
          <w:tcPr>
            <w:tcW w:w="1652" w:type="pct"/>
            <w:tcBorders>
              <w:top w:val="single" w:sz="4" w:space="0" w:color="auto"/>
            </w:tcBorders>
            <w:shd w:val="clear" w:color="auto" w:fill="FFFFFF"/>
            <w:tcMar>
              <w:top w:w="110" w:type="dxa"/>
            </w:tcMar>
            <w:vAlign w:val="center"/>
          </w:tcPr>
          <w:p w:rsidR="001A2871" w:rsidRPr="00A34388" w:rsidRDefault="001A2871" w:rsidP="009E5904">
            <w:pPr>
              <w:keepNext/>
              <w:spacing w:after="40"/>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9E5904">
            <w:pPr>
              <w:keepNext/>
              <w:keepLines/>
              <w:spacing w:after="40"/>
              <w:jc w:val="center"/>
              <w:rPr>
                <w:rFonts w:cs="Arial"/>
                <w:b/>
                <w:bCs/>
                <w:sz w:val="16"/>
                <w:szCs w:val="16"/>
                <w:lang w:val="es-ES_tradnl"/>
              </w:rPr>
            </w:pPr>
            <w:r w:rsidRPr="00332758">
              <w:rPr>
                <w:b/>
                <w:sz w:val="16"/>
                <w:lang w:val="es-ES_tradnl"/>
              </w:rPr>
              <w:t>Clave de colores</w:t>
            </w:r>
          </w:p>
        </w:tc>
      </w:tr>
      <w:tr w:rsidR="001A2871" w:rsidRPr="00A34388" w:rsidTr="00853209">
        <w:tc>
          <w:tcPr>
            <w:tcW w:w="855" w:type="pct"/>
            <w:shd w:val="clear" w:color="auto" w:fill="FFFFFF"/>
          </w:tcPr>
          <w:p w:rsidR="001A2871" w:rsidRPr="00A34388" w:rsidRDefault="001A2871" w:rsidP="009E5904">
            <w:pPr>
              <w:keepNext/>
              <w:ind w:firstLineChars="3" w:firstLine="5"/>
              <w:rPr>
                <w:rFonts w:cs="Arial"/>
                <w:sz w:val="16"/>
                <w:szCs w:val="16"/>
                <w:lang w:val="es-ES_tradnl"/>
              </w:rPr>
            </w:pPr>
            <w:r w:rsidRPr="00332758">
              <w:rPr>
                <w:sz w:val="16"/>
                <w:lang w:val="es-ES_tradnl"/>
              </w:rPr>
              <w:t>Porcentaje de participantes satisfechos con la formación recibida.</w:t>
            </w:r>
          </w:p>
        </w:tc>
        <w:tc>
          <w:tcPr>
            <w:tcW w:w="914" w:type="pct"/>
            <w:shd w:val="clear" w:color="auto" w:fill="auto"/>
          </w:tcPr>
          <w:p w:rsidR="001A2871" w:rsidRPr="00A34388" w:rsidRDefault="001A2871" w:rsidP="009E5904">
            <w:pPr>
              <w:keepNext/>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80%</w:t>
            </w:r>
          </w:p>
          <w:p w:rsidR="001A2871" w:rsidRPr="00A34388" w:rsidRDefault="001A2871" w:rsidP="009E5904">
            <w:pPr>
              <w:keepNext/>
              <w:rPr>
                <w:rFonts w:cs="Arial"/>
                <w:i/>
                <w:color w:val="002060"/>
                <w:sz w:val="8"/>
                <w:szCs w:val="8"/>
                <w:lang w:val="es-ES_tradnl"/>
              </w:rPr>
            </w:pPr>
          </w:p>
          <w:p w:rsidR="001A2871" w:rsidRPr="00A34388" w:rsidRDefault="001A2871" w:rsidP="009E5904">
            <w:pPr>
              <w:keepNext/>
              <w:rPr>
                <w:rFonts w:cs="Arial"/>
                <w:sz w:val="16"/>
                <w:szCs w:val="16"/>
                <w:lang w:val="es-ES_tradnl"/>
              </w:rPr>
            </w:pPr>
            <w:r w:rsidRPr="00A34388">
              <w:rPr>
                <w:i/>
                <w:sz w:val="16"/>
                <w:lang w:val="es-ES_tradnl"/>
              </w:rPr>
              <w:t>Referencia original (Presup. por prog. 2012/13):</w:t>
            </w:r>
            <w:r w:rsidRPr="00A34388">
              <w:rPr>
                <w:sz w:val="16"/>
                <w:lang w:val="es-ES_tradnl"/>
              </w:rPr>
              <w:t xml:space="preserve">  80%</w:t>
            </w:r>
          </w:p>
        </w:tc>
        <w:tc>
          <w:tcPr>
            <w:tcW w:w="897" w:type="pct"/>
            <w:shd w:val="clear" w:color="auto" w:fill="auto"/>
            <w:tcMar>
              <w:top w:w="110" w:type="dxa"/>
            </w:tcMar>
          </w:tcPr>
          <w:p w:rsidR="001A2871" w:rsidRPr="00A34388" w:rsidRDefault="001A2871" w:rsidP="009E5904">
            <w:pPr>
              <w:pStyle w:val="Default"/>
              <w:keepNext/>
              <w:rPr>
                <w:color w:val="auto"/>
                <w:sz w:val="16"/>
                <w:szCs w:val="16"/>
                <w:lang w:val="es-ES_tradnl"/>
              </w:rPr>
            </w:pPr>
            <w:r w:rsidRPr="00A34388">
              <w:rPr>
                <w:sz w:val="16"/>
                <w:lang w:val="es-ES_tradnl"/>
              </w:rPr>
              <w:t xml:space="preserve">90% </w:t>
            </w:r>
          </w:p>
          <w:p w:rsidR="001A2871" w:rsidRPr="00A34388" w:rsidRDefault="001A2871" w:rsidP="009E5904">
            <w:pPr>
              <w:keepNext/>
              <w:rPr>
                <w:rFonts w:cs="Arial"/>
                <w:sz w:val="16"/>
                <w:szCs w:val="16"/>
                <w:lang w:val="es-ES_tradnl"/>
              </w:rPr>
            </w:pPr>
          </w:p>
        </w:tc>
        <w:tc>
          <w:tcPr>
            <w:tcW w:w="1652" w:type="pct"/>
            <w:shd w:val="clear" w:color="auto" w:fill="FFFFFF"/>
            <w:tcMar>
              <w:top w:w="110" w:type="dxa"/>
            </w:tcMar>
          </w:tcPr>
          <w:p w:rsidR="001A2871" w:rsidRPr="00A34388" w:rsidRDefault="001A2871" w:rsidP="009E5904">
            <w:pPr>
              <w:keepNext/>
              <w:rPr>
                <w:rFonts w:cs="Arial"/>
                <w:sz w:val="16"/>
                <w:szCs w:val="16"/>
                <w:lang w:val="es-ES_tradnl"/>
              </w:rPr>
            </w:pPr>
            <w:r w:rsidRPr="00A34388">
              <w:rPr>
                <w:sz w:val="16"/>
                <w:lang w:val="es-ES_tradnl"/>
              </w:rPr>
              <w:t>100%</w:t>
            </w:r>
          </w:p>
        </w:tc>
        <w:tc>
          <w:tcPr>
            <w:tcW w:w="682" w:type="pct"/>
            <w:shd w:val="clear" w:color="auto" w:fill="auto"/>
            <w:tcMar>
              <w:top w:w="110" w:type="dxa"/>
            </w:tcMar>
          </w:tcPr>
          <w:p w:rsidR="001A2871" w:rsidRPr="00A34388" w:rsidRDefault="001A2871" w:rsidP="009E5904">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FFFFFF"/>
          </w:tcPr>
          <w:p w:rsidR="001A2871" w:rsidRPr="00A34388" w:rsidRDefault="001A2871" w:rsidP="00853209">
            <w:pPr>
              <w:ind w:firstLineChars="3" w:firstLine="5"/>
              <w:rPr>
                <w:rFonts w:cs="Arial"/>
                <w:sz w:val="16"/>
                <w:szCs w:val="16"/>
                <w:lang w:val="es-ES_tradnl"/>
              </w:rPr>
            </w:pPr>
            <w:r w:rsidRPr="00332758">
              <w:rPr>
                <w:sz w:val="16"/>
                <w:lang w:val="es-ES_tradnl"/>
              </w:rPr>
              <w:t>Porcentaje de estudiantes que utilizan en la práctica las capacidades adquiridas en la formación.</w:t>
            </w:r>
          </w:p>
        </w:tc>
        <w:tc>
          <w:tcPr>
            <w:tcW w:w="914"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70%</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r w:rsidR="007E4D96" w:rsidRPr="00A34388">
              <w:rPr>
                <w:sz w:val="16"/>
                <w:lang w:val="es-ES_tradnl"/>
              </w:rPr>
              <w:t xml:space="preserve"> </w:t>
            </w:r>
            <w:r w:rsidRPr="00A34388">
              <w:rPr>
                <w:sz w:val="16"/>
                <w:lang w:val="es-ES_tradnl"/>
              </w:rPr>
              <w:t>60%</w:t>
            </w:r>
          </w:p>
        </w:tc>
        <w:tc>
          <w:tcPr>
            <w:tcW w:w="897" w:type="pct"/>
            <w:shd w:val="clear" w:color="auto" w:fill="auto"/>
            <w:tcMar>
              <w:top w:w="110" w:type="dxa"/>
            </w:tcMar>
          </w:tcPr>
          <w:p w:rsidR="001A2871" w:rsidRPr="00A34388" w:rsidRDefault="001A2871" w:rsidP="00853209">
            <w:pPr>
              <w:pStyle w:val="Default"/>
              <w:rPr>
                <w:color w:val="auto"/>
                <w:lang w:val="es-ES_tradnl"/>
              </w:rPr>
            </w:pPr>
            <w:r w:rsidRPr="00A34388">
              <w:rPr>
                <w:sz w:val="16"/>
                <w:lang w:val="es-ES_tradnl"/>
              </w:rPr>
              <w:t xml:space="preserve">70% </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100%</w:t>
            </w:r>
          </w:p>
        </w:tc>
        <w:tc>
          <w:tcPr>
            <w:tcW w:w="682" w:type="pct"/>
            <w:shd w:val="clear" w:color="auto" w:fill="auto"/>
            <w:tcMar>
              <w:top w:w="110" w:type="dxa"/>
            </w:tcMar>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c>
          <w:tcPr>
            <w:tcW w:w="855" w:type="pct"/>
            <w:shd w:val="clear" w:color="auto" w:fill="FFFFFF"/>
          </w:tcPr>
          <w:p w:rsidR="001A2871" w:rsidRPr="00A34388" w:rsidRDefault="001A2871" w:rsidP="00853209">
            <w:pPr>
              <w:ind w:firstLineChars="3" w:firstLine="5"/>
              <w:rPr>
                <w:rFonts w:cs="Arial"/>
                <w:sz w:val="16"/>
                <w:szCs w:val="16"/>
                <w:lang w:val="es-ES_tradnl"/>
              </w:rPr>
            </w:pPr>
            <w:r w:rsidRPr="00332758">
              <w:rPr>
                <w:sz w:val="16"/>
                <w:lang w:val="es-ES_tradnl"/>
              </w:rPr>
              <w:t>Número de peticiones de cursos.</w:t>
            </w:r>
          </w:p>
        </w:tc>
        <w:tc>
          <w:tcPr>
            <w:tcW w:w="914" w:type="pct"/>
            <w:shd w:val="clear" w:color="auto" w:fill="auto"/>
          </w:tcPr>
          <w:p w:rsidR="001A2871" w:rsidRPr="00A34388" w:rsidRDefault="001A2871" w:rsidP="00853209">
            <w:pPr>
              <w:pStyle w:val="Default"/>
              <w:rPr>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Dos cursos por año.</w:t>
            </w:r>
          </w:p>
          <w:p w:rsidR="001A2871" w:rsidRPr="00A34388" w:rsidRDefault="001A2871" w:rsidP="00853209">
            <w:pPr>
              <w:rPr>
                <w:rFonts w:cs="Arial"/>
                <w:i/>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r w:rsidR="007E4D96" w:rsidRPr="00A34388">
              <w:rPr>
                <w:sz w:val="16"/>
                <w:lang w:val="es-ES_tradnl"/>
              </w:rPr>
              <w:t xml:space="preserve"> </w:t>
            </w:r>
            <w:r w:rsidRPr="00A34388">
              <w:rPr>
                <w:sz w:val="16"/>
                <w:lang w:val="es-ES_tradnl"/>
              </w:rPr>
              <w:t>Dos cursos por año.</w:t>
            </w:r>
          </w:p>
          <w:p w:rsidR="001A2871" w:rsidRPr="00A34388" w:rsidRDefault="001A2871" w:rsidP="00853209">
            <w:pPr>
              <w:rPr>
                <w:rFonts w:cs="Arial"/>
                <w:sz w:val="16"/>
                <w:szCs w:val="16"/>
                <w:lang w:val="es-ES_tradnl"/>
              </w:rPr>
            </w:pPr>
          </w:p>
        </w:tc>
        <w:tc>
          <w:tcPr>
            <w:tcW w:w="897"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Tres cursos por año (en 2012/13).</w:t>
            </w:r>
          </w:p>
        </w:tc>
        <w:tc>
          <w:tcPr>
            <w:tcW w:w="16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Dos en 2012;  el Programa de cursos para directivos se interrumpió en 2013 y, por lo tanto, no se celebraron nuevos cursos.</w:t>
            </w:r>
          </w:p>
        </w:tc>
        <w:tc>
          <w:tcPr>
            <w:tcW w:w="682" w:type="pct"/>
            <w:shd w:val="clear" w:color="auto" w:fill="auto"/>
            <w:tcMar>
              <w:top w:w="110" w:type="dxa"/>
            </w:tcMar>
          </w:tcPr>
          <w:p w:rsidR="001A2871" w:rsidRPr="00A34388" w:rsidRDefault="001A2871" w:rsidP="00853209">
            <w:pPr>
              <w:keepNext/>
              <w:keepLines/>
              <w:jc w:val="center"/>
              <w:rPr>
                <w:rFonts w:cs="Arial"/>
                <w:bCs/>
                <w:color w:val="333333"/>
                <w:sz w:val="16"/>
                <w:szCs w:val="16"/>
                <w:lang w:val="es-ES_tradnl"/>
              </w:rPr>
            </w:pPr>
            <w:r w:rsidRPr="00A34388">
              <w:rPr>
                <w:rStyle w:val="Style5"/>
                <w:rFonts w:ascii="Arial" w:hAnsi="Arial"/>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bl>
    <w:p w:rsidR="001A2871" w:rsidRPr="00A34388" w:rsidRDefault="001A2871" w:rsidP="001A2871">
      <w:pPr>
        <w:rPr>
          <w:rFonts w:cs="Arial"/>
          <w:lang w:val="es-ES_tradnl"/>
        </w:rPr>
      </w:pPr>
    </w:p>
    <w:p w:rsidR="001A2871" w:rsidRPr="00A34388" w:rsidRDefault="001A2871" w:rsidP="001A2871">
      <w:pPr>
        <w:rPr>
          <w:rFonts w:cs="Arial"/>
          <w:lang w:val="es-ES_tradnl"/>
        </w:rPr>
      </w:pP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Cs w:val="20"/>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(en miles de francos suizos)</w:t>
      </w:r>
    </w:p>
    <w:p w:rsidR="001A2871" w:rsidRPr="00A34388" w:rsidRDefault="001A2871" w:rsidP="001A2871">
      <w:pPr>
        <w:keepNext/>
        <w:keepLines/>
        <w:rPr>
          <w:rFonts w:cs="Arial"/>
          <w:szCs w:val="20"/>
          <w:lang w:val="es-ES_tradnl"/>
        </w:rPr>
      </w:pPr>
    </w:p>
    <w:tbl>
      <w:tblPr>
        <w:tblW w:w="9361" w:type="dxa"/>
        <w:tblInd w:w="103" w:type="dxa"/>
        <w:tblLook w:val="04A0" w:firstRow="1" w:lastRow="0" w:firstColumn="1" w:lastColumn="0" w:noHBand="0" w:noVBand="1"/>
      </w:tblPr>
      <w:tblGrid>
        <w:gridCol w:w="517"/>
        <w:gridCol w:w="4166"/>
        <w:gridCol w:w="1559"/>
        <w:gridCol w:w="1559"/>
        <w:gridCol w:w="1560"/>
      </w:tblGrid>
      <w:tr w:rsidR="001A2871" w:rsidRPr="00A34388" w:rsidTr="00853209">
        <w:trPr>
          <w:trHeight w:val="801"/>
        </w:trPr>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rPr>
          <w:trHeight w:val="816"/>
        </w:trPr>
        <w:tc>
          <w:tcPr>
            <w:tcW w:w="51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rPr>
                <w:rFonts w:cs="Arial"/>
                <w:color w:val="808080"/>
                <w:sz w:val="16"/>
                <w:szCs w:val="16"/>
                <w:lang w:val="es-ES_tradnl"/>
              </w:rPr>
            </w:pPr>
            <w:r w:rsidRPr="00332758">
              <w:rPr>
                <w:sz w:val="16"/>
                <w:lang w:val="es-ES_tradnl"/>
              </w:rPr>
              <w:t>III.2</w:t>
            </w:r>
          </w:p>
        </w:tc>
        <w:tc>
          <w:tcPr>
            <w:tcW w:w="4166"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6.387</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8.954 </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8.769 </w:t>
            </w:r>
          </w:p>
        </w:tc>
      </w:tr>
      <w:tr w:rsidR="001A2871" w:rsidRPr="00A34388" w:rsidTr="00853209">
        <w:trPr>
          <w:trHeight w:val="408"/>
        </w:trPr>
        <w:tc>
          <w:tcPr>
            <w:tcW w:w="51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rPr>
                <w:rFonts w:cs="Arial"/>
                <w:color w:val="808080"/>
                <w:sz w:val="16"/>
                <w:szCs w:val="16"/>
                <w:lang w:val="es-ES_tradnl"/>
              </w:rPr>
            </w:pPr>
            <w:r w:rsidRPr="00332758">
              <w:rPr>
                <w:sz w:val="16"/>
                <w:lang w:val="es-ES_tradnl"/>
              </w:rPr>
              <w:t>III.4</w:t>
            </w:r>
          </w:p>
        </w:tc>
        <w:tc>
          <w:tcPr>
            <w:tcW w:w="4166" w:type="dxa"/>
            <w:tcBorders>
              <w:top w:val="nil"/>
              <w:left w:val="nil"/>
              <w:bottom w:val="nil"/>
              <w:right w:val="nil"/>
            </w:tcBorders>
            <w:shd w:val="clear" w:color="auto" w:fill="auto"/>
            <w:hideMark/>
          </w:tcPr>
          <w:p w:rsidR="001A2871" w:rsidRPr="00A34388" w:rsidRDefault="001A2871" w:rsidP="00853209">
            <w:pPr>
              <w:spacing w:before="120"/>
              <w:rPr>
                <w:rFonts w:cs="Arial"/>
                <w:color w:val="808080"/>
                <w:sz w:val="16"/>
                <w:szCs w:val="16"/>
                <w:lang w:val="es-ES_tradnl"/>
              </w:rPr>
            </w:pPr>
            <w:r w:rsidRPr="00332758">
              <w:rPr>
                <w:sz w:val="16"/>
                <w:lang w:val="es-ES_tradnl"/>
              </w:rPr>
              <w:t>Mayor facilidad de acceso a la formación en P.I.</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3.222</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2.511</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2.393 </w:t>
            </w:r>
          </w:p>
        </w:tc>
      </w:tr>
      <w:tr w:rsidR="001A2871" w:rsidRPr="00A34388" w:rsidTr="00853209">
        <w:trPr>
          <w:trHeight w:val="408"/>
        </w:trPr>
        <w:tc>
          <w:tcPr>
            <w:tcW w:w="51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III.5</w:t>
            </w:r>
          </w:p>
        </w:tc>
        <w:tc>
          <w:tcPr>
            <w:tcW w:w="4166"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Fomento de las capacidades de gestión de P.I. para las empresas. </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723</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 xml:space="preserve">448 </w:t>
            </w:r>
          </w:p>
        </w:tc>
        <w:tc>
          <w:tcPr>
            <w:tcW w:w="1560"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 xml:space="preserve">379 </w:t>
            </w:r>
          </w:p>
        </w:tc>
      </w:tr>
      <w:tr w:rsidR="001A2871" w:rsidRPr="00A34388" w:rsidTr="00853209">
        <w:trPr>
          <w:trHeight w:val="454"/>
        </w:trPr>
        <w:tc>
          <w:tcPr>
            <w:tcW w:w="51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 </w:t>
            </w:r>
          </w:p>
        </w:tc>
        <w:tc>
          <w:tcPr>
            <w:tcW w:w="4166" w:type="dxa"/>
            <w:tcBorders>
              <w:top w:val="nil"/>
              <w:left w:val="nil"/>
              <w:bottom w:val="single" w:sz="4" w:space="0" w:color="auto"/>
              <w:right w:val="nil"/>
            </w:tcBorders>
            <w:shd w:val="clear" w:color="000000" w:fill="CCFFFF"/>
            <w:noWrap/>
            <w:vAlign w:val="center"/>
            <w:hideMark/>
          </w:tcPr>
          <w:p w:rsidR="001A2871" w:rsidRPr="00A34388" w:rsidRDefault="001A2871" w:rsidP="00853209">
            <w:pPr>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jc w:val="right"/>
              <w:rPr>
                <w:rFonts w:cs="Arial"/>
                <w:b/>
                <w:bCs/>
                <w:color w:val="808080"/>
                <w:sz w:val="16"/>
                <w:szCs w:val="16"/>
                <w:lang w:val="es-ES_tradnl"/>
              </w:rPr>
            </w:pPr>
            <w:r w:rsidRPr="00332758">
              <w:rPr>
                <w:b/>
                <w:sz w:val="16"/>
                <w:lang w:val="es-ES_tradnl"/>
              </w:rPr>
              <w:t>10.332</w:t>
            </w:r>
          </w:p>
        </w:tc>
        <w:tc>
          <w:tcPr>
            <w:tcW w:w="1559"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jc w:val="right"/>
              <w:rPr>
                <w:rFonts w:cs="Arial"/>
                <w:b/>
                <w:bCs/>
                <w:color w:val="808080"/>
                <w:sz w:val="16"/>
                <w:szCs w:val="16"/>
                <w:lang w:val="es-ES_tradnl"/>
              </w:rPr>
            </w:pPr>
            <w:r w:rsidRPr="00332758">
              <w:rPr>
                <w:b/>
                <w:sz w:val="16"/>
                <w:lang w:val="es-ES_tradnl"/>
              </w:rPr>
              <w:t>11.912</w:t>
            </w:r>
          </w:p>
        </w:tc>
        <w:tc>
          <w:tcPr>
            <w:tcW w:w="1560"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jc w:val="right"/>
              <w:rPr>
                <w:rFonts w:cs="Arial"/>
                <w:b/>
                <w:bCs/>
                <w:sz w:val="16"/>
                <w:szCs w:val="16"/>
                <w:lang w:val="es-ES_tradnl"/>
              </w:rPr>
            </w:pPr>
            <w:r w:rsidRPr="00332758">
              <w:rPr>
                <w:b/>
                <w:sz w:val="16"/>
                <w:lang w:val="es-ES_tradnl"/>
              </w:rPr>
              <w:t>11.540</w:t>
            </w:r>
          </w:p>
        </w:tc>
      </w:tr>
    </w:tbl>
    <w:p w:rsidR="001A2871" w:rsidRPr="00A34388" w:rsidRDefault="001A2871" w:rsidP="00391D6B">
      <w:pPr>
        <w:rPr>
          <w:lang w:val="es-ES_tradnl"/>
        </w:rPr>
      </w:pPr>
    </w:p>
    <w:p w:rsidR="001A2871" w:rsidRPr="00A34388" w:rsidRDefault="001A2871" w:rsidP="00391D6B">
      <w:pPr>
        <w:rPr>
          <w:lang w:val="es-ES_tradnl"/>
        </w:rPr>
      </w:pPr>
    </w:p>
    <w:p w:rsidR="009E5904" w:rsidRDefault="009E5904">
      <w:pPr>
        <w:rPr>
          <w:rFonts w:cs="Arial"/>
          <w:color w:val="000000"/>
          <w:szCs w:val="18"/>
          <w:lang w:val="es-ES_tradnl"/>
        </w:rPr>
      </w:pPr>
      <w:r>
        <w:rPr>
          <w:color w:val="000000"/>
          <w:lang w:val="es-ES_tradnl"/>
        </w:rPr>
        <w:br w:type="page"/>
      </w: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lastRenderedPageBreak/>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(en miles de francos suizos)</w:t>
      </w:r>
    </w:p>
    <w:p w:rsidR="001A2871" w:rsidRPr="00A34388" w:rsidRDefault="001A2871" w:rsidP="00391D6B">
      <w:pPr>
        <w:rPr>
          <w:lang w:val="es-ES_tradnl"/>
        </w:rPr>
      </w:pPr>
    </w:p>
    <w:tbl>
      <w:tblPr>
        <w:tblW w:w="4889" w:type="pct"/>
        <w:tblInd w:w="108" w:type="dxa"/>
        <w:tblLook w:val="0000" w:firstRow="0" w:lastRow="0" w:firstColumn="0" w:lastColumn="0" w:noHBand="0" w:noVBand="0"/>
      </w:tblPr>
      <w:tblGrid>
        <w:gridCol w:w="2627"/>
        <w:gridCol w:w="1684"/>
        <w:gridCol w:w="1684"/>
        <w:gridCol w:w="1684"/>
        <w:gridCol w:w="1680"/>
      </w:tblGrid>
      <w:tr w:rsidR="001A2871" w:rsidRPr="00A34388" w:rsidTr="00853209">
        <w:tc>
          <w:tcPr>
            <w:tcW w:w="1286" w:type="pct"/>
            <w:tcBorders>
              <w:top w:val="single" w:sz="4" w:space="0" w:color="auto"/>
              <w:left w:val="single" w:sz="4" w:space="0" w:color="auto"/>
              <w:bottom w:val="single" w:sz="4" w:space="0" w:color="auto"/>
              <w:right w:val="single" w:sz="4" w:space="0" w:color="auto"/>
            </w:tcBorders>
            <w:shd w:val="clear" w:color="auto" w:fill="CCFFFF"/>
            <w:noWrap/>
            <w:vAlign w:val="center"/>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929" w:type="pct"/>
            <w:tcBorders>
              <w:top w:val="single" w:sz="4" w:space="0" w:color="auto"/>
              <w:left w:val="nil"/>
              <w:bottom w:val="nil"/>
              <w:right w:val="single" w:sz="4" w:space="0" w:color="auto"/>
            </w:tcBorders>
            <w:shd w:val="clear" w:color="auto" w:fill="CCFFFF"/>
            <w:vAlign w:val="center"/>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929" w:type="pct"/>
            <w:tcBorders>
              <w:top w:val="single" w:sz="4" w:space="0" w:color="auto"/>
              <w:left w:val="nil"/>
              <w:bottom w:val="nil"/>
              <w:right w:val="single" w:sz="4" w:space="0" w:color="auto"/>
            </w:tcBorders>
            <w:shd w:val="clear" w:color="auto" w:fill="CCFFFF"/>
            <w:vAlign w:val="center"/>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929" w:type="pct"/>
            <w:tcBorders>
              <w:top w:val="single" w:sz="4" w:space="0" w:color="auto"/>
              <w:left w:val="nil"/>
              <w:bottom w:val="nil"/>
              <w:right w:val="single" w:sz="4" w:space="0" w:color="auto"/>
            </w:tcBorders>
            <w:shd w:val="clear" w:color="auto" w:fill="CCFFFF"/>
            <w:vAlign w:val="center"/>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Gastos en 2012</w:t>
            </w:r>
          </w:p>
        </w:tc>
        <w:tc>
          <w:tcPr>
            <w:tcW w:w="929" w:type="pct"/>
            <w:tcBorders>
              <w:top w:val="single" w:sz="4" w:space="0" w:color="auto"/>
              <w:left w:val="nil"/>
              <w:bottom w:val="nil"/>
              <w:right w:val="single" w:sz="4" w:space="0" w:color="auto"/>
            </w:tcBorders>
            <w:shd w:val="clear" w:color="auto" w:fill="CCFFFF"/>
            <w:vAlign w:val="center"/>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c>
          <w:tcPr>
            <w:tcW w:w="1286" w:type="pct"/>
            <w:tcBorders>
              <w:top w:val="nil"/>
              <w:left w:val="single" w:sz="4" w:space="0" w:color="auto"/>
              <w:bottom w:val="single" w:sz="4" w:space="0" w:color="auto"/>
              <w:right w:val="single" w:sz="4" w:space="0" w:color="auto"/>
            </w:tcBorders>
            <w:shd w:val="clear" w:color="auto" w:fill="auto"/>
            <w:noWrap/>
            <w:vAlign w:val="center"/>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de personal </w:t>
            </w:r>
          </w:p>
        </w:tc>
        <w:tc>
          <w:tcPr>
            <w:tcW w:w="929" w:type="pct"/>
            <w:tcBorders>
              <w:top w:val="single" w:sz="4" w:space="0" w:color="auto"/>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4.755</w:t>
            </w:r>
          </w:p>
        </w:tc>
        <w:tc>
          <w:tcPr>
            <w:tcW w:w="929" w:type="pct"/>
            <w:tcBorders>
              <w:top w:val="single" w:sz="4" w:space="0" w:color="auto"/>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6.750</w:t>
            </w:r>
          </w:p>
        </w:tc>
        <w:tc>
          <w:tcPr>
            <w:tcW w:w="929" w:type="pct"/>
            <w:tcBorders>
              <w:top w:val="single" w:sz="4" w:space="0" w:color="auto"/>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6.750</w:t>
            </w:r>
          </w:p>
        </w:tc>
        <w:tc>
          <w:tcPr>
            <w:tcW w:w="929" w:type="pct"/>
            <w:tcBorders>
              <w:top w:val="single" w:sz="4" w:space="0" w:color="auto"/>
              <w:left w:val="nil"/>
              <w:bottom w:val="single" w:sz="4" w:space="0" w:color="auto"/>
              <w:right w:val="single" w:sz="4" w:space="0" w:color="auto"/>
            </w:tcBorders>
            <w:shd w:val="clear" w:color="auto" w:fill="auto"/>
            <w:vAlign w:val="center"/>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c>
          <w:tcPr>
            <w:tcW w:w="1286" w:type="pct"/>
            <w:tcBorders>
              <w:top w:val="nil"/>
              <w:left w:val="single" w:sz="4" w:space="0" w:color="auto"/>
              <w:bottom w:val="single" w:sz="4" w:space="0" w:color="auto"/>
              <w:right w:val="single" w:sz="4" w:space="0" w:color="auto"/>
            </w:tcBorders>
            <w:shd w:val="clear" w:color="auto" w:fill="auto"/>
            <w:noWrap/>
            <w:vAlign w:val="center"/>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no relativos al personal </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5.577</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5.162</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4.790</w:t>
            </w:r>
          </w:p>
        </w:tc>
        <w:tc>
          <w:tcPr>
            <w:tcW w:w="929" w:type="pct"/>
            <w:tcBorders>
              <w:top w:val="nil"/>
              <w:left w:val="nil"/>
              <w:bottom w:val="single" w:sz="4" w:space="0" w:color="auto"/>
              <w:right w:val="single" w:sz="4" w:space="0" w:color="auto"/>
            </w:tcBorders>
            <w:shd w:val="clear" w:color="auto" w:fill="auto"/>
            <w:vAlign w:val="center"/>
          </w:tcPr>
          <w:p w:rsidR="001A2871" w:rsidRPr="00332758" w:rsidRDefault="001A2871" w:rsidP="00853209">
            <w:pPr>
              <w:spacing w:before="120" w:after="120"/>
              <w:jc w:val="center"/>
              <w:rPr>
                <w:rFonts w:cs="Arial"/>
                <w:sz w:val="16"/>
                <w:szCs w:val="16"/>
                <w:lang w:val="es-ES_tradnl"/>
              </w:rPr>
            </w:pPr>
            <w:r w:rsidRPr="00332758">
              <w:rPr>
                <w:sz w:val="16"/>
                <w:lang w:val="es-ES_tradnl"/>
              </w:rPr>
              <w:t>93%</w:t>
            </w:r>
          </w:p>
        </w:tc>
      </w:tr>
      <w:tr w:rsidR="001A2871" w:rsidRPr="00A34388" w:rsidTr="00853209">
        <w:tc>
          <w:tcPr>
            <w:tcW w:w="1286" w:type="pct"/>
            <w:tcBorders>
              <w:top w:val="nil"/>
              <w:left w:val="single" w:sz="4" w:space="0" w:color="auto"/>
              <w:bottom w:val="single" w:sz="4" w:space="0" w:color="auto"/>
              <w:right w:val="single" w:sz="4" w:space="0" w:color="auto"/>
            </w:tcBorders>
            <w:shd w:val="clear" w:color="auto" w:fill="auto"/>
            <w:noWrap/>
            <w:vAlign w:val="center"/>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10.332</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11.912</w:t>
            </w:r>
          </w:p>
        </w:tc>
        <w:tc>
          <w:tcPr>
            <w:tcW w:w="929" w:type="pct"/>
            <w:tcBorders>
              <w:top w:val="nil"/>
              <w:left w:val="nil"/>
              <w:bottom w:val="single" w:sz="4" w:space="0" w:color="auto"/>
              <w:right w:val="single" w:sz="4" w:space="0" w:color="auto"/>
            </w:tcBorders>
            <w:shd w:val="clear" w:color="auto" w:fill="auto"/>
            <w:vAlign w:val="center"/>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11.540</w:t>
            </w:r>
          </w:p>
        </w:tc>
        <w:tc>
          <w:tcPr>
            <w:tcW w:w="929" w:type="pct"/>
            <w:tcBorders>
              <w:top w:val="nil"/>
              <w:left w:val="nil"/>
              <w:bottom w:val="single" w:sz="4" w:space="0" w:color="auto"/>
              <w:right w:val="single" w:sz="4" w:space="0" w:color="auto"/>
            </w:tcBorders>
            <w:shd w:val="clear" w:color="auto" w:fill="auto"/>
            <w:vAlign w:val="center"/>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97%</w:t>
            </w:r>
          </w:p>
        </w:tc>
      </w:tr>
    </w:tbl>
    <w:p w:rsidR="001A2871" w:rsidRPr="00A34388" w:rsidRDefault="001A2871" w:rsidP="001A2871">
      <w:pPr>
        <w:keepNext/>
        <w:keepLines/>
        <w:rPr>
          <w:rFonts w:cs="Arial"/>
          <w:sz w:val="22"/>
          <w:szCs w:val="22"/>
          <w:lang w:val="es-ES_tradnl"/>
        </w:rPr>
      </w:pPr>
    </w:p>
    <w:p w:rsidR="001A2871" w:rsidRPr="00A34388" w:rsidRDefault="001A2871" w:rsidP="001A2871">
      <w:pPr>
        <w:keepNext/>
        <w:keepLines/>
        <w:autoSpaceDE w:val="0"/>
        <w:autoSpaceDN w:val="0"/>
        <w:adjustRightInd w:val="0"/>
        <w:rPr>
          <w:sz w:val="16"/>
          <w:szCs w:val="16"/>
          <w:lang w:val="es-ES_tradnl"/>
        </w:rPr>
      </w:pPr>
      <w:r w:rsidRPr="00332758">
        <w:rPr>
          <w:sz w:val="16"/>
          <w:lang w:val="es-ES_tradnl"/>
        </w:rPr>
        <w:t>NOTAS:</w:t>
      </w:r>
    </w:p>
    <w:p w:rsidR="001A2871" w:rsidRPr="00A34388" w:rsidRDefault="001A2871" w:rsidP="001A2871">
      <w:pPr>
        <w:keepNext/>
        <w:keepLines/>
        <w:autoSpaceDE w:val="0"/>
        <w:autoSpaceDN w:val="0"/>
        <w:adjustRightInd w:val="0"/>
        <w:rPr>
          <w:sz w:val="16"/>
          <w:szCs w:val="16"/>
          <w:lang w:val="es-ES_tradnl"/>
        </w:rPr>
      </w:pPr>
    </w:p>
    <w:p w:rsidR="001A2871" w:rsidRPr="00A34388" w:rsidRDefault="001A2871" w:rsidP="001A2871">
      <w:pPr>
        <w:keepNext/>
        <w:keepLines/>
        <w:autoSpaceDE w:val="0"/>
        <w:autoSpaceDN w:val="0"/>
        <w:adjustRightInd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keepLines/>
        <w:autoSpaceDE w:val="0"/>
        <w:autoSpaceDN w:val="0"/>
        <w:adjustRightInd w:val="0"/>
        <w:rPr>
          <w:sz w:val="16"/>
          <w:szCs w:val="16"/>
          <w:lang w:val="es-ES_tradnl"/>
        </w:rPr>
      </w:pPr>
    </w:p>
    <w:p w:rsidR="001A2871" w:rsidRPr="00A34388" w:rsidRDefault="001A2871" w:rsidP="008372FC">
      <w:pPr>
        <w:keepNext/>
        <w:keepLines/>
        <w:autoSpaceDE w:val="0"/>
        <w:autoSpaceDN w:val="0"/>
        <w:adjustRightInd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keepLines/>
        <w:rPr>
          <w:rFonts w:cs="Arial"/>
          <w:sz w:val="22"/>
          <w:szCs w:val="22"/>
          <w:lang w:val="es-ES_tradnl"/>
        </w:rPr>
      </w:pPr>
    </w:p>
    <w:p w:rsidR="001A2871" w:rsidRPr="00A34388" w:rsidRDefault="001A2871" w:rsidP="001A2871">
      <w:pPr>
        <w:keepNext/>
        <w:keepLines/>
        <w:rPr>
          <w:rFonts w:cs="Arial"/>
          <w:sz w:val="22"/>
          <w:szCs w:val="22"/>
          <w:lang w:val="es-ES_tradnl"/>
        </w:rPr>
      </w:pPr>
    </w:p>
    <w:p w:rsidR="001A2871" w:rsidRPr="00332758" w:rsidRDefault="001A2871" w:rsidP="001A2871">
      <w:pPr>
        <w:tabs>
          <w:tab w:val="left" w:pos="709"/>
        </w:tabs>
        <w:rPr>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jc w:val="both"/>
        <w:rPr>
          <w:lang w:val="es-ES_tradnl"/>
        </w:rPr>
      </w:pPr>
    </w:p>
    <w:p w:rsidR="001A2871" w:rsidRPr="00A34388" w:rsidRDefault="001A2871" w:rsidP="001A2871">
      <w:pPr>
        <w:pStyle w:val="ListParagraph"/>
        <w:numPr>
          <w:ilvl w:val="0"/>
          <w:numId w:val="38"/>
        </w:numPr>
        <w:tabs>
          <w:tab w:val="left" w:pos="709"/>
        </w:tabs>
        <w:ind w:left="0" w:firstLine="0"/>
        <w:jc w:val="both"/>
        <w:rPr>
          <w:rFonts w:eastAsia="Batang"/>
          <w:lang w:val="es-ES_tradnl"/>
        </w:rPr>
      </w:pPr>
      <w:r w:rsidRPr="00A34388">
        <w:rPr>
          <w:lang w:val="es-ES_tradnl"/>
        </w:rPr>
        <w:t xml:space="preserve">La asignación para </w:t>
      </w:r>
      <w:r w:rsidR="00295F6E" w:rsidRPr="00A34388">
        <w:rPr>
          <w:lang w:val="es-ES_tradnl"/>
        </w:rPr>
        <w:t xml:space="preserve">el </w:t>
      </w:r>
      <w:r w:rsidRPr="00A34388">
        <w:rPr>
          <w:lang w:val="es-ES_tradnl"/>
        </w:rPr>
        <w:t xml:space="preserve">personal del presupuesto </w:t>
      </w:r>
      <w:r w:rsidR="00295F6E" w:rsidRPr="00A34388">
        <w:rPr>
          <w:lang w:val="es-ES_tradnl"/>
        </w:rPr>
        <w:t xml:space="preserve">de </w:t>
      </w:r>
      <w:r w:rsidRPr="00A34388">
        <w:rPr>
          <w:lang w:val="es-ES_tradnl"/>
        </w:rPr>
        <w:t xml:space="preserve">2012/13 después de las transferencias refleja un ajuste al alza que se debe fundamentalmente a la asignación de recursos adicionales al programa con el fin de reforzar su trabajo en los programas de máster conjuntos y la formación para el perfeccionamiento profesional en el marco del resultado III.2 (Mejora de las capacidades en el ámbito de los recursos humanos). </w:t>
      </w:r>
    </w:p>
    <w:p w:rsidR="001A2871" w:rsidRPr="00A34388" w:rsidRDefault="001A2871" w:rsidP="001A2871">
      <w:pPr>
        <w:tabs>
          <w:tab w:val="left" w:pos="709"/>
        </w:tabs>
        <w:jc w:val="both"/>
        <w:rPr>
          <w:rFonts w:eastAsia="Batang"/>
          <w:lang w:val="es-ES_tradnl"/>
        </w:rPr>
      </w:pPr>
    </w:p>
    <w:p w:rsidR="001A2871" w:rsidRPr="00A34388" w:rsidRDefault="001A2871" w:rsidP="001A2871">
      <w:pPr>
        <w:pStyle w:val="ListParagraph"/>
        <w:numPr>
          <w:ilvl w:val="0"/>
          <w:numId w:val="38"/>
        </w:numPr>
        <w:tabs>
          <w:tab w:val="left" w:pos="709"/>
        </w:tabs>
        <w:ind w:left="0" w:firstLine="0"/>
        <w:jc w:val="both"/>
        <w:rPr>
          <w:rFonts w:eastAsia="Batang"/>
          <w:lang w:val="es-ES_tradnl"/>
        </w:rPr>
      </w:pP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r w:rsidRPr="00A34388">
        <w:rPr>
          <w:lang w:val="es-ES_tradnl"/>
        </w:rPr>
        <w:t xml:space="preserve"> </w:t>
      </w:r>
    </w:p>
    <w:p w:rsidR="001A2871" w:rsidRPr="00A34388" w:rsidRDefault="001A2871" w:rsidP="001A2871">
      <w:pPr>
        <w:jc w:val="both"/>
        <w:rPr>
          <w:rFonts w:cs="Arial"/>
          <w:lang w:val="es-ES_tradnl"/>
        </w:rPr>
      </w:pPr>
    </w:p>
    <w:p w:rsidR="001A2871" w:rsidRPr="00A34388" w:rsidRDefault="001A2871" w:rsidP="001A2871">
      <w:pPr>
        <w:tabs>
          <w:tab w:val="left" w:pos="709"/>
        </w:tabs>
        <w:jc w:val="both"/>
        <w:rPr>
          <w:rFonts w:cs="Arial"/>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B6AC7" w:rsidRPr="00A34388">
        <w:rPr>
          <w:u w:val="single"/>
          <w:lang w:val="es-ES_tradnl"/>
        </w:rPr>
        <w:t>en</w:t>
      </w:r>
      <w:r w:rsidR="001B6AC7" w:rsidRPr="00332758">
        <w:rPr>
          <w:u w:val="single"/>
          <w:lang w:val="es-ES_tradnl"/>
        </w:rPr>
        <w:t> </w:t>
      </w:r>
      <w:r w:rsidRPr="00A34388">
        <w:rPr>
          <w:u w:val="single"/>
          <w:lang w:val="es-ES_tradnl"/>
        </w:rPr>
        <w:t>2012/13</w:t>
      </w:r>
    </w:p>
    <w:p w:rsidR="001A2871" w:rsidRPr="00A34388" w:rsidRDefault="001A2871" w:rsidP="001A2871">
      <w:pPr>
        <w:pStyle w:val="ListParagraph"/>
        <w:ind w:left="0"/>
        <w:jc w:val="both"/>
        <w:rPr>
          <w:rFonts w:eastAsia="Batang"/>
          <w:lang w:val="es-ES_tradnl"/>
        </w:rPr>
      </w:pPr>
    </w:p>
    <w:p w:rsidR="001A2871" w:rsidRPr="00A34388" w:rsidRDefault="001A2871" w:rsidP="001A2871">
      <w:pPr>
        <w:pStyle w:val="ListParagraph"/>
        <w:numPr>
          <w:ilvl w:val="0"/>
          <w:numId w:val="38"/>
        </w:numPr>
        <w:tabs>
          <w:tab w:val="left" w:pos="709"/>
        </w:tabs>
        <w:ind w:left="0" w:firstLine="0"/>
        <w:jc w:val="both"/>
        <w:rPr>
          <w:rFonts w:eastAsia="Batang"/>
          <w:lang w:val="es-ES_tradnl"/>
        </w:rPr>
      </w:pPr>
      <w:r w:rsidRPr="00A34388">
        <w:rPr>
          <w:lang w:val="es-ES_tradnl"/>
        </w:rPr>
        <w:t>La utilización del presupuesto (recursos no relativos al personal) ascendió al 9</w:t>
      </w:r>
      <w:r w:rsidR="009F4808" w:rsidRPr="00A34388">
        <w:rPr>
          <w:lang w:val="es-ES_tradnl"/>
        </w:rPr>
        <w:t xml:space="preserve">3% fundamentalmente debido a:  </w:t>
      </w:r>
      <w:r w:rsidRPr="00A34388">
        <w:rPr>
          <w:lang w:val="es-ES_tradnl"/>
        </w:rPr>
        <w:t xml:space="preserve">i) el ahorro logrado en algunos programas de perfeccionamiento profesional en materia de derecho de autor y derechos de propiedad industrial en el marco del resultado III.2 (Mejora de las capacidades en el ámbito de los recursos humanos);  </w:t>
      </w:r>
      <w:r w:rsidR="009F4808" w:rsidRPr="00A34388">
        <w:rPr>
          <w:lang w:val="es-ES_tradnl"/>
        </w:rPr>
        <w:t>ii)</w:t>
      </w:r>
      <w:r w:rsidRPr="00A34388">
        <w:rPr>
          <w:lang w:val="es-ES_tradnl"/>
        </w:rPr>
        <w:t xml:space="preserve"> el retraso en el lanzamiento de los tres nuevos cursos en Internet del programa de enseñanza a distancia en el marco del resultado III.4 (Mayor facilidad de acceso a la formación en P.I.);  y </w:t>
      </w:r>
      <w:r w:rsidR="009F4808" w:rsidRPr="00A34388">
        <w:rPr>
          <w:lang w:val="es-ES_tradnl"/>
        </w:rPr>
        <w:t>iii)</w:t>
      </w:r>
      <w:r w:rsidRPr="00A34388">
        <w:rPr>
          <w:lang w:val="es-ES_tradnl"/>
        </w:rPr>
        <w:t xml:space="preserve"> la interrupción del Programa de cursos para directivos en 2013 en el marco del resultado III.5 (Fomento de las capacidades de gestión de P.I. para las empresas).</w:t>
      </w:r>
    </w:p>
    <w:p w:rsidR="001A2871" w:rsidRPr="00A34388" w:rsidRDefault="001A2871" w:rsidP="001A2871">
      <w:pPr>
        <w:pStyle w:val="ListParagraph"/>
        <w:tabs>
          <w:tab w:val="left" w:pos="709"/>
        </w:tabs>
        <w:ind w:left="0"/>
        <w:jc w:val="both"/>
        <w:rPr>
          <w:rFonts w:cs="Arial"/>
          <w:lang w:val="es-ES_tradnl"/>
        </w:rPr>
      </w:pPr>
    </w:p>
    <w:p w:rsidR="001A2871" w:rsidRPr="00A34388" w:rsidRDefault="001A2871" w:rsidP="001A2871">
      <w:pPr>
        <w:rPr>
          <w:rFonts w:cs="Arial"/>
          <w:szCs w:val="20"/>
          <w:lang w:val="es-ES_tradnl"/>
        </w:rPr>
      </w:pPr>
      <w:r w:rsidRPr="00A34388">
        <w:rPr>
          <w:lang w:val="es-ES_tradnl"/>
        </w:rPr>
        <w:br w:type="page"/>
      </w:r>
    </w:p>
    <w:p w:rsidR="00391D6B" w:rsidRPr="003934C8" w:rsidRDefault="00391D6B" w:rsidP="00391D6B">
      <w:pPr>
        <w:pStyle w:val="Heading3"/>
        <w:rPr>
          <w:rFonts w:hint="eastAsia"/>
          <w:lang w:val="es-ES"/>
        </w:rPr>
      </w:pPr>
      <w:bookmarkStart w:id="42" w:name="_Toc394319060"/>
      <w:bookmarkStart w:id="43" w:name="_Toc395279666"/>
      <w:r w:rsidRPr="003934C8">
        <w:rPr>
          <w:lang w:val="es-ES"/>
        </w:rPr>
        <w:lastRenderedPageBreak/>
        <w:t>Programa 30</w:t>
      </w:r>
      <w:r w:rsidRPr="003934C8">
        <w:rPr>
          <w:lang w:val="es-ES"/>
        </w:rPr>
        <w:tab/>
        <w:t>Las</w:t>
      </w:r>
      <w:r>
        <w:rPr>
          <w:lang w:val="es-ES"/>
        </w:rPr>
        <w:t xml:space="preserve"> pequeñas y medianas empresas (p</w:t>
      </w:r>
      <w:r w:rsidRPr="003934C8">
        <w:rPr>
          <w:lang w:val="es-ES"/>
        </w:rPr>
        <w:t>ymes) y la innovación</w:t>
      </w:r>
      <w:bookmarkEnd w:id="42"/>
      <w:bookmarkEnd w:id="43"/>
    </w:p>
    <w:p w:rsidR="001A2871" w:rsidRPr="00391D6B" w:rsidRDefault="001A2871" w:rsidP="001A2871">
      <w:pPr>
        <w:rPr>
          <w:lang w:val="es-ES"/>
        </w:rPr>
      </w:pPr>
    </w:p>
    <w:p w:rsidR="001A2871" w:rsidRPr="00332758" w:rsidRDefault="001A2871" w:rsidP="001A2871">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J. Pooley</w:t>
      </w:r>
    </w:p>
    <w:p w:rsidR="001A2871" w:rsidRPr="00A34388" w:rsidRDefault="001A2871" w:rsidP="001A2871">
      <w:pPr>
        <w:rPr>
          <w:rFonts w:cs="Arial"/>
          <w:sz w:val="22"/>
          <w:szCs w:val="22"/>
          <w:lang w:val="es-ES_tradnl"/>
        </w:rPr>
      </w:pPr>
    </w:p>
    <w:p w:rsidR="001A2871" w:rsidRPr="00A34388" w:rsidRDefault="001A2871" w:rsidP="001A2871">
      <w:pPr>
        <w:rPr>
          <w:rFonts w:cs="Arial"/>
          <w:sz w:val="22"/>
          <w:szCs w:val="22"/>
          <w:lang w:val="es-ES_tradnl"/>
        </w:rPr>
      </w:pPr>
    </w:p>
    <w:p w:rsidR="001A2871" w:rsidRPr="00A34388" w:rsidRDefault="003E3F45" w:rsidP="001A2871">
      <w:pPr>
        <w:rPr>
          <w:rFonts w:cs="Arial"/>
          <w:sz w:val="22"/>
          <w:szCs w:val="22"/>
          <w:lang w:val="es-ES_tradnl"/>
        </w:rPr>
      </w:pPr>
      <w:r>
        <w:rPr>
          <w:sz w:val="22"/>
          <w:lang w:val="es-ES_tradnl"/>
        </w:rPr>
        <w:t>AVANCES LOGRADOS EN EL BIENIO 2012/13</w:t>
      </w:r>
    </w:p>
    <w:p w:rsidR="001A2871" w:rsidRPr="00A34388" w:rsidRDefault="001A2871" w:rsidP="001A2871">
      <w:pPr>
        <w:rPr>
          <w:rFonts w:cs="Arial"/>
          <w:szCs w:val="20"/>
          <w:lang w:val="es-ES_tradnl"/>
        </w:rPr>
      </w:pPr>
    </w:p>
    <w:p w:rsidR="001A2871" w:rsidRPr="00332758" w:rsidRDefault="001A2871" w:rsidP="001A2871">
      <w:pPr>
        <w:rPr>
          <w:rFonts w:cs="Arial"/>
          <w:szCs w:val="20"/>
          <w:lang w:val="es-ES_tradnl"/>
        </w:rPr>
      </w:pPr>
      <w:r w:rsidRPr="00332758">
        <w:rPr>
          <w:lang w:val="es-ES_tradnl"/>
        </w:rPr>
        <w:t>PEQUEÑAS Y MEDIANAS EMPRESAS (PYMES)</w:t>
      </w:r>
    </w:p>
    <w:p w:rsidR="001A2871" w:rsidRPr="00A34388" w:rsidRDefault="001A2871" w:rsidP="001A2871">
      <w:pPr>
        <w:rPr>
          <w:rFonts w:cs="Arial"/>
          <w:szCs w:val="20"/>
          <w:lang w:val="es-ES_tradnl"/>
        </w:rPr>
      </w:pPr>
    </w:p>
    <w:p w:rsidR="001A2871" w:rsidRPr="0033275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 xml:space="preserve">El programa continuó trabajando con oficinas nacionales y regionales de P.I. y otras instituciones para ayudar a los empresarios y a las pymes a utilizar el sistema de P.I., principalmente mediante (a) la traducción y/o adaptación al contexto local de los contenidos relacionados con la P.I. dirigidos a las empresas, y (b) programas de formación de formadores.  Con respecto </w:t>
      </w:r>
      <w:r w:rsidR="009E5904">
        <w:rPr>
          <w:lang w:val="es-ES_tradnl"/>
        </w:rPr>
        <w:t>a estos últimos, se organizaron </w:t>
      </w:r>
      <w:r w:rsidRPr="00A34388">
        <w:rPr>
          <w:lang w:val="es-ES_tradnl"/>
        </w:rPr>
        <w:t xml:space="preserve">29 programas relativos a la gestión eficaz de los activos de P.I. por parte de las pymes, de los que se beneficiaron más de 1.525 participantes. </w:t>
      </w:r>
      <w:r w:rsidR="00537926" w:rsidRPr="00A34388">
        <w:rPr>
          <w:lang w:val="es-ES_tradnl"/>
        </w:rPr>
        <w:t xml:space="preserve"> </w:t>
      </w:r>
      <w:r w:rsidRPr="00A34388">
        <w:rPr>
          <w:lang w:val="es-ES_tradnl"/>
        </w:rPr>
        <w:t xml:space="preserve">El objetivo de estos programas era crear una masa crítica de formadores en países concretos con los conocimientos, las habilidades y la experiencia que se precisan para prestar asistencia básica a las pymes en relación con la gestión de activos de P.I.  </w:t>
      </w:r>
      <w:r w:rsidRPr="00332758">
        <w:rPr>
          <w:lang w:val="es-ES_tradnl"/>
        </w:rPr>
        <w:t>La OMPI siguió colaborando a escala nacional, subregional y regional para promover la elaboración de políticas apropiadas y garantizar la coherencia en materia de políticas sobre propiedad intelectual para las Pymes.  A tal efecto en 2012 se celebró un foro subregional en la India.</w:t>
      </w:r>
    </w:p>
    <w:p w:rsidR="001A2871" w:rsidRPr="00A34388" w:rsidRDefault="001A2871" w:rsidP="001A2871">
      <w:pPr>
        <w:pStyle w:val="ListParagraph"/>
        <w:tabs>
          <w:tab w:val="left" w:pos="0"/>
          <w:tab w:val="left" w:pos="709"/>
        </w:tabs>
        <w:ind w:left="0"/>
        <w:jc w:val="both"/>
        <w:rPr>
          <w:rFonts w:cs="Arial"/>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 xml:space="preserve">Durante el bienio se redactaron nuevas publicaciones: </w:t>
      </w:r>
      <w:r w:rsidR="007E4D96" w:rsidRPr="00A34388">
        <w:rPr>
          <w:lang w:val="es-ES_tradnl"/>
        </w:rPr>
        <w:t xml:space="preserve"> </w:t>
      </w:r>
      <w:r w:rsidRPr="00A34388">
        <w:rPr>
          <w:i/>
          <w:lang w:val="es-ES_tradnl"/>
        </w:rPr>
        <w:t>Gestión de activos de P.I.</w:t>
      </w:r>
      <w:r w:rsidRPr="00A34388">
        <w:rPr>
          <w:lang w:val="es-ES_tradnl"/>
        </w:rPr>
        <w:t xml:space="preserve">, </w:t>
      </w:r>
      <w:r w:rsidRPr="00A34388">
        <w:rPr>
          <w:i/>
          <w:lang w:val="es-ES_tradnl"/>
        </w:rPr>
        <w:t>Uso de bienes inmateriales para acceder al mercado de capital</w:t>
      </w:r>
      <w:r w:rsidRPr="00A34388">
        <w:rPr>
          <w:lang w:val="es-ES_tradnl"/>
        </w:rPr>
        <w:t xml:space="preserve"> y</w:t>
      </w:r>
      <w:r w:rsidRPr="00A34388">
        <w:rPr>
          <w:i/>
          <w:lang w:val="es-ES_tradnl"/>
        </w:rPr>
        <w:t xml:space="preserve"> Secretos comerciales</w:t>
      </w:r>
      <w:r w:rsidRPr="00A34388">
        <w:rPr>
          <w:lang w:val="es-ES_tradnl"/>
        </w:rPr>
        <w:t xml:space="preserve">.  La guía </w:t>
      </w:r>
      <w:r w:rsidRPr="00A34388">
        <w:rPr>
          <w:i/>
          <w:lang w:val="es-ES_tradnl"/>
        </w:rPr>
        <w:t>In Good Company – Managing</w:t>
      </w:r>
      <w:r w:rsidRPr="00A34388">
        <w:rPr>
          <w:lang w:val="es-ES_tradnl"/>
        </w:rPr>
        <w:t xml:space="preserve"> </w:t>
      </w:r>
      <w:r w:rsidRPr="00A34388">
        <w:rPr>
          <w:i/>
          <w:lang w:val="es-ES_tradnl"/>
        </w:rPr>
        <w:t>IP Issues in Franchising</w:t>
      </w:r>
      <w:r w:rsidRPr="00A34388">
        <w:rPr>
          <w:lang w:val="es-ES_tradnl"/>
        </w:rPr>
        <w:t xml:space="preserve"> se publicó y se tradujo a los idiomas oficiales de las Naciones Unidas. </w:t>
      </w:r>
      <w:r w:rsidRPr="00332758">
        <w:rPr>
          <w:lang w:val="es-ES_tradnl"/>
        </w:rPr>
        <w:t xml:space="preserve"> Están a punto de concluir otra publicación inédita hasta el momento, </w:t>
      </w:r>
      <w:r w:rsidRPr="00332758">
        <w:rPr>
          <w:i/>
          <w:lang w:val="es-ES_tradnl"/>
        </w:rPr>
        <w:t xml:space="preserve">Cuestiones relativas a la P.I. en el sector agroalimentario, </w:t>
      </w:r>
      <w:r w:rsidRPr="00332758">
        <w:rPr>
          <w:lang w:val="es-ES_tradnl"/>
        </w:rPr>
        <w:t xml:space="preserve">y la versión actualizada de tres publicaciones anteriores, a saber, </w:t>
      </w:r>
      <w:r w:rsidRPr="00332758">
        <w:rPr>
          <w:i/>
          <w:lang w:val="es-ES_tradnl"/>
        </w:rPr>
        <w:t>El secreto está en la marca</w:t>
      </w:r>
      <w:r w:rsidRPr="00332758">
        <w:rPr>
          <w:lang w:val="es-ES_tradnl"/>
        </w:rPr>
        <w:t xml:space="preserve">, </w:t>
      </w:r>
      <w:r w:rsidRPr="00332758">
        <w:rPr>
          <w:i/>
          <w:lang w:val="es-ES_tradnl"/>
        </w:rPr>
        <w:t xml:space="preserve">Inventar el futuro </w:t>
      </w:r>
      <w:r w:rsidRPr="00332758">
        <w:rPr>
          <w:lang w:val="es-ES_tradnl"/>
        </w:rPr>
        <w:t xml:space="preserve">y </w:t>
      </w:r>
      <w:r w:rsidRPr="00332758">
        <w:rPr>
          <w:i/>
          <w:lang w:val="es-ES_tradnl"/>
        </w:rPr>
        <w:t>Una puntada a tiempo</w:t>
      </w:r>
      <w:r w:rsidRPr="00332758">
        <w:rPr>
          <w:lang w:val="es-ES_tradnl"/>
        </w:rPr>
        <w:t xml:space="preserve">.  </w:t>
      </w:r>
    </w:p>
    <w:p w:rsidR="001A2871" w:rsidRPr="00A34388" w:rsidRDefault="001A2871" w:rsidP="001A2871">
      <w:pPr>
        <w:pStyle w:val="ListParagraph"/>
        <w:tabs>
          <w:tab w:val="left" w:pos="0"/>
          <w:tab w:val="left" w:pos="709"/>
        </w:tabs>
        <w:ind w:left="0"/>
        <w:jc w:val="both"/>
        <w:rPr>
          <w:rFonts w:cs="Arial"/>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El recurso multimedia IP PANORAMA</w:t>
      </w:r>
      <w:r w:rsidRPr="00A34388">
        <w:rPr>
          <w:vertAlign w:val="superscript"/>
          <w:lang w:val="es-ES_tradnl"/>
        </w:rPr>
        <w:t>TM</w:t>
      </w:r>
      <w:r w:rsidRPr="00A34388">
        <w:rPr>
          <w:lang w:val="es-ES_tradnl"/>
        </w:rPr>
        <w:t xml:space="preserve"> se amplió con un nuevo módulo (el 13º) sobre cuestiones relativas a la P.I. en los contratos de franquicia.  IP Panorama se tradujo al albanés, el francés, el polaco, el ruso, el serbo-bosnio-croata y el español.  </w:t>
      </w:r>
      <w:r w:rsidRPr="00332758">
        <w:rPr>
          <w:lang w:val="es-ES_tradnl"/>
        </w:rPr>
        <w:t>Aproximadamente 1.251 personas participaron en un curso internacional avanzado por Internet, con entrega de certificado, sobre la gestión de P.I. para el éxito de las empresas basado en IP PANORAMATM, y 46 personas participaron posteriormente en un programa impartido por otros medios sobre la gestión de activos de P.I.</w:t>
      </w:r>
    </w:p>
    <w:p w:rsidR="001A2871" w:rsidRPr="00A34388" w:rsidRDefault="001A2871" w:rsidP="001A2871">
      <w:pPr>
        <w:pStyle w:val="ListParagraph"/>
        <w:tabs>
          <w:tab w:val="left" w:pos="0"/>
          <w:tab w:val="left" w:pos="709"/>
        </w:tabs>
        <w:ind w:left="0"/>
        <w:jc w:val="both"/>
        <w:rPr>
          <w:rFonts w:cs="Arial"/>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Los esfuerzos para llegar directamente a las pymes continuaron a través del sitio web para pymes en los seis idiomas oficiales de las Naciones Unidas y el boletín mensual de noticias que se distribuyó a más de 40.000 suscriptores de todo el mundo.</w:t>
      </w:r>
    </w:p>
    <w:p w:rsidR="001A2871" w:rsidRPr="00A34388" w:rsidRDefault="001A2871" w:rsidP="001A2871">
      <w:pPr>
        <w:rPr>
          <w:rFonts w:cs="Arial"/>
          <w:bCs/>
          <w:color w:val="000000"/>
          <w:szCs w:val="20"/>
          <w:lang w:val="es-ES_tradnl"/>
        </w:rPr>
      </w:pPr>
    </w:p>
    <w:p w:rsidR="001A2871" w:rsidRPr="00A34388" w:rsidRDefault="001A2871" w:rsidP="001A2871">
      <w:pPr>
        <w:rPr>
          <w:rFonts w:cs="Arial"/>
          <w:bCs/>
          <w:caps/>
          <w:szCs w:val="20"/>
          <w:lang w:val="es-ES_tradnl"/>
        </w:rPr>
      </w:pPr>
      <w:r w:rsidRPr="00A34388">
        <w:rPr>
          <w:caps/>
          <w:lang w:val="es-ES_tradnl"/>
        </w:rPr>
        <w:t>Política de innovación</w:t>
      </w:r>
    </w:p>
    <w:p w:rsidR="001A2871" w:rsidRPr="00A34388" w:rsidRDefault="001A2871" w:rsidP="001A2871">
      <w:pPr>
        <w:rPr>
          <w:rFonts w:cs="Arial"/>
          <w:bCs/>
          <w:szCs w:val="20"/>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bCs/>
          <w:lang w:val="es-ES_tradnl"/>
        </w:rPr>
      </w:pPr>
      <w:r w:rsidRPr="00A34388">
        <w:rPr>
          <w:lang w:val="es-ES_tradnl"/>
        </w:rPr>
        <w:t>Desde su creación el día 1 de octubre de 2012, la Sección de Políticas de Innovación ha establecido los cimientos para su trabajo continuo, identificando las áreas en las que la política de innovación interactúa con la P.I. y creando una red de expertos.  A lo largo de 2013, se convocó en Ginebra un grupo de expertos para debatir la función de la P.I. en la formulación de la política de innovación y realizar propuestas para que la OMPI contribuya y aporte valor al actual trabajo en materia de política de innovación.  Posteriormente, se creó un proyecto piloto nacional de integración de la P.I. en la formulación de la política de innovación con el fin de probar un diseño y una metodología específicos para la ejecución de este tipo de proyectos en este ámbito.  Del proyecto se extrajeron diversas recomendaciones integrales para que el gobierno integre la P.I. en la formulación de su política de innovación.</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autoSpaceDE w:val="0"/>
        <w:autoSpaceDN w:val="0"/>
        <w:adjustRightInd w:val="0"/>
        <w:jc w:val="both"/>
        <w:rPr>
          <w:rFonts w:cs="Arial"/>
          <w:szCs w:val="20"/>
          <w:lang w:val="es-ES_tradnl"/>
        </w:rPr>
      </w:pPr>
      <w:r w:rsidRPr="00A34388">
        <w:rPr>
          <w:lang w:val="es-ES_tradnl"/>
        </w:rPr>
        <w:t>ESTRUCTURAS DE INNOVACIÓN</w:t>
      </w:r>
    </w:p>
    <w:p w:rsidR="001A2871" w:rsidRPr="00A34388" w:rsidRDefault="001A2871" w:rsidP="001A2871">
      <w:pPr>
        <w:autoSpaceDE w:val="0"/>
        <w:autoSpaceDN w:val="0"/>
        <w:adjustRightInd w:val="0"/>
        <w:jc w:val="both"/>
        <w:rPr>
          <w:rFonts w:cs="Arial"/>
          <w:szCs w:val="20"/>
          <w:u w:val="single"/>
          <w:lang w:val="es-ES_tradnl"/>
        </w:rPr>
      </w:pPr>
    </w:p>
    <w:p w:rsidR="001A2871" w:rsidRPr="00A34388" w:rsidRDefault="001A2871" w:rsidP="0053316D">
      <w:pPr>
        <w:pStyle w:val="ListParagraph"/>
        <w:numPr>
          <w:ilvl w:val="0"/>
          <w:numId w:val="72"/>
        </w:numPr>
        <w:tabs>
          <w:tab w:val="left" w:pos="0"/>
          <w:tab w:val="left" w:pos="709"/>
        </w:tabs>
        <w:ind w:left="0" w:firstLine="0"/>
        <w:jc w:val="both"/>
        <w:rPr>
          <w:rFonts w:cs="Arial"/>
          <w:lang w:val="es-ES_tradnl"/>
        </w:rPr>
      </w:pPr>
      <w:r w:rsidRPr="00A34388">
        <w:rPr>
          <w:lang w:val="es-ES_tradnl"/>
        </w:rPr>
        <w:t xml:space="preserve">El programa siguió prestando asistencia a los países en desarrollo, los PMA y los países con economías en transición con el fin de mejorar sus estructuras de innovación y su capacidad para aprovecharlas con miras a promover la creación, el desarrollo y el uso de la propiedad intelectual en aras del desarrollo.  En este contexto, aproximadamente 2.360 (1.167 en 2012 y 1.193 en 2013) funcionarios gubernamentales, administradores de tecnología, científicos y agentes de patentes recibieron formación, centrada en la promoción de la innovación, la transferencia de conocimientos y la comercialización de la </w:t>
      </w:r>
      <w:r w:rsidRPr="00A34388">
        <w:rPr>
          <w:lang w:val="es-ES_tradnl"/>
        </w:rPr>
        <w:lastRenderedPageBreak/>
        <w:t>P.I. en universidades e instituciones de I+D de países en desarrollo, PMA y países con economías en transición.  Se pusieron en práctica los siguientes programas y proyectos:</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53316D">
      <w:pPr>
        <w:pStyle w:val="ListParagraph"/>
        <w:numPr>
          <w:ilvl w:val="0"/>
          <w:numId w:val="71"/>
        </w:numPr>
        <w:autoSpaceDE w:val="0"/>
        <w:autoSpaceDN w:val="0"/>
        <w:adjustRightInd w:val="0"/>
        <w:jc w:val="both"/>
        <w:rPr>
          <w:rFonts w:cs="Arial"/>
          <w:lang w:val="es-ES_tradnl"/>
        </w:rPr>
      </w:pPr>
      <w:r w:rsidRPr="00A34388">
        <w:rPr>
          <w:lang w:val="es-ES_tradnl"/>
        </w:rPr>
        <w:t>Inicio de la segunda fase del proyecto temático de creación de oficinas universitarias de transferencia de tecnología (OTT) en la región árabe, en Túnez, y elaboración del informe sobre la evaluación de las necesidades nacionales, basado en las conclusiones de una misión de estudio integrada por expertos en colaboración con la CERN.  También se adoptó un plan de acción para Túnez;</w:t>
      </w:r>
    </w:p>
    <w:p w:rsidR="001A2871" w:rsidRPr="00A34388" w:rsidRDefault="001A2871" w:rsidP="00710F93">
      <w:pPr>
        <w:pStyle w:val="ListParagraph"/>
        <w:autoSpaceDE w:val="0"/>
        <w:autoSpaceDN w:val="0"/>
        <w:adjustRightInd w:val="0"/>
        <w:ind w:left="927" w:hanging="360"/>
        <w:rPr>
          <w:rFonts w:cs="Arial"/>
          <w:lang w:val="es-ES_tradnl"/>
        </w:rPr>
      </w:pPr>
    </w:p>
    <w:p w:rsidR="001A2871" w:rsidRPr="00A34388" w:rsidRDefault="001A2871" w:rsidP="001A2871">
      <w:pPr>
        <w:autoSpaceDE w:val="0"/>
        <w:autoSpaceDN w:val="0"/>
        <w:adjustRightInd w:val="0"/>
        <w:ind w:left="927" w:hanging="360"/>
        <w:jc w:val="both"/>
        <w:rPr>
          <w:rFonts w:cs="Arial"/>
          <w:szCs w:val="20"/>
          <w:lang w:val="es-ES_tradnl"/>
        </w:rPr>
      </w:pPr>
      <w:r w:rsidRPr="00A34388">
        <w:rPr>
          <w:lang w:val="es-ES_tradnl"/>
        </w:rPr>
        <w:t xml:space="preserve">2. </w:t>
      </w:r>
      <w:r w:rsidRPr="00A34388">
        <w:rPr>
          <w:lang w:val="es-ES_tradnl"/>
        </w:rPr>
        <w:tab/>
        <w:t xml:space="preserve">Continuación del programa de la Iniciativa Universitaria mediante colaboraciones con 27 universidades de todo el mundo – redacción de siete nuevos informes de evaluación de las necesidades (cinco universidades chilenas y dos en Georgia); </w:t>
      </w:r>
    </w:p>
    <w:p w:rsidR="001A2871" w:rsidRPr="00A34388" w:rsidRDefault="001A2871" w:rsidP="001A2871">
      <w:pPr>
        <w:autoSpaceDE w:val="0"/>
        <w:autoSpaceDN w:val="0"/>
        <w:adjustRightInd w:val="0"/>
        <w:ind w:left="927" w:hanging="360"/>
        <w:jc w:val="both"/>
        <w:rPr>
          <w:rFonts w:cs="Arial"/>
          <w:szCs w:val="20"/>
          <w:lang w:val="es-ES_tradnl"/>
        </w:rPr>
      </w:pPr>
    </w:p>
    <w:p w:rsidR="001A2871" w:rsidRPr="00A34388" w:rsidRDefault="001A2871" w:rsidP="001A2871">
      <w:pPr>
        <w:autoSpaceDE w:val="0"/>
        <w:autoSpaceDN w:val="0"/>
        <w:adjustRightInd w:val="0"/>
        <w:ind w:left="927" w:hanging="360"/>
        <w:jc w:val="both"/>
        <w:rPr>
          <w:rFonts w:cs="Arial"/>
          <w:szCs w:val="20"/>
          <w:lang w:val="es-ES_tradnl"/>
        </w:rPr>
      </w:pPr>
      <w:r w:rsidRPr="00A34388">
        <w:rPr>
          <w:lang w:val="es-ES_tradnl"/>
        </w:rPr>
        <w:t xml:space="preserve">3. </w:t>
      </w:r>
      <w:r w:rsidRPr="00A34388">
        <w:rPr>
          <w:lang w:val="es-ES_tradnl"/>
        </w:rPr>
        <w:tab/>
        <w:t>Programas de creación de capacidad en el ámbito de la comercialización de la P.I.:  15 talleres de redacción de patentes seguidos de 16 cursos de formación práctica a distancia (400 personas en total);  14 talleres sobre promoción de la innovación y la transferencia de tecnología;  cuatro programas de formación sobre la negociación de licencias tecnológicas (STL) y cinco cursos de evaluación de la propiedad intelectual.  El programa también proporcionó asesoramiento y aportaciones y organizó conjuntamente con otros programas de la OMPI 17 actividades.</w:t>
      </w:r>
    </w:p>
    <w:p w:rsidR="001A2871" w:rsidRPr="00A34388" w:rsidRDefault="001A2871" w:rsidP="001A2871">
      <w:pPr>
        <w:autoSpaceDE w:val="0"/>
        <w:autoSpaceDN w:val="0"/>
        <w:adjustRightInd w:val="0"/>
        <w:ind w:left="927" w:hanging="360"/>
        <w:jc w:val="both"/>
        <w:rPr>
          <w:rFonts w:cs="Arial"/>
          <w:szCs w:val="20"/>
          <w:lang w:val="es-ES_tradnl"/>
        </w:rPr>
      </w:pPr>
    </w:p>
    <w:p w:rsidR="001A2871" w:rsidRPr="00A34388" w:rsidRDefault="001A2871" w:rsidP="001A2871">
      <w:pPr>
        <w:autoSpaceDE w:val="0"/>
        <w:autoSpaceDN w:val="0"/>
        <w:adjustRightInd w:val="0"/>
        <w:ind w:left="927" w:hanging="360"/>
        <w:jc w:val="both"/>
        <w:rPr>
          <w:rFonts w:cs="Arial"/>
          <w:szCs w:val="20"/>
          <w:lang w:val="es-ES_tradnl"/>
        </w:rPr>
      </w:pPr>
      <w:r w:rsidRPr="00332758">
        <w:rPr>
          <w:lang w:val="es-ES_tradnl"/>
        </w:rPr>
        <w:t>4.</w:t>
      </w:r>
      <w:r w:rsidRPr="00A34388">
        <w:rPr>
          <w:lang w:val="es-ES_tradnl"/>
        </w:rPr>
        <w:tab/>
      </w:r>
      <w:r w:rsidRPr="00332758">
        <w:rPr>
          <w:lang w:val="es-ES_tradnl"/>
        </w:rPr>
        <w:t xml:space="preserve">Fomento de alianzas internas y externas para impulsar la cooperación internacional en materia de propiedad intelectual (negociación del memorando de entendimiento con el Centro Común de Investigación de la Comisión Europea; colaboración con la CERN en el marco del proyecto de transferencia de tecnología en la región árabe y </w:t>
      </w:r>
      <w:r w:rsidRPr="00A34388">
        <w:rPr>
          <w:lang w:val="es-ES_tradnl"/>
        </w:rPr>
        <w:t xml:space="preserve">colaboración con otras divisiones de la OMPI en materia de promoción de la innovación, actividades de formación del PCT y aportaciones periódicas a los programas de la Academia de la OMPI.  </w:t>
      </w:r>
    </w:p>
    <w:p w:rsidR="001A2871" w:rsidRPr="00A34388" w:rsidRDefault="001A2871" w:rsidP="001A2871">
      <w:pPr>
        <w:rPr>
          <w:rFonts w:cs="Arial"/>
          <w:bCs/>
          <w:szCs w:val="20"/>
          <w:lang w:val="es-ES_tradnl"/>
        </w:rPr>
      </w:pPr>
    </w:p>
    <w:p w:rsidR="001A2871" w:rsidRPr="00A34388" w:rsidRDefault="001A2871" w:rsidP="001A2871">
      <w:pPr>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autoSpaceDE w:val="0"/>
        <w:autoSpaceDN w:val="0"/>
        <w:adjustRightInd w:val="0"/>
        <w:jc w:val="both"/>
        <w:rPr>
          <w:rFonts w:cs="Arial"/>
          <w:b/>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30.7.</w:t>
      </w:r>
      <w:r w:rsidRPr="00A34388">
        <w:rPr>
          <w:lang w:val="es-ES_tradnl"/>
        </w:rPr>
        <w:tab/>
        <w:t xml:space="preserve">Con arreglo a las recomendaciones 19, 25, 26 y 28 de la Agenda para el Desarrollo, se celebraron cinco reuniones regionales de consulta sobre propiedad intelectual y transferencia de tecnología: </w:t>
      </w:r>
      <w:r w:rsidR="007E4D96" w:rsidRPr="00A34388">
        <w:rPr>
          <w:lang w:val="es-ES_tradnl"/>
        </w:rPr>
        <w:t xml:space="preserve"> </w:t>
      </w:r>
      <w:r w:rsidRPr="00A34388">
        <w:rPr>
          <w:lang w:val="es-ES_tradnl"/>
        </w:rPr>
        <w:t xml:space="preserve">desafíos comunes y búsqueda de soluciones, en Singapur en julio de 2012 para la región asiática, en </w:t>
      </w:r>
      <w:r w:rsidR="00EF4041">
        <w:rPr>
          <w:lang w:val="es-ES_tradnl"/>
        </w:rPr>
        <w:t>Argel</w:t>
      </w:r>
      <w:r w:rsidRPr="00A34388">
        <w:rPr>
          <w:lang w:val="es-ES_tradnl"/>
        </w:rPr>
        <w:t xml:space="preserve"> en enero de 2013 para las regiones africana y árabe, en Estambul en octubre de 2013 para los países con economías en transición, en Ginebra en noviembre de 2013 para los países desarrollados y en Monterrey en diciembre de 2013 para la región de América Latina y el Caribe</w:t>
      </w:r>
      <w:r w:rsidR="00537926" w:rsidRPr="00A34388">
        <w:rPr>
          <w:lang w:val="es-ES_tradnl"/>
        </w:rPr>
        <w:t xml:space="preserve">. </w:t>
      </w:r>
      <w:r w:rsidRPr="00A34388">
        <w:rPr>
          <w:lang w:val="es-ES_tradnl"/>
        </w:rPr>
        <w:t xml:space="preserve"> Asimismo, se pusieron en marcha seis estudios sobre distintas facetas de la transferencia de tecnología, cinco de los cuales ya han concluido y se someterán en 2014 al correspondiente examen de expertos en la materia</w:t>
      </w:r>
      <w:r w:rsidR="00537926" w:rsidRPr="00A34388">
        <w:rPr>
          <w:lang w:val="es-ES_tradnl"/>
        </w:rPr>
        <w:t xml:space="preserve">. </w:t>
      </w:r>
      <w:r w:rsidRPr="00A34388">
        <w:rPr>
          <w:lang w:val="es-ES_tradnl"/>
        </w:rPr>
        <w:t xml:space="preserve"> </w:t>
      </w:r>
      <w:r w:rsidRPr="00332758">
        <w:rPr>
          <w:lang w:val="es-ES_tradnl"/>
        </w:rPr>
        <w:t>Con arreglo a la recomendación 36 de la Agenda para el Desarrollo, se presentó ante los Estados miembros el estudio taxonómico-analítico aprobado durante la octava sesión del CDIP (CDIP/8) en una reunión oficiosa abierta a todos durante la novena sesión del CDIP y en otra de carácter oficial celebrada el 18 de junio de 2012.</w:t>
      </w:r>
      <w:r w:rsidRPr="00A34388">
        <w:rPr>
          <w:lang w:val="es-ES_tradnl"/>
        </w:rPr>
        <w:t xml:space="preserve">  La reunión de expertos, que se presentó como “Conferencia de la OMPI sobre la innovación compartida:  Proyectos de colaboración y futuro del conocimiento”, se preparó en 2013 y tuvo lugar a principios de 2014</w:t>
      </w:r>
      <w:r w:rsidR="00537926" w:rsidRPr="00A34388">
        <w:rPr>
          <w:lang w:val="es-ES_tradnl"/>
        </w:rPr>
        <w:t xml:space="preserve">. </w:t>
      </w:r>
      <w:r w:rsidRPr="00A34388">
        <w:rPr>
          <w:lang w:val="es-ES_tradnl"/>
        </w:rPr>
        <w:t xml:space="preserve"> Por último, comenzó a trabajarse en el estudio de evaluación detallado y en el contenido de la plataforma interactiva.</w:t>
      </w:r>
    </w:p>
    <w:p w:rsidR="001A2871" w:rsidRPr="00A34388" w:rsidRDefault="001A2871" w:rsidP="001A2871">
      <w:pPr>
        <w:jc w:val="both"/>
        <w:rPr>
          <w:rFonts w:cs="Arial"/>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30.8.</w:t>
      </w:r>
      <w:r w:rsidRPr="00A34388">
        <w:rPr>
          <w:lang w:val="es-ES_tradnl"/>
        </w:rPr>
        <w:tab/>
        <w:t>Además, con arreglo a las recomendaciones 1, 4, 10 y 11 de la Agenda para el Desarrollo, durante el bienio se trabajó para mejorar el grado de sensibilización de las pymes sobre el potencial que ofrece el sistema de propiedad intelectual, principalmente mediante 29 programas de formación de formadores sobre gestión de la P.I. para pymes realizados a petición de Estados miembros de varias regiones, que proporcionaron conocimientos y destrezas de gestión de la P.I. a unos 1.525 participantes de pymes e instituciones de apoyo a las pymes</w:t>
      </w:r>
      <w:r w:rsidR="00537926" w:rsidRPr="00A34388">
        <w:rPr>
          <w:lang w:val="es-ES_tradnl"/>
        </w:rPr>
        <w:t xml:space="preserve">. </w:t>
      </w:r>
      <w:r w:rsidRPr="00A34388">
        <w:rPr>
          <w:lang w:val="es-ES_tradnl"/>
        </w:rPr>
        <w:t xml:space="preserve"> Asimismo, se tradujeron y adaptaron al contexto local los contenidos relacionados con la propiedad intelectual dirigidos a las empresas</w:t>
      </w:r>
      <w:r w:rsidR="00537926" w:rsidRPr="00A34388">
        <w:rPr>
          <w:lang w:val="es-ES_tradnl"/>
        </w:rPr>
        <w:t xml:space="preserve">. </w:t>
      </w:r>
      <w:r w:rsidRPr="00A34388">
        <w:rPr>
          <w:lang w:val="es-ES_tradnl"/>
        </w:rPr>
        <w:t xml:space="preserve"> Las oficinas de P.I. y/o las cámaras de comercio de los Estados miembros en cuestión participaron activamente en la planificación y asumieron una función de liderazgo y realizaron contribuciones sustanciales durante el desarrollo y la ejecución de los programas, incluida la selección de los temas a tratar y de los ponentes internacionales y locales</w:t>
      </w:r>
      <w:r w:rsidR="00537926" w:rsidRPr="00A34388">
        <w:rPr>
          <w:lang w:val="es-ES_tradnl"/>
        </w:rPr>
        <w:t xml:space="preserve">. </w:t>
      </w:r>
      <w:r w:rsidRPr="00A34388">
        <w:rPr>
          <w:lang w:val="es-ES_tradnl"/>
        </w:rPr>
        <w:t xml:space="preserve"> Asimismo, se completó el recurso multimedia IP PANORAMA</w:t>
      </w:r>
      <w:r w:rsidRPr="00A34388">
        <w:rPr>
          <w:vertAlign w:val="superscript"/>
          <w:lang w:val="es-ES_tradnl"/>
        </w:rPr>
        <w:t>TM</w:t>
      </w:r>
      <w:r w:rsidRPr="00A34388">
        <w:rPr>
          <w:lang w:val="es-ES_tradnl"/>
        </w:rPr>
        <w:t xml:space="preserve"> con un módulo sobre cuestiones de P.I. relativas a los contratos de franquicia disponible en albanés, francés, polaco, ruso, serbo-bosnio-croata y español.  </w:t>
      </w:r>
      <w:r w:rsidRPr="00332758">
        <w:rPr>
          <w:lang w:val="es-ES_tradnl"/>
        </w:rPr>
        <w:t>Aproximadamente 1</w:t>
      </w:r>
      <w:r w:rsidR="00295F6E" w:rsidRPr="00332758">
        <w:rPr>
          <w:lang w:val="es-ES_tradnl"/>
        </w:rPr>
        <w:t>.</w:t>
      </w:r>
      <w:r w:rsidRPr="00332758">
        <w:rPr>
          <w:lang w:val="es-ES_tradnl"/>
        </w:rPr>
        <w:t>251 personas participaron en un curso internacional avanzado por Internet, con entrega de certificado, sobre la gestión de P.I. para el éxito de las empresas basado en IP PANORAMA</w:t>
      </w:r>
      <w:r w:rsidRPr="00332758">
        <w:rPr>
          <w:vertAlign w:val="superscript"/>
          <w:lang w:val="es-ES_tradnl"/>
        </w:rPr>
        <w:t>TM</w:t>
      </w:r>
      <w:r w:rsidRPr="00332758">
        <w:rPr>
          <w:lang w:val="es-ES_tradnl"/>
        </w:rPr>
        <w:t>, y 46 personas participaron posteriormente en un programa impartido por otros medios sobre la gestión de activos de P.I.</w:t>
      </w:r>
      <w:r w:rsidRPr="00A34388">
        <w:rPr>
          <w:lang w:val="es-ES_tradnl"/>
        </w:rPr>
        <w:t xml:space="preserve">  </w:t>
      </w:r>
    </w:p>
    <w:p w:rsidR="001A2871" w:rsidRPr="00A34388" w:rsidRDefault="001A2871" w:rsidP="001A2871">
      <w:pPr>
        <w:rPr>
          <w:rFonts w:cs="Arial"/>
          <w:bCs/>
          <w:szCs w:val="20"/>
          <w:lang w:val="es-ES_tradnl"/>
        </w:rPr>
      </w:pPr>
    </w:p>
    <w:p w:rsidR="001A2871" w:rsidRPr="00A34388" w:rsidRDefault="001A2871" w:rsidP="001A2871">
      <w:pPr>
        <w:rPr>
          <w:rFonts w:cs="Arial"/>
          <w:szCs w:val="20"/>
          <w:lang w:val="es-ES_tradnl"/>
        </w:rPr>
      </w:pPr>
    </w:p>
    <w:p w:rsidR="001A2871" w:rsidRPr="00A34388" w:rsidRDefault="001A2871" w:rsidP="001A2871">
      <w:pPr>
        <w:jc w:val="both"/>
        <w:rPr>
          <w:rFonts w:cs="Arial"/>
          <w:szCs w:val="20"/>
          <w:lang w:val="es-ES_tradnl"/>
        </w:rPr>
      </w:pPr>
      <w:r w:rsidRPr="00332758">
        <w:rPr>
          <w:lang w:val="es-ES_tradnl"/>
        </w:rPr>
        <w:t>DATOS SOBRE EL RENDIMIENTO</w:t>
      </w:r>
    </w:p>
    <w:p w:rsidR="001A2871" w:rsidRPr="00A34388" w:rsidRDefault="001A2871" w:rsidP="001A2871">
      <w:pPr>
        <w:rPr>
          <w:rFonts w:cs="Arial"/>
          <w:b/>
          <w:sz w:val="16"/>
          <w:szCs w:val="16"/>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4"/>
        <w:gridCol w:w="1533"/>
        <w:gridCol w:w="1480"/>
        <w:gridCol w:w="266"/>
        <w:gridCol w:w="3138"/>
        <w:gridCol w:w="1276"/>
      </w:tblGrid>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1A2871" w:rsidRPr="00A34388" w:rsidTr="00853209">
        <w:trPr>
          <w:cantSplit/>
        </w:trPr>
        <w:tc>
          <w:tcPr>
            <w:tcW w:w="889" w:type="pct"/>
            <w:tcBorders>
              <w:top w:val="single" w:sz="4" w:space="0" w:color="auto"/>
            </w:tcBorders>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1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791" w:type="pct"/>
            <w:tcBorders>
              <w:top w:val="single" w:sz="4" w:space="0" w:color="auto"/>
            </w:tcBorders>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819" w:type="pct"/>
            <w:gridSpan w:val="2"/>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89" w:type="pct"/>
            <w:tcBorders>
              <w:bottom w:val="single" w:sz="4" w:space="0" w:color="auto"/>
            </w:tcBorders>
          </w:tcPr>
          <w:p w:rsidR="001A2871" w:rsidRPr="00A34388" w:rsidRDefault="001A2871" w:rsidP="00853209">
            <w:pPr>
              <w:rPr>
                <w:rFonts w:cs="Arial"/>
                <w:sz w:val="16"/>
                <w:szCs w:val="16"/>
                <w:lang w:val="es-ES_tradnl"/>
              </w:rPr>
            </w:pPr>
            <w:r w:rsidRPr="00332758">
              <w:rPr>
                <w:sz w:val="16"/>
                <w:lang w:val="es-ES_tradnl"/>
              </w:rPr>
              <w:t>Número de Estados miembros que han desarrollado su marco de P.I. y establecido oficinas universitarias de transferencia de tecnología (OTT).</w:t>
            </w:r>
          </w:p>
        </w:tc>
        <w:tc>
          <w:tcPr>
            <w:tcW w:w="81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Se ha adoptado el proyecto piloto de marco de P.I. y se ha asignado la financiación correspondiente.</w:t>
            </w:r>
          </w:p>
        </w:tc>
        <w:tc>
          <w:tcPr>
            <w:tcW w:w="791" w:type="pct"/>
            <w:tcBorders>
              <w:bottom w:val="single" w:sz="4" w:space="0" w:color="auto"/>
            </w:tcBorders>
            <w:tcMar>
              <w:top w:w="110" w:type="dxa"/>
            </w:tcMar>
          </w:tcPr>
          <w:p w:rsidR="001A2871" w:rsidRPr="00A34388" w:rsidRDefault="001A2871" w:rsidP="00853209">
            <w:pPr>
              <w:rPr>
                <w:rFonts w:cs="Arial"/>
                <w:sz w:val="16"/>
                <w:szCs w:val="16"/>
                <w:lang w:val="es-ES_tradnl"/>
              </w:rPr>
            </w:pPr>
            <w:r w:rsidRPr="00A34388">
              <w:rPr>
                <w:sz w:val="16"/>
                <w:lang w:val="es-ES_tradnl"/>
              </w:rPr>
              <w:t>Ocho OTT</w:t>
            </w:r>
          </w:p>
        </w:tc>
        <w:tc>
          <w:tcPr>
            <w:tcW w:w="1819" w:type="pct"/>
            <w:gridSpan w:val="2"/>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Las siguientes universidades/instituciones recibieron asistencia directa para desarrollar su ecosistema, política e infraestructura de tr</w:t>
            </w:r>
            <w:r w:rsidR="009F4808" w:rsidRPr="00A34388">
              <w:rPr>
                <w:sz w:val="16"/>
                <w:lang w:val="es-ES_tradnl"/>
              </w:rPr>
              <w:t xml:space="preserve">ansferencia de conocimientos:  </w:t>
            </w:r>
            <w:r w:rsidRPr="00A34388">
              <w:rPr>
                <w:sz w:val="16"/>
                <w:lang w:val="es-ES_tradnl"/>
              </w:rPr>
              <w:t xml:space="preserve">i) cinco en Chile:  Instituto Nacional de Investigación Agropecuaria (INIA);  Pontificia Universidad Católica de Chile (Santiago);  Universidad de Concepción;  Pontificia Universidad Católica de Valparaíso y Universidad de La Frontera;  ii) dos en Georgia:  Universidad Estatal Ivane Javakhishvili </w:t>
            </w:r>
            <w:r w:rsidR="00EF4041">
              <w:rPr>
                <w:sz w:val="16"/>
                <w:lang w:val="es-ES_tradnl"/>
              </w:rPr>
              <w:t xml:space="preserve">de </w:t>
            </w:r>
            <w:r w:rsidRPr="00A34388">
              <w:rPr>
                <w:sz w:val="16"/>
                <w:lang w:val="es-ES_tradnl"/>
              </w:rPr>
              <w:t xml:space="preserve">Tbilisi y Centro de Transferencia Tecnológica de Georgia, con su posterior plan de acción;  iii) cinco en la CESPAO;  iv) seis en Marruecos;  v) cinco en </w:t>
            </w:r>
            <w:r w:rsidR="00640EF0" w:rsidRPr="00A34388">
              <w:rPr>
                <w:sz w:val="16"/>
                <w:lang w:val="es-ES_tradnl"/>
              </w:rPr>
              <w:t>Filipinas</w:t>
            </w:r>
            <w:r w:rsidR="009F4808" w:rsidRPr="00A34388">
              <w:rPr>
                <w:sz w:val="16"/>
                <w:lang w:val="es-ES_tradnl"/>
              </w:rPr>
              <w:t xml:space="preserve"> y </w:t>
            </w:r>
            <w:r w:rsidRPr="00A34388">
              <w:rPr>
                <w:sz w:val="16"/>
                <w:lang w:val="es-ES_tradnl"/>
              </w:rPr>
              <w:t>vi) una en Ghana.</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También se realizó una evaluación de necesidades para la implantación de un proyecto OTT en Túnez, en la que se analizaron las necesidades tecnológicas de las siguientes instituciones:  Institut Pasteur, Universidad de Monastir, Centro de Biotecnología de Sfax, Centro Nacional del Cuero y el Zapato y Parque Tecnológico El Ghazala.  Asimismo se adoptó un plan de acción para Túnez.</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Por consiguiente, diez países </w:t>
            </w:r>
            <w:r w:rsidR="00BD586A">
              <w:rPr>
                <w:sz w:val="16"/>
                <w:lang w:val="es-ES_tradnl"/>
              </w:rPr>
              <w:t xml:space="preserve">como mínimo han </w:t>
            </w:r>
            <w:r w:rsidRPr="00A34388">
              <w:rPr>
                <w:sz w:val="16"/>
                <w:lang w:val="es-ES_tradnl"/>
              </w:rPr>
              <w:t>desarrolla</w:t>
            </w:r>
            <w:r w:rsidR="00BD586A">
              <w:rPr>
                <w:sz w:val="16"/>
                <w:lang w:val="es-ES_tradnl"/>
              </w:rPr>
              <w:t>d</w:t>
            </w:r>
            <w:r w:rsidRPr="00A34388">
              <w:rPr>
                <w:sz w:val="16"/>
                <w:lang w:val="es-ES_tradnl"/>
              </w:rPr>
              <w:t xml:space="preserve">o </w:t>
            </w:r>
            <w:r w:rsidR="00BD586A">
              <w:rPr>
                <w:sz w:val="16"/>
                <w:lang w:val="es-ES_tradnl"/>
              </w:rPr>
              <w:t>su marco de P.I. según lo descri</w:t>
            </w:r>
            <w:r w:rsidRPr="00A34388">
              <w:rPr>
                <w:sz w:val="16"/>
                <w:lang w:val="es-ES_tradnl"/>
              </w:rPr>
              <w:t>to.</w:t>
            </w:r>
          </w:p>
          <w:p w:rsidR="001A2871" w:rsidRPr="00A34388" w:rsidRDefault="001A2871" w:rsidP="00853209">
            <w:pPr>
              <w:rPr>
                <w:rFonts w:cs="Arial"/>
                <w:sz w:val="16"/>
                <w:szCs w:val="16"/>
                <w:lang w:val="es-ES_tradnl"/>
              </w:rPr>
            </w:pPr>
          </w:p>
        </w:tc>
        <w:tc>
          <w:tcPr>
            <w:tcW w:w="682" w:type="pct"/>
            <w:tcBorders>
              <w:bottom w:val="single" w:sz="4" w:space="0" w:color="auto"/>
            </w:tcBorders>
            <w:tcMar>
              <w:top w:w="110" w:type="dxa"/>
            </w:tcMar>
          </w:tcPr>
          <w:p w:rsidR="001A2871" w:rsidRPr="00332758" w:rsidRDefault="00BD586A" w:rsidP="00853209">
            <w:pPr>
              <w:keepNext/>
              <w:keepLines/>
              <w:jc w:val="center"/>
              <w:rPr>
                <w:rFonts w:cs="Arial"/>
                <w:bCs/>
                <w:sz w:val="16"/>
                <w:szCs w:val="16"/>
                <w:lang w:val="es-ES_tradnl"/>
              </w:rPr>
            </w:pPr>
            <w:r w:rsidRPr="00A9558A">
              <w:rPr>
                <w:color w:val="E36C0A" w:themeColor="accent6" w:themeShade="BF"/>
                <w:sz w:val="16"/>
                <w:szCs w:val="16"/>
                <w:lang w:val="es-ES_tradnl"/>
              </w:rPr>
              <w:t>Parcialmente logrado</w:t>
            </w:r>
          </w:p>
        </w:tc>
      </w:tr>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Políticas nacionales, estrategias y planes de desarrollo de innovación y de P.I. claramente definidos y coherentes que estén en sintonía con las metas y los objetivos nacionales de desarrollo.</w:t>
            </w:r>
          </w:p>
        </w:tc>
      </w:tr>
      <w:tr w:rsidR="001A2871" w:rsidRPr="00A34388" w:rsidTr="00853209">
        <w:trPr>
          <w:cantSplit/>
        </w:trPr>
        <w:tc>
          <w:tcPr>
            <w:tcW w:w="889" w:type="pct"/>
            <w:tcBorders>
              <w:top w:val="single" w:sz="4" w:space="0" w:color="auto"/>
            </w:tcBorders>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1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791" w:type="pct"/>
            <w:tcBorders>
              <w:top w:val="single" w:sz="4" w:space="0" w:color="auto"/>
            </w:tcBorders>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819" w:type="pct"/>
            <w:gridSpan w:val="2"/>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89" w:type="pct"/>
            <w:tcBorders>
              <w:bottom w:val="single" w:sz="4" w:space="0" w:color="auto"/>
            </w:tcBorders>
          </w:tcPr>
          <w:p w:rsidR="001A2871" w:rsidRPr="00A34388" w:rsidRDefault="001A2871" w:rsidP="00853209">
            <w:pPr>
              <w:rPr>
                <w:rFonts w:cs="Arial"/>
                <w:sz w:val="16"/>
                <w:szCs w:val="16"/>
                <w:lang w:val="es-ES_tradnl"/>
              </w:rPr>
            </w:pPr>
            <w:r w:rsidRPr="00332758">
              <w:rPr>
                <w:sz w:val="16"/>
                <w:lang w:val="es-ES_tradnl"/>
              </w:rPr>
              <w:t>Número de estrategias nacionales de P.I. que tienen un componente dedicado a la innovación y a la tecnología.</w:t>
            </w:r>
            <w:r w:rsidRPr="00A34388">
              <w:rPr>
                <w:sz w:val="16"/>
                <w:lang w:val="es-ES_tradnl"/>
              </w:rPr>
              <w:t xml:space="preserve"> </w:t>
            </w:r>
          </w:p>
        </w:tc>
        <w:tc>
          <w:tcPr>
            <w:tcW w:w="81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Contribución en materia de innovación y tecnología a tres planes estratégicos nacionales.</w:t>
            </w:r>
          </w:p>
        </w:tc>
        <w:tc>
          <w:tcPr>
            <w:tcW w:w="791" w:type="pct"/>
            <w:tcBorders>
              <w:bottom w:val="single" w:sz="4" w:space="0" w:color="auto"/>
            </w:tcBorders>
            <w:tcMar>
              <w:top w:w="110" w:type="dxa"/>
            </w:tcMar>
          </w:tcPr>
          <w:p w:rsidR="001A2871" w:rsidRPr="00332758" w:rsidRDefault="001A2871" w:rsidP="00853209">
            <w:pPr>
              <w:autoSpaceDE w:val="0"/>
              <w:autoSpaceDN w:val="0"/>
              <w:adjustRightInd w:val="0"/>
              <w:rPr>
                <w:rFonts w:cs="Arial"/>
                <w:sz w:val="16"/>
                <w:szCs w:val="16"/>
                <w:lang w:val="es-ES_tradnl"/>
              </w:rPr>
            </w:pPr>
            <w:r w:rsidRPr="00332758">
              <w:rPr>
                <w:sz w:val="16"/>
                <w:lang w:val="es-ES_tradnl"/>
              </w:rPr>
              <w:t>Contribución en materia de innovación y tecnología a ocho planes estratégicos nacionales.</w:t>
            </w:r>
          </w:p>
        </w:tc>
        <w:tc>
          <w:tcPr>
            <w:tcW w:w="1819" w:type="pct"/>
            <w:gridSpan w:val="2"/>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 diseñó y </w:t>
            </w:r>
            <w:r w:rsidR="00EF4041">
              <w:rPr>
                <w:sz w:val="16"/>
                <w:lang w:val="es-ES_tradnl"/>
              </w:rPr>
              <w:t xml:space="preserve">se puso en marcha como </w:t>
            </w:r>
            <w:r w:rsidRPr="00A34388">
              <w:rPr>
                <w:sz w:val="16"/>
                <w:lang w:val="es-ES_tradnl"/>
              </w:rPr>
              <w:t>pilot</w:t>
            </w:r>
            <w:r w:rsidR="00EF4041">
              <w:rPr>
                <w:sz w:val="16"/>
                <w:lang w:val="es-ES_tradnl"/>
              </w:rPr>
              <w:t>o</w:t>
            </w:r>
            <w:r w:rsidRPr="00A34388">
              <w:rPr>
                <w:sz w:val="16"/>
                <w:lang w:val="es-ES_tradnl"/>
              </w:rPr>
              <w:t xml:space="preserve"> un proyecto nacional para la integración de la P.I</w:t>
            </w:r>
            <w:r w:rsidR="00A45ECF" w:rsidRPr="00A34388">
              <w:rPr>
                <w:sz w:val="16"/>
                <w:lang w:val="es-ES_tradnl"/>
              </w:rPr>
              <w:t>.</w:t>
            </w:r>
            <w:r w:rsidRPr="00A34388">
              <w:rPr>
                <w:sz w:val="16"/>
                <w:lang w:val="es-ES_tradnl"/>
              </w:rPr>
              <w:t xml:space="preserve"> en la formulación de la política de innovación en Serbia, con el fin de poner a prueba un diseño y una metodología específicos para </w:t>
            </w:r>
            <w:r w:rsidR="00EF4041">
              <w:rPr>
                <w:sz w:val="16"/>
                <w:lang w:val="es-ES_tradnl"/>
              </w:rPr>
              <w:t>ejecutar</w:t>
            </w:r>
            <w:r w:rsidRPr="00A34388">
              <w:rPr>
                <w:sz w:val="16"/>
                <w:lang w:val="es-ES_tradnl"/>
              </w:rPr>
              <w:t xml:space="preserve"> futuros proyectos de este tipo en esta región.  Del proyecto se extrajo un serie de recomendaciones sobre la integración de la P.I. en la formulación de la política de innovación.</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También se </w:t>
            </w:r>
            <w:r w:rsidR="00EF4041">
              <w:rPr>
                <w:sz w:val="16"/>
                <w:lang w:val="es-ES_tradnl"/>
              </w:rPr>
              <w:t>hicieron aportaciones</w:t>
            </w:r>
            <w:r w:rsidRPr="00A34388">
              <w:rPr>
                <w:sz w:val="16"/>
                <w:lang w:val="es-ES_tradnl"/>
              </w:rPr>
              <w:t xml:space="preserve">, </w:t>
            </w:r>
            <w:r w:rsidR="00EF4041">
              <w:rPr>
                <w:sz w:val="16"/>
                <w:lang w:val="es-ES_tradnl"/>
              </w:rPr>
              <w:t xml:space="preserve">se dio </w:t>
            </w:r>
            <w:r w:rsidRPr="00A34388">
              <w:rPr>
                <w:sz w:val="16"/>
                <w:lang w:val="es-ES_tradnl"/>
              </w:rPr>
              <w:t xml:space="preserve">asesoramiento y/o </w:t>
            </w:r>
            <w:r w:rsidR="00EF4041">
              <w:rPr>
                <w:sz w:val="16"/>
                <w:lang w:val="es-ES_tradnl"/>
              </w:rPr>
              <w:t xml:space="preserve">se impartió </w:t>
            </w:r>
            <w:r w:rsidRPr="00A34388">
              <w:rPr>
                <w:sz w:val="16"/>
                <w:lang w:val="es-ES_tradnl"/>
              </w:rPr>
              <w:t>formación a otros países.</w:t>
            </w:r>
          </w:p>
          <w:p w:rsidR="001A2871" w:rsidRPr="00A34388" w:rsidRDefault="001A2871" w:rsidP="00853209">
            <w:pPr>
              <w:rPr>
                <w:rFonts w:cs="Arial"/>
                <w:sz w:val="16"/>
                <w:szCs w:val="16"/>
                <w:lang w:val="es-ES_tradnl"/>
              </w:rPr>
            </w:pPr>
          </w:p>
        </w:tc>
        <w:tc>
          <w:tcPr>
            <w:tcW w:w="682" w:type="pct"/>
            <w:tcBorders>
              <w:bottom w:val="single" w:sz="4" w:space="0" w:color="auto"/>
            </w:tcBorders>
            <w:tcMar>
              <w:top w:w="110" w:type="dxa"/>
            </w:tcMar>
          </w:tcPr>
          <w:p w:rsidR="001A2871" w:rsidRPr="00A34388" w:rsidRDefault="001A2871" w:rsidP="00853209">
            <w:pPr>
              <w:keepNext/>
              <w:keepLines/>
              <w:jc w:val="center"/>
              <w:rPr>
                <w:rFonts w:cs="Arial"/>
                <w:sz w:val="16"/>
                <w:szCs w:val="16"/>
                <w:lang w:val="es-ES_tradnl"/>
              </w:rPr>
            </w:pPr>
            <w:r w:rsidRPr="00A34388">
              <w:rPr>
                <w:rStyle w:val="Style5"/>
                <w:rFonts w:ascii="Arial" w:hAnsi="Arial"/>
                <w:sz w:val="16"/>
                <w:lang w:val="es-ES_tradnl"/>
              </w:rPr>
              <w:t>No mensurable</w:t>
            </w:r>
          </w:p>
        </w:tc>
      </w:tr>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332758" w:rsidRDefault="001A2871" w:rsidP="0093758C">
            <w:pPr>
              <w:keepNext/>
              <w:keepLines/>
              <w:tabs>
                <w:tab w:val="left" w:pos="1452"/>
              </w:tabs>
              <w:spacing w:before="120" w:after="120"/>
              <w:ind w:left="1701" w:hanging="1701"/>
              <w:rPr>
                <w:rFonts w:cs="Arial"/>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1A2871" w:rsidRPr="00A34388" w:rsidTr="00853209">
        <w:trPr>
          <w:cantSplit/>
        </w:trPr>
        <w:tc>
          <w:tcPr>
            <w:tcW w:w="889" w:type="pct"/>
            <w:tcBorders>
              <w:top w:val="single" w:sz="4" w:space="0" w:color="auto"/>
            </w:tcBorders>
            <w:vAlign w:val="center"/>
          </w:tcPr>
          <w:p w:rsidR="001A2871" w:rsidRPr="00A34388" w:rsidRDefault="001A2871" w:rsidP="0093758C">
            <w:pPr>
              <w:keepNext/>
              <w:rPr>
                <w:rFonts w:cs="Arial"/>
                <w:color w:val="808080"/>
                <w:sz w:val="16"/>
                <w:szCs w:val="16"/>
                <w:lang w:val="es-ES_tradnl"/>
              </w:rPr>
            </w:pPr>
            <w:r w:rsidRPr="00332758">
              <w:rPr>
                <w:b/>
                <w:sz w:val="16"/>
                <w:lang w:val="es-ES_tradnl"/>
              </w:rPr>
              <w:t>Indicadores de rendimiento</w:t>
            </w:r>
          </w:p>
        </w:tc>
        <w:tc>
          <w:tcPr>
            <w:tcW w:w="819" w:type="pct"/>
            <w:tcBorders>
              <w:top w:val="single" w:sz="4" w:space="0" w:color="auto"/>
            </w:tcBorders>
            <w:shd w:val="clear" w:color="auto" w:fill="auto"/>
            <w:vAlign w:val="center"/>
          </w:tcPr>
          <w:p w:rsidR="001A2871" w:rsidRPr="00A34388" w:rsidRDefault="001A2871" w:rsidP="0093758C">
            <w:pPr>
              <w:keepNext/>
              <w:rPr>
                <w:rFonts w:cs="Arial"/>
                <w:b/>
                <w:bCs/>
                <w:color w:val="808080"/>
                <w:sz w:val="16"/>
                <w:szCs w:val="16"/>
                <w:lang w:val="es-ES_tradnl"/>
              </w:rPr>
            </w:pPr>
            <w:r w:rsidRPr="00332758">
              <w:rPr>
                <w:b/>
                <w:sz w:val="16"/>
                <w:lang w:val="es-ES_tradnl"/>
              </w:rPr>
              <w:t>Referencia</w:t>
            </w:r>
          </w:p>
        </w:tc>
        <w:tc>
          <w:tcPr>
            <w:tcW w:w="933" w:type="pct"/>
            <w:gridSpan w:val="2"/>
            <w:tcBorders>
              <w:top w:val="single" w:sz="4" w:space="0" w:color="auto"/>
            </w:tcBorders>
            <w:tcMar>
              <w:top w:w="110" w:type="dxa"/>
            </w:tcMar>
            <w:vAlign w:val="center"/>
          </w:tcPr>
          <w:p w:rsidR="001A2871" w:rsidRPr="00A34388" w:rsidRDefault="001A2871" w:rsidP="0093758C">
            <w:pPr>
              <w:keepNext/>
              <w:rPr>
                <w:rFonts w:cs="Arial"/>
                <w:b/>
                <w:color w:val="808080"/>
                <w:sz w:val="16"/>
                <w:szCs w:val="16"/>
                <w:lang w:val="es-ES_tradnl"/>
              </w:rPr>
            </w:pPr>
            <w:r w:rsidRPr="00332758">
              <w:rPr>
                <w:b/>
                <w:sz w:val="16"/>
                <w:lang w:val="es-ES_tradnl"/>
              </w:rPr>
              <w:t>Objetivos</w:t>
            </w:r>
          </w:p>
        </w:tc>
        <w:tc>
          <w:tcPr>
            <w:tcW w:w="1677" w:type="pct"/>
            <w:tcBorders>
              <w:top w:val="single" w:sz="4" w:space="0" w:color="auto"/>
            </w:tcBorders>
            <w:shd w:val="clear" w:color="auto" w:fill="FFFFFF"/>
            <w:tcMar>
              <w:top w:w="110" w:type="dxa"/>
            </w:tcMar>
            <w:vAlign w:val="center"/>
          </w:tcPr>
          <w:p w:rsidR="001A2871" w:rsidRPr="00A34388" w:rsidRDefault="001A2871" w:rsidP="0093758C">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tcMar>
            <w:vAlign w:val="center"/>
          </w:tcPr>
          <w:p w:rsidR="001A2871" w:rsidRPr="00332758" w:rsidRDefault="001A2871" w:rsidP="0093758C">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89" w:type="pct"/>
          </w:tcPr>
          <w:p w:rsidR="001A2871" w:rsidRPr="00A34388" w:rsidRDefault="001A2871" w:rsidP="0093758C">
            <w:pPr>
              <w:keepNext/>
              <w:rPr>
                <w:rFonts w:cs="Arial"/>
                <w:sz w:val="16"/>
                <w:szCs w:val="16"/>
                <w:lang w:val="es-ES_tradnl"/>
              </w:rPr>
            </w:pPr>
            <w:r w:rsidRPr="00332758">
              <w:rPr>
                <w:sz w:val="16"/>
                <w:lang w:val="es-ES_tradnl"/>
              </w:rPr>
              <w:t>Porcentaje de participantes satisfechos con la calidad de los talleres y seminarios sobre la innovación y su comercialización.</w:t>
            </w:r>
          </w:p>
        </w:tc>
        <w:tc>
          <w:tcPr>
            <w:tcW w:w="819" w:type="pct"/>
            <w:shd w:val="clear" w:color="auto" w:fill="auto"/>
          </w:tcPr>
          <w:p w:rsidR="001A2871" w:rsidRPr="00A34388" w:rsidRDefault="001A2871" w:rsidP="0093758C">
            <w:pPr>
              <w:keepNext/>
              <w:rPr>
                <w:rFonts w:cs="Arial"/>
                <w:sz w:val="16"/>
                <w:szCs w:val="16"/>
                <w:lang w:val="es-ES_tradnl"/>
              </w:rPr>
            </w:pPr>
            <w:r w:rsidRPr="00332758">
              <w:rPr>
                <w:sz w:val="16"/>
                <w:lang w:val="es-ES_tradnl"/>
              </w:rPr>
              <w:t>Se dispone de información general, pero no de datos específicos.</w:t>
            </w:r>
          </w:p>
        </w:tc>
        <w:tc>
          <w:tcPr>
            <w:tcW w:w="933" w:type="pct"/>
            <w:gridSpan w:val="2"/>
            <w:tcMar>
              <w:top w:w="110" w:type="dxa"/>
            </w:tcMar>
          </w:tcPr>
          <w:p w:rsidR="001A2871" w:rsidRPr="00A34388" w:rsidRDefault="001A2871" w:rsidP="0093758C">
            <w:pPr>
              <w:keepNext/>
              <w:rPr>
                <w:rFonts w:cs="Arial"/>
                <w:sz w:val="16"/>
                <w:szCs w:val="16"/>
                <w:lang w:val="es-ES_tradnl"/>
              </w:rPr>
            </w:pPr>
            <w:r w:rsidRPr="00A34388">
              <w:rPr>
                <w:sz w:val="16"/>
                <w:lang w:val="es-ES_tradnl"/>
              </w:rPr>
              <w:t>90%</w:t>
            </w:r>
          </w:p>
        </w:tc>
        <w:tc>
          <w:tcPr>
            <w:tcW w:w="1677" w:type="pct"/>
            <w:shd w:val="clear" w:color="auto" w:fill="FFFFFF"/>
            <w:tcMar>
              <w:top w:w="110" w:type="dxa"/>
            </w:tcMar>
          </w:tcPr>
          <w:p w:rsidR="001A2871" w:rsidRPr="00332758" w:rsidRDefault="001A2871" w:rsidP="0093758C">
            <w:pPr>
              <w:keepNext/>
              <w:rPr>
                <w:rFonts w:cs="Arial"/>
                <w:sz w:val="16"/>
                <w:szCs w:val="16"/>
                <w:lang w:val="es-ES_tradnl"/>
              </w:rPr>
            </w:pPr>
            <w:r w:rsidRPr="00332758">
              <w:rPr>
                <w:sz w:val="16"/>
                <w:lang w:val="es-ES_tradnl"/>
              </w:rPr>
              <w:t>En 2012, el 85% de los participantes encuestados estaba satisfecho con la calidad de los talleres y la formación.</w:t>
            </w:r>
          </w:p>
          <w:p w:rsidR="001A2871" w:rsidRPr="00A34388" w:rsidRDefault="001A2871" w:rsidP="0093758C">
            <w:pPr>
              <w:keepNext/>
              <w:rPr>
                <w:rFonts w:cs="Arial"/>
                <w:sz w:val="8"/>
                <w:szCs w:val="8"/>
                <w:lang w:val="es-ES_tradnl"/>
              </w:rPr>
            </w:pPr>
          </w:p>
          <w:p w:rsidR="001A2871" w:rsidRPr="00A34388" w:rsidRDefault="001A2871" w:rsidP="0093758C">
            <w:pPr>
              <w:keepNext/>
              <w:rPr>
                <w:rFonts w:cs="Arial"/>
                <w:sz w:val="16"/>
                <w:szCs w:val="16"/>
                <w:lang w:val="es-ES_tradnl"/>
              </w:rPr>
            </w:pPr>
            <w:r w:rsidRPr="00A34388">
              <w:rPr>
                <w:sz w:val="16"/>
                <w:lang w:val="es-ES_tradnl"/>
              </w:rPr>
              <w:t>Con arreglo a las evaluaciones realizadas en 2013 de cuatro actividades de formación adicionales (mediante una encuesta de nueva elaboración), el 100% de los participantes estaba satisfecho con la calidad de los talleres (el 93,8% consideraba que su calidad era alta o muy alta) y el 100% calificaba como de calidad muy alta o alta a los ponentes y sus ponencias.</w:t>
            </w:r>
          </w:p>
          <w:p w:rsidR="001A2871" w:rsidRPr="00A34388" w:rsidRDefault="001A2871" w:rsidP="0093758C">
            <w:pPr>
              <w:keepNext/>
              <w:jc w:val="both"/>
              <w:rPr>
                <w:rFonts w:cs="Arial"/>
                <w:sz w:val="16"/>
                <w:szCs w:val="16"/>
                <w:lang w:val="es-ES_tradnl"/>
              </w:rPr>
            </w:pPr>
          </w:p>
        </w:tc>
        <w:tc>
          <w:tcPr>
            <w:tcW w:w="682" w:type="pct"/>
            <w:tcMar>
              <w:top w:w="110" w:type="dxa"/>
            </w:tcMar>
          </w:tcPr>
          <w:p w:rsidR="001A2871" w:rsidRPr="00332758" w:rsidRDefault="001A2871" w:rsidP="0093758C">
            <w:pPr>
              <w:keepNext/>
              <w:keepLines/>
              <w:jc w:val="center"/>
              <w:rPr>
                <w:rFonts w:cs="Arial"/>
                <w:bCs/>
                <w:sz w:val="16"/>
                <w:szCs w:val="16"/>
                <w:lang w:val="es-ES_tradnl"/>
              </w:rPr>
            </w:pPr>
            <w:r w:rsidRPr="00A34388">
              <w:rPr>
                <w:rStyle w:val="Style5"/>
                <w:rFonts w:ascii="Arial" w:hAnsi="Arial"/>
                <w:color w:val="008000"/>
                <w:sz w:val="16"/>
                <w:lang w:val="es-ES_tradnl"/>
              </w:rPr>
              <w:t>Plenamente</w:t>
            </w:r>
            <w:r w:rsidRPr="00A34388">
              <w:rPr>
                <w:rStyle w:val="Style5"/>
                <w:rFonts w:ascii="Arial" w:hAnsi="Arial" w:cs="Arial"/>
                <w:color w:val="008000"/>
                <w:sz w:val="16"/>
                <w:szCs w:val="16"/>
                <w:lang w:val="es-ES_tradnl"/>
              </w:rPr>
              <w:br/>
            </w:r>
            <w:r w:rsidRPr="00A34388">
              <w:rPr>
                <w:rStyle w:val="Style5"/>
                <w:rFonts w:ascii="Arial" w:hAnsi="Arial"/>
                <w:color w:val="008000"/>
                <w:sz w:val="16"/>
                <w:lang w:val="es-ES_tradnl"/>
              </w:rPr>
              <w:t>logrado</w:t>
            </w:r>
          </w:p>
        </w:tc>
      </w:tr>
      <w:tr w:rsidR="001A2871" w:rsidRPr="00A34388" w:rsidTr="004C0FD5">
        <w:trPr>
          <w:cantSplit/>
        </w:trPr>
        <w:tc>
          <w:tcPr>
            <w:tcW w:w="889" w:type="pct"/>
            <w:tcBorders>
              <w:bottom w:val="single" w:sz="4" w:space="0" w:color="auto"/>
            </w:tcBorders>
          </w:tcPr>
          <w:p w:rsidR="001A2871" w:rsidRPr="00A34388" w:rsidRDefault="001A2871" w:rsidP="00853209">
            <w:pPr>
              <w:rPr>
                <w:rFonts w:cs="Arial"/>
                <w:sz w:val="16"/>
                <w:szCs w:val="16"/>
                <w:lang w:val="es-ES_tradnl"/>
              </w:rPr>
            </w:pPr>
            <w:r w:rsidRPr="00332758">
              <w:rPr>
                <w:sz w:val="16"/>
                <w:lang w:val="es-ES_tradnl"/>
              </w:rPr>
              <w:t>Número de usuarios de países en desarrollo de herramientas, modelos y material elaborado por la OMPI en materia de innovación y su comercialización.</w:t>
            </w:r>
          </w:p>
          <w:p w:rsidR="001A2871" w:rsidRPr="00A34388" w:rsidRDefault="001A2871" w:rsidP="00853209">
            <w:pPr>
              <w:rPr>
                <w:rFonts w:cs="Arial"/>
                <w:sz w:val="16"/>
                <w:szCs w:val="16"/>
                <w:lang w:val="es-ES_tradnl"/>
              </w:rPr>
            </w:pPr>
          </w:p>
        </w:tc>
        <w:tc>
          <w:tcPr>
            <w:tcW w:w="819" w:type="pct"/>
            <w:tcBorders>
              <w:bottom w:val="single" w:sz="4" w:space="0" w:color="auto"/>
            </w:tcBorders>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 xml:space="preserve">Referencia actualizada </w:t>
            </w:r>
            <w:r w:rsidRPr="00A34388">
              <w:rPr>
                <w:rFonts w:cs="Arial"/>
                <w:i/>
                <w:color w:val="002060"/>
                <w:sz w:val="16"/>
                <w:szCs w:val="16"/>
                <w:lang w:val="es-ES_tradnl"/>
              </w:rPr>
              <w:br/>
            </w:r>
            <w:r w:rsidRPr="00A34388">
              <w:rPr>
                <w:i/>
                <w:color w:val="002060"/>
                <w:sz w:val="16"/>
                <w:lang w:val="es-ES_tradnl"/>
              </w:rPr>
              <w:t>a fines de 2011:</w:t>
            </w:r>
            <w:r w:rsidRPr="00A34388">
              <w:rPr>
                <w:color w:val="002060"/>
                <w:sz w:val="16"/>
                <w:lang w:val="es-ES_tradnl"/>
              </w:rPr>
              <w:t xml:space="preserve"> </w:t>
            </w:r>
            <w:r w:rsidRPr="00A34388">
              <w:rPr>
                <w:rFonts w:cs="Arial"/>
                <w:color w:val="002060"/>
                <w:sz w:val="16"/>
                <w:szCs w:val="16"/>
                <w:lang w:val="es-ES_tradnl"/>
              </w:rPr>
              <w:br/>
            </w:r>
            <w:r w:rsidRPr="00A34388">
              <w:rPr>
                <w:color w:val="002060"/>
                <w:sz w:val="16"/>
                <w:lang w:val="es-ES_tradnl"/>
              </w:rPr>
              <w:t>1.167 usuarios</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i/>
                <w:sz w:val="16"/>
                <w:lang w:val="es-ES_tradnl"/>
              </w:rPr>
              <w:t xml:space="preserve">Referencia original </w:t>
            </w:r>
            <w:r w:rsidRPr="00A34388">
              <w:rPr>
                <w:i/>
                <w:sz w:val="16"/>
                <w:szCs w:val="16"/>
                <w:lang w:val="es-ES_tradnl"/>
              </w:rPr>
              <w:br/>
            </w:r>
            <w:r w:rsidRPr="00A34388">
              <w:rPr>
                <w:i/>
                <w:sz w:val="16"/>
                <w:lang w:val="es-ES_tradnl"/>
              </w:rPr>
              <w:t>(Presup. por prog. 2012/13):</w:t>
            </w:r>
            <w:r w:rsidRPr="00A34388">
              <w:rPr>
                <w:sz w:val="16"/>
                <w:lang w:val="es-ES_tradnl"/>
              </w:rPr>
              <w:t xml:space="preserve">  2.400 usuarios </w:t>
            </w:r>
          </w:p>
        </w:tc>
        <w:tc>
          <w:tcPr>
            <w:tcW w:w="933" w:type="pct"/>
            <w:gridSpan w:val="2"/>
            <w:tcBorders>
              <w:bottom w:val="single" w:sz="4" w:space="0" w:color="auto"/>
            </w:tcBorders>
            <w:tcMar>
              <w:top w:w="110" w:type="dxa"/>
            </w:tcMar>
          </w:tcPr>
          <w:p w:rsidR="001A2871" w:rsidRPr="00A34388" w:rsidRDefault="001A2871" w:rsidP="00853209">
            <w:pPr>
              <w:rPr>
                <w:rFonts w:cs="Arial"/>
                <w:sz w:val="16"/>
                <w:szCs w:val="16"/>
                <w:lang w:val="es-ES_tradnl"/>
              </w:rPr>
            </w:pPr>
            <w:r w:rsidRPr="00332758">
              <w:rPr>
                <w:sz w:val="16"/>
                <w:lang w:val="es-ES_tradnl"/>
              </w:rPr>
              <w:t>3.200 usuarios.</w:t>
            </w:r>
          </w:p>
        </w:tc>
        <w:tc>
          <w:tcPr>
            <w:tcW w:w="1677"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1.167 (en 2012) y 1.193 (en 2013) expertos formados </w:t>
            </w:r>
            <w:r w:rsidRPr="00A34388">
              <w:rPr>
                <w:i/>
                <w:sz w:val="16"/>
                <w:lang w:val="es-ES_tradnl"/>
              </w:rPr>
              <w:t>in situ</w:t>
            </w:r>
            <w:r w:rsidRPr="00A34388">
              <w:rPr>
                <w:sz w:val="16"/>
                <w:lang w:val="es-ES_tradnl"/>
              </w:rPr>
              <w:t xml:space="preserve"> y otros 400 participantes en cursos de formación práctica a distancia, con formadores, para un total de 2.760 usuarios de las herramientas, los modelos y el material.  (En este contexto "usuarios" se refiere a los usuarios en el momento de la formación e inmediatamente después).</w:t>
            </w:r>
          </w:p>
        </w:tc>
        <w:tc>
          <w:tcPr>
            <w:tcW w:w="682" w:type="pct"/>
            <w:tcBorders>
              <w:bottom w:val="single" w:sz="4" w:space="0" w:color="auto"/>
            </w:tcBorders>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 logrado</w:t>
            </w:r>
          </w:p>
        </w:tc>
      </w:tr>
      <w:tr w:rsidR="001A2871" w:rsidRPr="00A9508D" w:rsidTr="00853209">
        <w:trPr>
          <w:cantSplit/>
        </w:trPr>
        <w:tc>
          <w:tcPr>
            <w:tcW w:w="5000" w:type="pct"/>
            <w:gridSpan w:val="6"/>
            <w:tcBorders>
              <w:top w:val="single" w:sz="4" w:space="0" w:color="auto"/>
              <w:bottom w:val="single" w:sz="4" w:space="0" w:color="auto"/>
            </w:tcBorders>
            <w:shd w:val="clear" w:color="auto" w:fill="CCFFFF"/>
            <w:vAlign w:val="center"/>
          </w:tcPr>
          <w:p w:rsidR="001A2871" w:rsidRPr="00A34388" w:rsidRDefault="001A2871" w:rsidP="00853209">
            <w:pPr>
              <w:keepNext/>
              <w:keepLines/>
              <w:tabs>
                <w:tab w:val="left" w:pos="-5211"/>
              </w:tabs>
              <w:spacing w:before="120" w:after="120"/>
              <w:ind w:left="1701" w:hanging="1701"/>
              <w:rPr>
                <w:rFonts w:cs="Arial"/>
                <w:b/>
                <w:bCs/>
                <w:sz w:val="16"/>
                <w:szCs w:val="16"/>
                <w:lang w:val="es-ES_tradnl"/>
              </w:rPr>
            </w:pPr>
            <w:r w:rsidRPr="00A34388">
              <w:rPr>
                <w:b/>
                <w:color w:val="000000"/>
                <w:sz w:val="16"/>
                <w:lang w:val="es-ES_tradnl"/>
              </w:rPr>
              <w:t>Resultado previsto:</w:t>
            </w:r>
            <w:r w:rsidRPr="00A34388">
              <w:rPr>
                <w:lang w:val="es-ES_tradnl"/>
              </w:rPr>
              <w:tab/>
            </w:r>
            <w:r w:rsidRPr="00A34388">
              <w:rPr>
                <w:b/>
                <w:color w:val="000000"/>
                <w:sz w:val="16"/>
                <w:lang w:val="es-ES_tradnl"/>
              </w:rPr>
              <w:t>Mejor comprensión/capacidad de las Pymes y de las instituciones de respaldo a las Pymes en lo que atañe a utilizar con éxito la P.I. para respaldar la innovación y la comercialización.</w:t>
            </w:r>
          </w:p>
        </w:tc>
      </w:tr>
      <w:tr w:rsidR="001A2871" w:rsidRPr="00A34388" w:rsidTr="004C0FD5">
        <w:trPr>
          <w:cantSplit/>
        </w:trPr>
        <w:tc>
          <w:tcPr>
            <w:tcW w:w="889" w:type="pct"/>
            <w:tcBorders>
              <w:top w:val="single" w:sz="4" w:space="0" w:color="auto"/>
            </w:tcBorders>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81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33" w:type="pct"/>
            <w:gridSpan w:val="2"/>
            <w:tcBorders>
              <w:top w:val="single" w:sz="4" w:space="0" w:color="auto"/>
            </w:tcBorders>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76"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4C0FD5">
        <w:trPr>
          <w:cantSplit/>
        </w:trPr>
        <w:tc>
          <w:tcPr>
            <w:tcW w:w="889" w:type="pct"/>
          </w:tcPr>
          <w:p w:rsidR="001A2871" w:rsidRPr="00A34388" w:rsidRDefault="001A2871" w:rsidP="00853209">
            <w:pPr>
              <w:rPr>
                <w:rFonts w:cs="Arial"/>
                <w:sz w:val="16"/>
                <w:szCs w:val="16"/>
                <w:lang w:val="es-ES_tradnl"/>
              </w:rPr>
            </w:pPr>
            <w:r w:rsidRPr="00332758">
              <w:rPr>
                <w:sz w:val="16"/>
                <w:lang w:val="es-ES_tradnl"/>
              </w:rPr>
              <w:t>Porcentaje de instituciones de respaldo a las pymes que recibieron asistencia y proporcionan información, respaldo y servicios de asesoramiento sobre la gestión de activos de P.I.</w:t>
            </w:r>
            <w:r w:rsidRPr="00A34388">
              <w:rPr>
                <w:sz w:val="16"/>
                <w:lang w:val="es-ES_tradnl"/>
              </w:rPr>
              <w:t xml:space="preserve"> </w:t>
            </w:r>
          </w:p>
        </w:tc>
        <w:tc>
          <w:tcPr>
            <w:tcW w:w="819"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r w:rsidRPr="00A34388">
              <w:rPr>
                <w:sz w:val="16"/>
                <w:lang w:val="es-ES_tradnl"/>
              </w:rPr>
              <w:t xml:space="preserve"> </w:t>
            </w:r>
          </w:p>
        </w:tc>
        <w:tc>
          <w:tcPr>
            <w:tcW w:w="933" w:type="pct"/>
            <w:gridSpan w:val="2"/>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80% (de 15 instituciones</w:t>
            </w:r>
          </w:p>
          <w:p w:rsidR="001A2871" w:rsidRPr="00A34388" w:rsidRDefault="001A2871" w:rsidP="004B685C">
            <w:pPr>
              <w:autoSpaceDE w:val="0"/>
              <w:autoSpaceDN w:val="0"/>
              <w:adjustRightInd w:val="0"/>
              <w:rPr>
                <w:rFonts w:cs="Arial"/>
                <w:sz w:val="16"/>
                <w:szCs w:val="16"/>
                <w:lang w:val="es-ES_tradnl"/>
              </w:rPr>
            </w:pPr>
            <w:r w:rsidRPr="00A34388">
              <w:rPr>
                <w:sz w:val="16"/>
                <w:lang w:val="es-ES_tradnl"/>
              </w:rPr>
              <w:t>de respaldo a las que se</w:t>
            </w:r>
            <w:r w:rsidR="004B685C" w:rsidRPr="00A34388">
              <w:rPr>
                <w:sz w:val="16"/>
                <w:lang w:val="es-ES_tradnl"/>
              </w:rPr>
              <w:t xml:space="preserve"> </w:t>
            </w:r>
            <w:r w:rsidRPr="00A34388">
              <w:rPr>
                <w:sz w:val="16"/>
                <w:lang w:val="es-ES_tradnl"/>
              </w:rPr>
              <w:t>preveía prestar asistencia)</w:t>
            </w:r>
          </w:p>
        </w:tc>
        <w:tc>
          <w:tcPr>
            <w:tcW w:w="1676"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El 100% de las 15 instituciones de respaldo a las pymes que recibieron asistencia y proporcionan información, respaldo y servicios de asesoramiento sobre la gestión de activos de P.I.</w:t>
            </w:r>
          </w:p>
        </w:tc>
        <w:tc>
          <w:tcPr>
            <w:tcW w:w="682" w:type="pct"/>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 logrado</w:t>
            </w:r>
          </w:p>
        </w:tc>
      </w:tr>
      <w:tr w:rsidR="001A2871" w:rsidRPr="00A34388" w:rsidTr="004C0FD5">
        <w:trPr>
          <w:cantSplit/>
        </w:trPr>
        <w:tc>
          <w:tcPr>
            <w:tcW w:w="889" w:type="pct"/>
          </w:tcPr>
          <w:p w:rsidR="001A2871" w:rsidRPr="00A34388" w:rsidRDefault="001A2871" w:rsidP="00853209">
            <w:pPr>
              <w:rPr>
                <w:rFonts w:cs="Arial"/>
                <w:sz w:val="16"/>
                <w:szCs w:val="16"/>
                <w:lang w:val="es-ES_tradnl"/>
              </w:rPr>
            </w:pPr>
            <w:r w:rsidRPr="00332758">
              <w:rPr>
                <w:sz w:val="16"/>
                <w:lang w:val="es-ES_tradnl"/>
              </w:rPr>
              <w:t>Número de programas nacionales/regionales de formación en gestión de activos de P.I.</w:t>
            </w:r>
            <w:r w:rsidRPr="00A34388">
              <w:rPr>
                <w:sz w:val="16"/>
                <w:lang w:val="es-ES_tradnl"/>
              </w:rPr>
              <w:t xml:space="preserve"> </w:t>
            </w:r>
          </w:p>
        </w:tc>
        <w:tc>
          <w:tcPr>
            <w:tcW w:w="819" w:type="pct"/>
            <w:shd w:val="clear" w:color="auto" w:fill="auto"/>
          </w:tcPr>
          <w:p w:rsidR="001A2871" w:rsidRPr="00A34388" w:rsidRDefault="001A2871" w:rsidP="00853209">
            <w:pPr>
              <w:rPr>
                <w:rFonts w:cs="Arial"/>
                <w:sz w:val="16"/>
                <w:szCs w:val="16"/>
                <w:lang w:val="es-ES_tradnl"/>
              </w:rPr>
            </w:pPr>
            <w:r w:rsidRPr="00A34388">
              <w:rPr>
                <w:sz w:val="16"/>
                <w:lang w:val="es-ES_tradnl"/>
              </w:rPr>
              <w:t>24</w:t>
            </w:r>
          </w:p>
        </w:tc>
        <w:tc>
          <w:tcPr>
            <w:tcW w:w="933" w:type="pct"/>
            <w:gridSpan w:val="2"/>
            <w:tcMar>
              <w:top w:w="110" w:type="dxa"/>
            </w:tcMar>
          </w:tcPr>
          <w:p w:rsidR="001A2871" w:rsidRPr="00A34388" w:rsidRDefault="001A2871" w:rsidP="00853209">
            <w:pPr>
              <w:rPr>
                <w:rFonts w:cs="Arial"/>
                <w:sz w:val="16"/>
                <w:szCs w:val="16"/>
                <w:lang w:val="es-ES_tradnl"/>
              </w:rPr>
            </w:pPr>
            <w:r w:rsidRPr="00A34388">
              <w:rPr>
                <w:sz w:val="16"/>
                <w:lang w:val="es-ES_tradnl"/>
              </w:rPr>
              <w:t>24 (en 2012/13)</w:t>
            </w:r>
          </w:p>
        </w:tc>
        <w:tc>
          <w:tcPr>
            <w:tcW w:w="1676"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Durante el bienio se llevaron a cabo 29 programas de formación sobre gestión de activos de propiedad intelectual en países de África, la región árabe, Asia y el Pacífico, América Latina y el Caribe y en países con economías en transición.  1.525 participantes fueron los beneficiarios directos de estos programas.</w:t>
            </w:r>
          </w:p>
        </w:tc>
        <w:tc>
          <w:tcPr>
            <w:tcW w:w="682" w:type="pct"/>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 logrado</w:t>
            </w:r>
          </w:p>
        </w:tc>
      </w:tr>
      <w:tr w:rsidR="001A2871" w:rsidRPr="00A34388" w:rsidTr="004C0FD5">
        <w:trPr>
          <w:cantSplit/>
        </w:trPr>
        <w:tc>
          <w:tcPr>
            <w:tcW w:w="889" w:type="pct"/>
            <w:tcBorders>
              <w:bottom w:val="single" w:sz="4" w:space="0" w:color="auto"/>
            </w:tcBorders>
          </w:tcPr>
          <w:p w:rsidR="001A2871" w:rsidRPr="00332758" w:rsidRDefault="001A2871" w:rsidP="00853209">
            <w:pPr>
              <w:rPr>
                <w:rFonts w:cs="Arial"/>
                <w:sz w:val="16"/>
                <w:szCs w:val="16"/>
                <w:lang w:val="es-ES_tradnl"/>
              </w:rPr>
            </w:pPr>
            <w:r w:rsidRPr="00332758">
              <w:rPr>
                <w:sz w:val="16"/>
                <w:lang w:val="es-ES_tradnl"/>
              </w:rPr>
              <w:t xml:space="preserve">Porcentaje de instituciones de respaldo a las pymes satisfechas en la formación proporcionada en gestión de activos de P.I.  </w:t>
            </w:r>
          </w:p>
          <w:p w:rsidR="001A2871" w:rsidRPr="00A34388" w:rsidRDefault="001A2871" w:rsidP="00853209">
            <w:pPr>
              <w:rPr>
                <w:rFonts w:cs="Arial"/>
                <w:sz w:val="16"/>
                <w:szCs w:val="16"/>
                <w:lang w:val="es-ES_tradnl"/>
              </w:rPr>
            </w:pPr>
          </w:p>
        </w:tc>
        <w:tc>
          <w:tcPr>
            <w:tcW w:w="81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w:t>
            </w:r>
          </w:p>
        </w:tc>
        <w:tc>
          <w:tcPr>
            <w:tcW w:w="933" w:type="pct"/>
            <w:gridSpan w:val="2"/>
            <w:tcBorders>
              <w:bottom w:val="single" w:sz="4" w:space="0" w:color="auto"/>
            </w:tcBorders>
            <w:tcMar>
              <w:top w:w="110" w:type="dxa"/>
            </w:tcMar>
          </w:tcPr>
          <w:p w:rsidR="001A2871" w:rsidRPr="00A34388" w:rsidRDefault="001A2871" w:rsidP="00853209">
            <w:pPr>
              <w:rPr>
                <w:rFonts w:cs="Arial"/>
                <w:sz w:val="16"/>
                <w:szCs w:val="16"/>
                <w:lang w:val="es-ES_tradnl"/>
              </w:rPr>
            </w:pPr>
            <w:r w:rsidRPr="00332758">
              <w:rPr>
                <w:sz w:val="16"/>
                <w:lang w:val="es-ES_tradnl"/>
              </w:rPr>
              <w:t>Por determinar.</w:t>
            </w:r>
          </w:p>
        </w:tc>
        <w:tc>
          <w:tcPr>
            <w:tcW w:w="1676"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En las encuestas realizadas en 24 programas de formación (de los 29 impartidos), el 100% de las instituciones de respaldo a las pymes encuestadas se mostraron satisfechas con la formación sobre gestión de activos de P.I. que habían recibido.</w:t>
            </w:r>
          </w:p>
        </w:tc>
        <w:tc>
          <w:tcPr>
            <w:tcW w:w="682" w:type="pct"/>
            <w:tcBorders>
              <w:bottom w:val="single" w:sz="4" w:space="0" w:color="auto"/>
            </w:tcBorders>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008000"/>
                <w:sz w:val="16"/>
                <w:lang w:val="es-ES_tradnl"/>
              </w:rPr>
              <w:t>Plenamente logrado</w:t>
            </w:r>
          </w:p>
        </w:tc>
      </w:tr>
    </w:tbl>
    <w:p w:rsidR="001A2871" w:rsidRPr="00A34388" w:rsidRDefault="001A2871" w:rsidP="001A2871">
      <w:pPr>
        <w:rPr>
          <w:rFonts w:cs="Arial"/>
          <w:lang w:val="es-ES_tradnl"/>
        </w:rPr>
      </w:pPr>
    </w:p>
    <w:p w:rsidR="001A2871" w:rsidRPr="00A34388" w:rsidRDefault="001A2871" w:rsidP="001A2871">
      <w:pPr>
        <w:rPr>
          <w:rFonts w:cs="Arial"/>
          <w:lang w:val="es-ES_tradnl"/>
        </w:rPr>
      </w:pPr>
    </w:p>
    <w:p w:rsidR="004C0FD5" w:rsidRPr="00332758" w:rsidRDefault="004C0FD5">
      <w:pPr>
        <w:rPr>
          <w:rFonts w:cs="Arial"/>
          <w:sz w:val="22"/>
          <w:szCs w:val="18"/>
          <w:lang w:val="es-ES_tradnl"/>
        </w:rPr>
      </w:pPr>
      <w:r w:rsidRPr="00332758">
        <w:rPr>
          <w:sz w:val="22"/>
          <w:lang w:val="es-ES_tradnl"/>
        </w:rPr>
        <w:br w:type="page"/>
      </w:r>
    </w:p>
    <w:p w:rsidR="001A2871" w:rsidRPr="00A34388" w:rsidRDefault="001A2871" w:rsidP="001A2871">
      <w:pPr>
        <w:pStyle w:val="NormalWeb"/>
        <w:spacing w:before="0" w:beforeAutospacing="0" w:after="0" w:afterAutospacing="0"/>
        <w:rPr>
          <w:color w:val="000000"/>
          <w:sz w:val="22"/>
          <w:szCs w:val="22"/>
          <w:lang w:val="es-ES_tradnl"/>
        </w:rPr>
      </w:pPr>
      <w:r w:rsidRPr="00332758">
        <w:rPr>
          <w:sz w:val="22"/>
          <w:lang w:val="es-ES_tradnl"/>
        </w:rPr>
        <w:lastRenderedPageBreak/>
        <w:t>PRESUPUESTO Y GASTOS REALES</w:t>
      </w:r>
    </w:p>
    <w:p w:rsidR="001A2871" w:rsidRPr="00A34388" w:rsidRDefault="001A2871" w:rsidP="001A2871">
      <w:pPr>
        <w:pStyle w:val="NormalWeb"/>
        <w:spacing w:before="0" w:beforeAutospacing="0" w:after="0" w:afterAutospacing="0"/>
        <w:jc w:val="center"/>
        <w:rPr>
          <w:color w:val="000000"/>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(en miles de francos suizos)</w:t>
      </w:r>
    </w:p>
    <w:p w:rsidR="001A2871" w:rsidRPr="00A34388" w:rsidRDefault="001A2871" w:rsidP="001A2871">
      <w:pPr>
        <w:pStyle w:val="NormalWeb"/>
        <w:spacing w:before="0" w:beforeAutospacing="0" w:after="0" w:afterAutospacing="0"/>
        <w:jc w:val="center"/>
        <w:rPr>
          <w:i/>
          <w:iCs/>
          <w:color w:val="000000"/>
          <w:sz w:val="22"/>
          <w:szCs w:val="22"/>
          <w:lang w:val="es-ES_tradnl"/>
        </w:rPr>
      </w:pPr>
    </w:p>
    <w:tbl>
      <w:tblPr>
        <w:tblW w:w="0" w:type="auto"/>
        <w:tblInd w:w="108" w:type="dxa"/>
        <w:tblLayout w:type="fixed"/>
        <w:tblLook w:val="04A0" w:firstRow="1" w:lastRow="0" w:firstColumn="1" w:lastColumn="0" w:noHBand="0" w:noVBand="1"/>
      </w:tblPr>
      <w:tblGrid>
        <w:gridCol w:w="714"/>
        <w:gridCol w:w="4673"/>
        <w:gridCol w:w="1357"/>
        <w:gridCol w:w="1357"/>
        <w:gridCol w:w="1357"/>
      </w:tblGrid>
      <w:tr w:rsidR="001A2871" w:rsidRPr="00A34388" w:rsidTr="00853209">
        <w:tc>
          <w:tcPr>
            <w:tcW w:w="538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714"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III.1</w:t>
            </w:r>
          </w:p>
        </w:tc>
        <w:tc>
          <w:tcPr>
            <w:tcW w:w="467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Políticas nacionales, estrategias y planes de desarrollo de innovación y de P.I. claramente definidos y coherentes que estén en sintonía con las metas y los objetivos nacionales de desarrollo.</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257</w:t>
            </w:r>
          </w:p>
        </w:tc>
        <w:tc>
          <w:tcPr>
            <w:tcW w:w="1357"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198</w:t>
            </w:r>
          </w:p>
        </w:tc>
      </w:tr>
      <w:tr w:rsidR="001A2871" w:rsidRPr="00A34388" w:rsidTr="00853209">
        <w:tc>
          <w:tcPr>
            <w:tcW w:w="714"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III.2</w:t>
            </w:r>
          </w:p>
        </w:tc>
        <w:tc>
          <w:tcPr>
            <w:tcW w:w="467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2.433 </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1.915</w:t>
            </w:r>
          </w:p>
        </w:tc>
        <w:tc>
          <w:tcPr>
            <w:tcW w:w="1357"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1.809</w:t>
            </w:r>
          </w:p>
        </w:tc>
      </w:tr>
      <w:tr w:rsidR="001A2871" w:rsidRPr="00A34388" w:rsidTr="00853209">
        <w:tc>
          <w:tcPr>
            <w:tcW w:w="714"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000000"/>
                <w:sz w:val="16"/>
                <w:szCs w:val="16"/>
                <w:lang w:val="es-ES_tradnl"/>
              </w:rPr>
            </w:pPr>
            <w:r w:rsidRPr="00332758">
              <w:rPr>
                <w:sz w:val="16"/>
                <w:lang w:val="es-ES_tradnl"/>
              </w:rPr>
              <w:t>III.11</w:t>
            </w:r>
          </w:p>
        </w:tc>
        <w:tc>
          <w:tcPr>
            <w:tcW w:w="4673" w:type="dxa"/>
            <w:tcBorders>
              <w:top w:val="nil"/>
              <w:left w:val="nil"/>
              <w:bottom w:val="nil"/>
              <w:right w:val="nil"/>
            </w:tcBorders>
            <w:shd w:val="clear" w:color="000000" w:fill="FFFFFF"/>
            <w:hideMark/>
          </w:tcPr>
          <w:p w:rsidR="001A2871" w:rsidRPr="00A34388" w:rsidRDefault="001A2871" w:rsidP="00853209">
            <w:pPr>
              <w:spacing w:before="120"/>
              <w:rPr>
                <w:rFonts w:cs="Arial"/>
                <w:color w:val="000000"/>
                <w:sz w:val="16"/>
                <w:szCs w:val="16"/>
                <w:lang w:val="es-ES_tradnl"/>
              </w:rPr>
            </w:pPr>
            <w:r w:rsidRPr="00332758">
              <w:rPr>
                <w:sz w:val="16"/>
                <w:lang w:val="es-ES_tradnl"/>
              </w:rPr>
              <w:t>Mejor capacidad de las pymes para utilizar con éxito la P.I. con el fin de apoyar la innovación y la comercialización.</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000000"/>
                <w:sz w:val="16"/>
                <w:szCs w:val="16"/>
                <w:lang w:val="es-ES_tradnl"/>
              </w:rPr>
            </w:pPr>
            <w:r w:rsidRPr="00A34388">
              <w:rPr>
                <w:color w:val="000000"/>
                <w:sz w:val="16"/>
                <w:lang w:val="es-ES_tradnl"/>
              </w:rPr>
              <w:t xml:space="preserve">5.253 </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000000"/>
                <w:sz w:val="16"/>
                <w:szCs w:val="16"/>
                <w:lang w:val="es-ES_tradnl"/>
              </w:rPr>
            </w:pPr>
            <w:r w:rsidRPr="00A34388">
              <w:rPr>
                <w:color w:val="000000"/>
                <w:sz w:val="16"/>
                <w:lang w:val="es-ES_tradnl"/>
              </w:rPr>
              <w:t>3.724</w:t>
            </w:r>
          </w:p>
        </w:tc>
        <w:tc>
          <w:tcPr>
            <w:tcW w:w="1357" w:type="dxa"/>
            <w:tcBorders>
              <w:top w:val="nil"/>
              <w:left w:val="nil"/>
              <w:bottom w:val="nil"/>
              <w:right w:val="single" w:sz="4" w:space="0" w:color="auto"/>
            </w:tcBorders>
            <w:shd w:val="clear" w:color="000000" w:fill="FFFFFF"/>
            <w:vAlign w:val="center"/>
            <w:hideMark/>
          </w:tcPr>
          <w:p w:rsidR="001A2871" w:rsidRPr="00A34388" w:rsidRDefault="001A2871" w:rsidP="00853209">
            <w:pPr>
              <w:spacing w:before="120"/>
              <w:jc w:val="right"/>
              <w:rPr>
                <w:rFonts w:cs="Arial"/>
                <w:color w:val="000000"/>
                <w:sz w:val="16"/>
                <w:szCs w:val="16"/>
                <w:lang w:val="es-ES_tradnl"/>
              </w:rPr>
            </w:pPr>
            <w:r w:rsidRPr="00A34388">
              <w:rPr>
                <w:color w:val="000000"/>
                <w:sz w:val="16"/>
                <w:lang w:val="es-ES_tradnl"/>
              </w:rPr>
              <w:t>3.171</w:t>
            </w:r>
          </w:p>
        </w:tc>
      </w:tr>
      <w:tr w:rsidR="001A2871" w:rsidRPr="00A34388" w:rsidTr="00853209">
        <w:tc>
          <w:tcPr>
            <w:tcW w:w="714"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IV.2</w:t>
            </w:r>
          </w:p>
        </w:tc>
        <w:tc>
          <w:tcPr>
            <w:tcW w:w="467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3.207 </w:t>
            </w:r>
          </w:p>
        </w:tc>
        <w:tc>
          <w:tcPr>
            <w:tcW w:w="1357"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2.873</w:t>
            </w:r>
          </w:p>
        </w:tc>
        <w:tc>
          <w:tcPr>
            <w:tcW w:w="1357"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1.968</w:t>
            </w:r>
          </w:p>
        </w:tc>
      </w:tr>
      <w:tr w:rsidR="001A2871" w:rsidRPr="00A34388" w:rsidTr="00853209">
        <w:tc>
          <w:tcPr>
            <w:tcW w:w="714"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VII.3</w:t>
            </w:r>
          </w:p>
        </w:tc>
        <w:tc>
          <w:tcPr>
            <w:tcW w:w="4673"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Las herramientas de P.I. se utilizan para la transferencia de tecnología por parte de países desarrollados a países en desarrollo, especialmente los países menos adelantados, para responder a los desafíos mundiales.</w:t>
            </w:r>
          </w:p>
        </w:tc>
        <w:tc>
          <w:tcPr>
            <w:tcW w:w="1357"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 xml:space="preserve">368 </w:t>
            </w:r>
          </w:p>
        </w:tc>
        <w:tc>
          <w:tcPr>
            <w:tcW w:w="1357"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574</w:t>
            </w:r>
          </w:p>
        </w:tc>
        <w:tc>
          <w:tcPr>
            <w:tcW w:w="1357"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45</w:t>
            </w:r>
          </w:p>
        </w:tc>
      </w:tr>
      <w:tr w:rsidR="001A2871" w:rsidRPr="00A34388" w:rsidTr="00853209">
        <w:tc>
          <w:tcPr>
            <w:tcW w:w="714"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673"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357"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11.261</w:t>
            </w:r>
          </w:p>
        </w:tc>
        <w:tc>
          <w:tcPr>
            <w:tcW w:w="1357"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color w:val="808080"/>
                <w:sz w:val="16"/>
                <w:szCs w:val="16"/>
                <w:lang w:val="es-ES_tradnl"/>
              </w:rPr>
            </w:pPr>
            <w:r w:rsidRPr="00332758">
              <w:rPr>
                <w:b/>
                <w:sz w:val="16"/>
                <w:lang w:val="es-ES_tradnl"/>
              </w:rPr>
              <w:t>9.432</w:t>
            </w:r>
          </w:p>
        </w:tc>
        <w:tc>
          <w:tcPr>
            <w:tcW w:w="1357"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sz w:val="16"/>
                <w:szCs w:val="16"/>
                <w:lang w:val="es-ES_tradnl"/>
              </w:rPr>
            </w:pPr>
            <w:r w:rsidRPr="00332758">
              <w:rPr>
                <w:b/>
                <w:sz w:val="16"/>
                <w:lang w:val="es-ES_tradnl"/>
              </w:rPr>
              <w:t>7.191</w:t>
            </w:r>
          </w:p>
        </w:tc>
      </w:tr>
    </w:tbl>
    <w:p w:rsidR="001A2871" w:rsidRPr="00A34388" w:rsidRDefault="001A2871" w:rsidP="001A2871">
      <w:pPr>
        <w:rPr>
          <w:color w:val="000000"/>
          <w:sz w:val="22"/>
          <w:szCs w:val="22"/>
          <w:lang w:val="es-ES_tradnl"/>
        </w:rPr>
      </w:pPr>
    </w:p>
    <w:p w:rsidR="001A2871" w:rsidRPr="00A34388" w:rsidRDefault="001A2871" w:rsidP="001A2871">
      <w:pPr>
        <w:rPr>
          <w:rFonts w:cs="Arial"/>
          <w:color w:val="000000"/>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rPr>
          <w:rFonts w:cs="Arial"/>
          <w:szCs w:val="20"/>
          <w:lang w:val="es-ES_tradnl"/>
        </w:rPr>
      </w:pPr>
    </w:p>
    <w:tbl>
      <w:tblPr>
        <w:tblW w:w="9498" w:type="dxa"/>
        <w:tblInd w:w="108" w:type="dxa"/>
        <w:tblLook w:val="04A0" w:firstRow="1" w:lastRow="0" w:firstColumn="1" w:lastColumn="0" w:noHBand="0" w:noVBand="1"/>
      </w:tblPr>
      <w:tblGrid>
        <w:gridCol w:w="2694"/>
        <w:gridCol w:w="1701"/>
        <w:gridCol w:w="1701"/>
        <w:gridCol w:w="1701"/>
        <w:gridCol w:w="1701"/>
      </w:tblGrid>
      <w:tr w:rsidR="001A2871" w:rsidRPr="00A34388" w:rsidTr="00853209">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Gastos en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de personal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7.567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5.388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5.388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no relativos al personal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3.694</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3.810</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1.659</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44%</w:t>
            </w:r>
          </w:p>
        </w:tc>
      </w:tr>
      <w:tr w:rsidR="001A2871" w:rsidRPr="00A34388" w:rsidTr="00853209">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11.261</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9.342</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7.191</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77%</w:t>
            </w:r>
          </w:p>
        </w:tc>
      </w:tr>
    </w:tbl>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NOTAS:</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sz w:val="16"/>
          <w:szCs w:val="16"/>
          <w:lang w:val="es-ES_tradnl"/>
        </w:rPr>
      </w:pPr>
    </w:p>
    <w:p w:rsidR="001A2871" w:rsidRPr="00A34388" w:rsidRDefault="001A2871" w:rsidP="008372FC">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autoSpaceDE w:val="0"/>
        <w:autoSpaceDN w:val="0"/>
        <w:rPr>
          <w:sz w:val="16"/>
          <w:szCs w:val="16"/>
          <w:lang w:val="es-ES_tradnl"/>
        </w:rPr>
      </w:pPr>
    </w:p>
    <w:p w:rsidR="001A2871" w:rsidRPr="00A34388" w:rsidRDefault="001A2871" w:rsidP="001A2871">
      <w:pPr>
        <w:rPr>
          <w:rFonts w:cs="Arial"/>
          <w:szCs w:val="20"/>
          <w:lang w:val="es-ES_tradnl"/>
        </w:rPr>
      </w:pPr>
    </w:p>
    <w:p w:rsidR="001A2871" w:rsidRPr="00332758" w:rsidRDefault="001A2871" w:rsidP="001A2871">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 xml:space="preserve">Presupuesto 2012/13 después de las transferencias </w:t>
      </w:r>
    </w:p>
    <w:p w:rsidR="001A2871" w:rsidRPr="00332758" w:rsidRDefault="001A2871" w:rsidP="001A2871">
      <w:pPr>
        <w:rPr>
          <w:rFonts w:cs="Arial"/>
          <w:szCs w:val="20"/>
          <w:u w:val="single"/>
          <w:lang w:val="es-ES_tradnl"/>
        </w:rPr>
      </w:pPr>
    </w:p>
    <w:p w:rsidR="001A2871" w:rsidRPr="00A34388" w:rsidRDefault="001A2871" w:rsidP="001A2871">
      <w:pPr>
        <w:tabs>
          <w:tab w:val="left" w:pos="709"/>
        </w:tabs>
        <w:jc w:val="both"/>
        <w:rPr>
          <w:rFonts w:cs="Arial"/>
          <w:szCs w:val="20"/>
          <w:lang w:val="es-ES_tradnl"/>
        </w:rPr>
      </w:pPr>
      <w:r w:rsidRPr="00332758">
        <w:rPr>
          <w:lang w:val="es-ES_tradnl"/>
        </w:rPr>
        <w:t>30.9.</w:t>
      </w:r>
      <w:r w:rsidRPr="00A34388">
        <w:rPr>
          <w:lang w:val="es-ES_tradnl"/>
        </w:rPr>
        <w:tab/>
      </w:r>
      <w:r w:rsidRPr="00332758">
        <w:rPr>
          <w:lang w:val="es-ES_tradnl"/>
        </w:rPr>
        <w:t xml:space="preserve">La disminución global neta de los recursos asignados a este programa refleja la combinación de:  i) una disminución neta consecuencia de la reasignación de personal a otros programas y puestos vacantes y de un aumento de los recursos no relativos al personal relacionados con el proyecto de la Agenda para el Desarrollo denominado “P.I. y la transferencia de la tecnología:  desafíos comunes y búsqueda de soluciones”. </w:t>
      </w:r>
      <w:r w:rsidR="00537926" w:rsidRPr="00332758">
        <w:rPr>
          <w:lang w:val="es-ES_tradnl"/>
        </w:rPr>
        <w:t xml:space="preserve"> </w:t>
      </w:r>
      <w:r w:rsidRPr="00A34388">
        <w:rPr>
          <w:lang w:val="es-ES_tradnl"/>
        </w:rPr>
        <w:t>Esto se refleja en los resultados III.2 (Mejora de las capacidades en el ámbito de los recursos humanos), III.11 (Mejor comprensión/capacidad de las pymes) y IV.2 (Mejora en el acceso y la utilización de la información y los conocimientos sobre P.I.).</w:t>
      </w:r>
    </w:p>
    <w:p w:rsidR="001A2871" w:rsidRPr="00A34388" w:rsidRDefault="001A2871" w:rsidP="001A2871">
      <w:pPr>
        <w:tabs>
          <w:tab w:val="left" w:pos="709"/>
        </w:tabs>
        <w:jc w:val="both"/>
        <w:rPr>
          <w:rFonts w:cs="Arial"/>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30.10.</w:t>
      </w:r>
      <w:r w:rsidRPr="00A34388">
        <w:rPr>
          <w:lang w:val="es-ES_tradnl"/>
        </w:rPr>
        <w:tab/>
        <w:t>El incremento de los recursos no relativos al personal en el marco del resultado VII.3 (</w:t>
      </w:r>
      <w:r w:rsidR="00590BC7" w:rsidRPr="00A34388">
        <w:rPr>
          <w:lang w:val="es-ES_tradnl"/>
        </w:rPr>
        <w:t xml:space="preserve">Uso de las </w:t>
      </w:r>
      <w:r w:rsidRPr="00A34388">
        <w:rPr>
          <w:lang w:val="es-ES_tradnl"/>
        </w:rPr>
        <w:t xml:space="preserve">herramientas de P.I. para la transferencia de tecnología) se debió a la reasignación a ese resultado de determinadas actividades vinculadas con proyectos de colaboración abierta y modelos de P.I., que previamente se </w:t>
      </w:r>
      <w:r w:rsidR="00730F86" w:rsidRPr="00A34388">
        <w:rPr>
          <w:lang w:val="es-ES_tradnl"/>
        </w:rPr>
        <w:t xml:space="preserve">incluían </w:t>
      </w:r>
      <w:r w:rsidRPr="00A34388">
        <w:rPr>
          <w:lang w:val="es-ES_tradnl"/>
        </w:rPr>
        <w:t>en el resultado IV.2 (Mejora en el acceso y la utilización de la información y los conocimientos sobre P.I.).</w:t>
      </w:r>
    </w:p>
    <w:p w:rsidR="001A2871" w:rsidRPr="00A34388" w:rsidRDefault="001A2871" w:rsidP="001A2871">
      <w:pPr>
        <w:tabs>
          <w:tab w:val="left" w:pos="709"/>
        </w:tabs>
        <w:rPr>
          <w:rFonts w:cs="Arial"/>
          <w:szCs w:val="20"/>
          <w:lang w:val="es-ES_tradnl"/>
        </w:rPr>
      </w:pPr>
    </w:p>
    <w:p w:rsidR="001A2871" w:rsidRPr="00A34388" w:rsidRDefault="001A2871" w:rsidP="001A2871">
      <w:pPr>
        <w:tabs>
          <w:tab w:val="left" w:pos="709"/>
        </w:tabs>
        <w:rPr>
          <w:rFonts w:cs="Arial"/>
          <w:szCs w:val="20"/>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B6AC7" w:rsidRPr="00A34388">
        <w:rPr>
          <w:u w:val="single"/>
          <w:lang w:val="es-ES_tradnl"/>
        </w:rPr>
        <w:t>en </w:t>
      </w:r>
      <w:r w:rsidRPr="00A34388">
        <w:rPr>
          <w:u w:val="single"/>
          <w:lang w:val="es-ES_tradnl"/>
        </w:rPr>
        <w:t>2012/13</w:t>
      </w:r>
      <w:r w:rsidRPr="00A34388">
        <w:rPr>
          <w:lang w:val="es-ES_tradnl"/>
        </w:rPr>
        <w:t xml:space="preserve"> </w:t>
      </w:r>
    </w:p>
    <w:p w:rsidR="001A2871" w:rsidRPr="00A34388" w:rsidRDefault="001A2871" w:rsidP="001A2871">
      <w:pPr>
        <w:tabs>
          <w:tab w:val="left" w:pos="709"/>
        </w:tabs>
        <w:rPr>
          <w:rFonts w:cs="Arial"/>
          <w:szCs w:val="20"/>
          <w:lang w:val="es-ES_tradnl"/>
        </w:rPr>
      </w:pPr>
    </w:p>
    <w:p w:rsidR="001A2871" w:rsidRPr="00A34388" w:rsidRDefault="001A2871" w:rsidP="001A2871">
      <w:pPr>
        <w:tabs>
          <w:tab w:val="left" w:pos="709"/>
        </w:tabs>
        <w:jc w:val="both"/>
        <w:rPr>
          <w:lang w:val="es-ES_tradnl"/>
        </w:rPr>
      </w:pPr>
      <w:r w:rsidRPr="00A34388">
        <w:rPr>
          <w:color w:val="000000"/>
          <w:lang w:val="es-ES_tradnl"/>
        </w:rPr>
        <w:t>30.11.</w:t>
      </w:r>
      <w:r w:rsidRPr="00A34388">
        <w:rPr>
          <w:lang w:val="es-ES_tradnl"/>
        </w:rPr>
        <w:tab/>
      </w:r>
      <w:r w:rsidRPr="00A34388">
        <w:rPr>
          <w:color w:val="000000"/>
          <w:lang w:val="es-ES_tradnl"/>
        </w:rPr>
        <w:t>La reducida utilización de los recursos no relativos al personal se debió fundamentalmente al ritmo de ejecución de las actividades, en general más lento de lo previsto, como consecuencia de la reestructuración de la División de Innovación.</w:t>
      </w:r>
      <w:r w:rsidR="00730F86" w:rsidRPr="00A34388">
        <w:rPr>
          <w:color w:val="000000"/>
          <w:lang w:val="es-ES_tradnl"/>
        </w:rPr>
        <w:t xml:space="preserve"> </w:t>
      </w:r>
      <w:r w:rsidRPr="00A34388">
        <w:rPr>
          <w:color w:val="000000"/>
          <w:lang w:val="es-ES_tradnl"/>
        </w:rPr>
        <w:t xml:space="preserve"> Asimismo, se produjeron retrasos en la ejecución de las actividades relacionadas con proyectos de la Agenda para el Desarrollo en el marco del resultado III.2 (Mejora de las capacidades en el ámbito de los recursos humanos) y en las actividades para pymes del resultado III.11 (Mejor comprensión/capacidad de las pymes)</w:t>
      </w:r>
      <w:r w:rsidR="00537926" w:rsidRPr="00A34388">
        <w:rPr>
          <w:color w:val="000000"/>
          <w:lang w:val="es-ES_tradnl"/>
        </w:rPr>
        <w:t xml:space="preserve">. </w:t>
      </w:r>
      <w:r w:rsidRPr="00A34388">
        <w:rPr>
          <w:color w:val="000000"/>
          <w:lang w:val="es-ES_tradnl"/>
        </w:rPr>
        <w:t xml:space="preserve"> El proyecto de la Agenda para el Desarrollo de la OMPI denominado "P.I. y la transferencia de la tecnología:  desafíos comunes y búsqueda de soluciones" – recomendaciones 19, 25, 26 y 28 – y los proyectos de colaboración abierta y modelos de P.I. – recomendación 36 – continuarán ejecutándose en 2014, pero serán gestionados por el programa 5.</w:t>
      </w:r>
      <w:r w:rsidRPr="00A34388">
        <w:rPr>
          <w:lang w:val="es-ES_tradnl"/>
        </w:rPr>
        <w:t xml:space="preserve"> </w:t>
      </w:r>
    </w:p>
    <w:p w:rsidR="001A2871" w:rsidRPr="00A34388" w:rsidRDefault="001A2871" w:rsidP="001A2871">
      <w:pPr>
        <w:jc w:val="both"/>
        <w:rPr>
          <w:rFonts w:cs="Arial"/>
          <w:lang w:val="es-ES_tradnl"/>
        </w:rPr>
      </w:pPr>
    </w:p>
    <w:p w:rsidR="001A2871" w:rsidRPr="00A34388" w:rsidRDefault="001A2871" w:rsidP="001A2871">
      <w:pPr>
        <w:rPr>
          <w:lang w:val="es-ES_tradnl"/>
        </w:rPr>
      </w:pPr>
    </w:p>
    <w:p w:rsidR="001A2871" w:rsidRPr="00A34388" w:rsidRDefault="001A2871" w:rsidP="001A2871">
      <w:pPr>
        <w:rPr>
          <w:rFonts w:ascii="Arial Bold" w:hAnsi="Arial Bold" w:cs="Arial"/>
          <w:b/>
          <w:bCs/>
          <w:iCs/>
          <w:caps/>
          <w:sz w:val="22"/>
          <w:szCs w:val="28"/>
          <w:lang w:val="es-ES_tradnl"/>
        </w:rPr>
      </w:pPr>
      <w:r w:rsidRPr="00A34388">
        <w:rPr>
          <w:lang w:val="es-ES_tradnl"/>
        </w:rPr>
        <w:br w:type="page"/>
      </w:r>
    </w:p>
    <w:p w:rsidR="00391D6B" w:rsidRPr="00332758" w:rsidRDefault="00391D6B" w:rsidP="00391D6B">
      <w:pPr>
        <w:pStyle w:val="Heading2"/>
        <w:rPr>
          <w:lang w:val="es-ES_tradnl"/>
        </w:rPr>
      </w:pPr>
      <w:bookmarkStart w:id="44" w:name="_Toc394319061"/>
      <w:bookmarkStart w:id="45" w:name="_Toc395279667"/>
      <w:r w:rsidRPr="00332758">
        <w:rPr>
          <w:caps w:val="0"/>
          <w:lang w:val="es-ES_tradnl"/>
        </w:rPr>
        <w:lastRenderedPageBreak/>
        <w:t>META ESTRATÉGICA IV</w:t>
      </w:r>
      <w:r w:rsidRPr="00332758">
        <w:rPr>
          <w:lang w:val="es-ES_tradnl"/>
        </w:rPr>
        <w:br/>
      </w:r>
      <w:r w:rsidRPr="00332758">
        <w:rPr>
          <w:lang w:val="es-ES_tradnl"/>
        </w:rPr>
        <w:br/>
        <w:t>Coordinación y desarrollo de la infraestructura mundial de P.I.</w:t>
      </w:r>
      <w:bookmarkEnd w:id="44"/>
      <w:bookmarkEnd w:id="45"/>
    </w:p>
    <w:p w:rsidR="001A2871" w:rsidRPr="00A34388" w:rsidRDefault="001A2871" w:rsidP="001A2871">
      <w:pPr>
        <w:rPr>
          <w:lang w:val="es-ES_tradnl"/>
        </w:rPr>
      </w:pPr>
    </w:p>
    <w:p w:rsidR="001A2871" w:rsidRPr="00A34388" w:rsidRDefault="001A2871" w:rsidP="001A2871">
      <w:pPr>
        <w:rPr>
          <w:lang w:val="es-ES_tradnl"/>
        </w:rPr>
      </w:pPr>
    </w:p>
    <w:p w:rsidR="001A2871" w:rsidRPr="00A34388" w:rsidRDefault="001A2871" w:rsidP="001A2871">
      <w:pPr>
        <w:jc w:val="center"/>
        <w:rPr>
          <w:szCs w:val="20"/>
          <w:lang w:val="es-ES_tradnl"/>
        </w:rPr>
      </w:pPr>
      <w:r w:rsidRPr="00332758">
        <w:rPr>
          <w:lang w:val="es-ES_tradnl"/>
        </w:rPr>
        <w:t>CUADRO SOBRE EL RENDIMIENTO BIENAL</w:t>
      </w:r>
    </w:p>
    <w:p w:rsidR="001A2871" w:rsidRPr="00A34388" w:rsidRDefault="001A2871" w:rsidP="001A2871">
      <w:pPr>
        <w:rPr>
          <w:lang w:val="es-ES_tradnl"/>
        </w:rPr>
      </w:pPr>
    </w:p>
    <w:p w:rsidR="001A2871" w:rsidRPr="00A34388" w:rsidRDefault="00730F86" w:rsidP="001A2871">
      <w:pPr>
        <w:autoSpaceDE w:val="0"/>
        <w:autoSpaceDN w:val="0"/>
        <w:adjustRightInd w:val="0"/>
        <w:jc w:val="both"/>
        <w:rPr>
          <w:rFonts w:cs="Arial"/>
          <w:lang w:val="es-ES_tradnl"/>
        </w:rPr>
      </w:pPr>
      <w:r w:rsidRPr="00A34388">
        <w:rPr>
          <w:lang w:val="es-ES_tradnl"/>
        </w:rPr>
        <w:t xml:space="preserve">En el siguiente cuadro se incluye una reseña general de la consecución de los resultados previstos </w:t>
      </w:r>
      <w:r w:rsidR="001A2871" w:rsidRPr="00A34388">
        <w:rPr>
          <w:lang w:val="es-ES_tradnl"/>
        </w:rPr>
        <w:t xml:space="preserve">en el bienio 2012/13 </w:t>
      </w:r>
      <w:r w:rsidRPr="00A34388">
        <w:rPr>
          <w:lang w:val="es-ES_tradnl"/>
        </w:rPr>
        <w:t xml:space="preserve">medidos por los indicadores relativos a </w:t>
      </w:r>
      <w:r w:rsidR="001A2871" w:rsidRPr="00A34388">
        <w:rPr>
          <w:lang w:val="es-ES_tradnl"/>
        </w:rPr>
        <w:t xml:space="preserve">los programas que contribuyen a esta meta estratégica. </w:t>
      </w:r>
    </w:p>
    <w:p w:rsidR="00672C0F" w:rsidRDefault="00D532DD" w:rsidP="00672C0F">
      <w:pPr>
        <w:autoSpaceDE w:val="0"/>
        <w:autoSpaceDN w:val="0"/>
        <w:adjustRightInd w:val="0"/>
        <w:jc w:val="center"/>
        <w:rPr>
          <w:rFonts w:cs="Arial"/>
          <w:lang w:val="es-ES_tradnl"/>
        </w:rPr>
      </w:pPr>
      <w:r w:rsidRPr="00D532DD">
        <w:rPr>
          <w:noProof/>
        </w:rPr>
        <w:drawing>
          <wp:inline distT="0" distB="0" distL="0" distR="0" wp14:anchorId="7CCE75E1" wp14:editId="178D4169">
            <wp:extent cx="4320000" cy="2374008"/>
            <wp:effectExtent l="0" t="0" r="444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20000" cy="2374008"/>
                    </a:xfrm>
                    <a:prstGeom prst="rect">
                      <a:avLst/>
                    </a:prstGeom>
                    <a:noFill/>
                    <a:ln>
                      <a:noFill/>
                    </a:ln>
                  </pic:spPr>
                </pic:pic>
              </a:graphicData>
            </a:graphic>
          </wp:inline>
        </w:drawing>
      </w:r>
      <w:r w:rsidRPr="00D532DD">
        <w:t xml:space="preserve"> </w:t>
      </w:r>
    </w:p>
    <w:p w:rsidR="001A2871" w:rsidRDefault="001A2871" w:rsidP="001A2871">
      <w:pPr>
        <w:autoSpaceDE w:val="0"/>
        <w:autoSpaceDN w:val="0"/>
        <w:adjustRightInd w:val="0"/>
        <w:jc w:val="both"/>
        <w:rPr>
          <w:rFonts w:cs="Arial"/>
          <w:lang w:val="es-ES_tradnl"/>
        </w:rPr>
      </w:pPr>
    </w:p>
    <w:p w:rsidR="001D1A5B" w:rsidRPr="00A34388" w:rsidRDefault="001D1A5B" w:rsidP="001A2871">
      <w:pPr>
        <w:autoSpaceDE w:val="0"/>
        <w:autoSpaceDN w:val="0"/>
        <w:adjustRightInd w:val="0"/>
        <w:jc w:val="both"/>
        <w:rPr>
          <w:rFonts w:cs="Arial"/>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731"/>
        <w:gridCol w:w="1417"/>
        <w:gridCol w:w="1020"/>
      </w:tblGrid>
      <w:tr w:rsidR="001A2871" w:rsidRPr="00A34388" w:rsidTr="001D1A5B">
        <w:trPr>
          <w:tblHeader/>
        </w:trPr>
        <w:tc>
          <w:tcPr>
            <w:tcW w:w="3226"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731"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417"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020" w:type="dxa"/>
            <w:tcBorders>
              <w:top w:val="single" w:sz="4" w:space="0" w:color="auto"/>
              <w:bottom w:val="single" w:sz="4" w:space="0" w:color="auto"/>
            </w:tcBorders>
            <w:shd w:val="clear" w:color="auto" w:fill="CCFFFF"/>
          </w:tcPr>
          <w:p w:rsidR="001A2871" w:rsidRPr="00332758" w:rsidRDefault="001A2871" w:rsidP="00853209">
            <w:pPr>
              <w:spacing w:before="120" w:after="120"/>
              <w:jc w:val="center"/>
              <w:rPr>
                <w:rFonts w:cs="Arial"/>
                <w:b/>
                <w:bCs/>
                <w:sz w:val="14"/>
                <w:szCs w:val="14"/>
                <w:lang w:val="es-ES_tradnl"/>
              </w:rPr>
            </w:pPr>
            <w:r w:rsidRPr="00332758">
              <w:rPr>
                <w:b/>
                <w:sz w:val="14"/>
                <w:lang w:val="es-ES_tradnl"/>
              </w:rPr>
              <w:t>Clave de colores</w:t>
            </w:r>
          </w:p>
        </w:tc>
      </w:tr>
      <w:tr w:rsidR="001A2871" w:rsidRPr="00A34388" w:rsidTr="001D1A5B">
        <w:tc>
          <w:tcPr>
            <w:tcW w:w="3226" w:type="dxa"/>
            <w:vMerge w:val="restart"/>
            <w:tcBorders>
              <w:top w:val="single" w:sz="4" w:space="0" w:color="auto"/>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Sistema actualizado y aceptado mundialmente de clasificaciones internacionales y normas técnicas de la OMPI para facilitar el acceso, el uso y la difusión de información de P.I. entre los sectores interesados de todo el mundo</w:t>
            </w:r>
            <w:r w:rsidRPr="00A34388">
              <w:rPr>
                <w:b/>
                <w:color w:val="000000"/>
                <w:sz w:val="14"/>
                <w:lang w:val="es-ES_tradnl"/>
              </w:rPr>
              <w:t>.</w:t>
            </w:r>
          </w:p>
        </w:tc>
        <w:tc>
          <w:tcPr>
            <w:tcW w:w="3731" w:type="dxa"/>
            <w:tcBorders>
              <w:top w:val="single" w:sz="4" w:space="0" w:color="auto"/>
            </w:tcBorders>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oficinas que utilizan las normas técnicas de la OMPI</w:t>
            </w:r>
          </w:p>
        </w:tc>
        <w:tc>
          <w:tcPr>
            <w:tcW w:w="1417" w:type="dxa"/>
            <w:tcBorders>
              <w:top w:val="single" w:sz="4" w:space="0" w:color="auto"/>
            </w:tcBorders>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single" w:sz="4" w:space="0" w:color="auto"/>
              <w:bottom w:val="nil"/>
            </w:tcBorders>
            <w:shd w:val="clear" w:color="auto" w:fill="auto"/>
          </w:tcPr>
          <w:p w:rsidR="001A2871" w:rsidRPr="000641E0" w:rsidRDefault="001A2871" w:rsidP="00853209">
            <w:pPr>
              <w:spacing w:before="20"/>
              <w:jc w:val="center"/>
              <w:rPr>
                <w:rFonts w:cs="Arial"/>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modificaciones de la Clasificación de Niza</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tcBorders>
            <w:shd w:val="clear" w:color="auto" w:fill="auto"/>
          </w:tcPr>
          <w:p w:rsidR="001A2871" w:rsidRPr="00A34388" w:rsidRDefault="001A2871" w:rsidP="00853209">
            <w:pPr>
              <w:spacing w:before="20"/>
              <w:jc w:val="center"/>
              <w:rPr>
                <w:sz w:val="22"/>
                <w:szCs w:val="22"/>
                <w:lang w:val="es-ES_tradnl"/>
              </w:rPr>
            </w:pPr>
            <w:r w:rsidRPr="00A34388">
              <w:rPr>
                <w:rFonts w:cs="Arial"/>
                <w:color w:val="FF0000"/>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ECLA e Índice de archivos unificados en la CIP.</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bottom w:val="nil"/>
            </w:tcBorders>
            <w:shd w:val="clear" w:color="auto" w:fill="auto"/>
          </w:tcPr>
          <w:p w:rsidR="001A2871" w:rsidRPr="00A34388" w:rsidRDefault="001A2871" w:rsidP="00853209">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Integración en la Clasificación de Locarno de una herramienta para efectuar búsquedas de características visuales de las solicitudes de dibujos o modelos.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bottom w:val="nil"/>
            </w:tcBorders>
            <w:shd w:val="clear" w:color="auto" w:fill="auto"/>
          </w:tcPr>
          <w:p w:rsidR="001A2871" w:rsidRPr="00A34388" w:rsidRDefault="001A2871" w:rsidP="00853209">
            <w:pPr>
              <w:spacing w:before="20"/>
              <w:jc w:val="center"/>
              <w:rPr>
                <w:sz w:val="22"/>
                <w:szCs w:val="22"/>
                <w:lang w:val="es-ES_tradnl"/>
              </w:rPr>
            </w:pPr>
            <w:r w:rsidRPr="00A34388">
              <w:rPr>
                <w:rFonts w:cs="Arial"/>
                <w:color w:val="FF0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normas técnicas modificadas y nuevas normas técnicas adoptadas.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bottom w:val="nil"/>
            </w:tcBorders>
            <w:shd w:val="clear" w:color="auto" w:fill="auto"/>
          </w:tcPr>
          <w:p w:rsidR="001A2871" w:rsidRPr="000641E0" w:rsidRDefault="001A2871" w:rsidP="00853209">
            <w:pPr>
              <w:spacing w:before="20"/>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oficinas que se muestran satisfechas de la formación recibida para mejorar sus capacidades en el uso de las clasificaciones.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bottom w:val="nil"/>
            </w:tcBorders>
            <w:shd w:val="clear" w:color="auto" w:fill="auto"/>
          </w:tcPr>
          <w:p w:rsidR="001A2871" w:rsidRPr="000641E0" w:rsidRDefault="001A2871" w:rsidP="00853209">
            <w:pPr>
              <w:spacing w:before="20"/>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usuarios que tienen acceso a las publicaciones de clasificaciones internacionales y normas técnicas, especialmente de países en desarrollo.</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12</w:t>
            </w:r>
          </w:p>
        </w:tc>
        <w:tc>
          <w:tcPr>
            <w:tcW w:w="1020" w:type="dxa"/>
            <w:tcBorders>
              <w:top w:val="nil"/>
            </w:tcBorders>
            <w:shd w:val="clear" w:color="auto" w:fill="auto"/>
          </w:tcPr>
          <w:p w:rsidR="001A2871" w:rsidRPr="00A34388" w:rsidRDefault="001A2871"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vMerge w:val="restart"/>
            <w:shd w:val="clear" w:color="auto" w:fill="auto"/>
            <w:tcMar>
              <w:top w:w="113" w:type="dxa"/>
            </w:tcMar>
          </w:tcPr>
          <w:p w:rsidR="001A2871" w:rsidRPr="00A34388" w:rsidRDefault="001A2871" w:rsidP="00853209">
            <w:pPr>
              <w:spacing w:before="80"/>
              <w:rPr>
                <w:rFonts w:cs="Arial"/>
                <w:color w:val="808080"/>
                <w:sz w:val="14"/>
                <w:szCs w:val="14"/>
                <w:lang w:val="es-ES_tradnl"/>
              </w:rPr>
            </w:pPr>
            <w:r w:rsidRPr="00332758">
              <w:rPr>
                <w:sz w:val="14"/>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usuarios por trimestre y sistema (PATENTSCOPE y Base Mundial de Datos sobre Marcas)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shd w:val="clear" w:color="auto" w:fill="auto"/>
          </w:tcPr>
          <w:p w:rsidR="001A2871" w:rsidRPr="00A34388" w:rsidRDefault="001A2871"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idiomas en los que se pueden efectuar búsquedas simultáneamente.</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Borders>
              <w:bottom w:val="nil"/>
            </w:tcBorders>
            <w:shd w:val="clear" w:color="auto" w:fill="auto"/>
          </w:tcPr>
          <w:p w:rsidR="001A2871" w:rsidRPr="00A34388" w:rsidRDefault="001A2871" w:rsidP="00853209">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redes nacionales de CATI puestas en marcha.</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r w:rsidRPr="00A34388">
              <w:rPr>
                <w:sz w:val="14"/>
                <w:lang w:val="es-ES_tradnl"/>
              </w:rPr>
              <w:t xml:space="preserve"> </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Borders>
              <w:top w:val="nil"/>
              <w:bottom w:val="nil"/>
            </w:tcBorders>
            <w:shd w:val="clear" w:color="auto" w:fill="auto"/>
          </w:tcPr>
          <w:p w:rsidR="001A2871" w:rsidRPr="00A34388" w:rsidRDefault="001A2871" w:rsidP="00853209">
            <w:pPr>
              <w:spacing w:before="20"/>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sz w:val="22"/>
                <w:szCs w:val="22"/>
                <w:lang w:val="es-ES_tradnl"/>
              </w:rPr>
            </w:pPr>
            <w:r w:rsidRPr="00A34388">
              <w:rPr>
                <w:rFonts w:cs="Arial"/>
                <w:color w:val="FF0000"/>
                <w:sz w:val="22"/>
                <w:szCs w:val="22"/>
                <w:lang w:val="es-ES_tradnl"/>
              </w:rPr>
              <w:sym w:font="Wingdings" w:char="F06C"/>
            </w:r>
          </w:p>
        </w:tc>
      </w:tr>
      <w:tr w:rsidR="001A2871" w:rsidRPr="00A34388" w:rsidTr="001D1A5B">
        <w:tc>
          <w:tcPr>
            <w:tcW w:w="3226"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usuarios que utilizan los servicios de los CATI por trimestre y por país.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r w:rsidRPr="00A34388">
              <w:rPr>
                <w:sz w:val="14"/>
                <w:lang w:val="es-ES_tradnl"/>
              </w:rPr>
              <w:t xml:space="preserve"> </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Borders>
              <w:top w:val="nil"/>
              <w:bottom w:val="single" w:sz="4" w:space="0" w:color="auto"/>
            </w:tcBorders>
            <w:shd w:val="clear" w:color="auto" w:fill="auto"/>
          </w:tcPr>
          <w:p w:rsidR="001A2871" w:rsidRPr="000641E0" w:rsidRDefault="001A2871" w:rsidP="00853209">
            <w:pPr>
              <w:jc w:val="center"/>
              <w:rPr>
                <w:rFonts w:cs="Arial"/>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p w:rsidR="001A2871" w:rsidRPr="000641E0" w:rsidRDefault="001A2871" w:rsidP="00853209">
            <w:pPr>
              <w:jc w:val="center"/>
              <w:rPr>
                <w:rFonts w:cs="Arial"/>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p w:rsidR="001A2871" w:rsidRPr="000641E0" w:rsidRDefault="001A2871" w:rsidP="00853209">
            <w:pPr>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tc>
      </w:tr>
    </w:tbl>
    <w:p w:rsidR="00495D7C" w:rsidRDefault="00495D7C">
      <w:r>
        <w:br w:type="page"/>
      </w: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731"/>
        <w:gridCol w:w="1417"/>
        <w:gridCol w:w="1020"/>
      </w:tblGrid>
      <w:tr w:rsidR="001A2871" w:rsidRPr="00A34388" w:rsidTr="001D1A5B">
        <w:tc>
          <w:tcPr>
            <w:tcW w:w="3226" w:type="dxa"/>
            <w:shd w:val="clear" w:color="auto" w:fill="auto"/>
            <w:tcMar>
              <w:top w:w="113" w:type="dxa"/>
            </w:tcMar>
          </w:tcPr>
          <w:p w:rsidR="001A2871" w:rsidRPr="00A34388" w:rsidRDefault="001A2871" w:rsidP="00495D7C">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495D7C">
            <w:pPr>
              <w:keepNext/>
              <w:keepLines/>
              <w:spacing w:before="80"/>
              <w:rPr>
                <w:rFonts w:cs="Arial"/>
                <w:sz w:val="14"/>
                <w:szCs w:val="14"/>
                <w:lang w:val="es-ES_tradnl"/>
              </w:rPr>
            </w:pPr>
            <w:r w:rsidRPr="00332758">
              <w:rPr>
                <w:sz w:val="14"/>
                <w:lang w:val="es-ES_tradnl"/>
              </w:rPr>
              <w:t>Número de usuarios de los servicios de información con valor añadido (servicio de búsqueda de la tecnología, informes sobre análisis de la actividad de patentamiento y cooperación internacional en el examen).</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tc>
        <w:tc>
          <w:tcPr>
            <w:tcW w:w="1020" w:type="dxa"/>
            <w:tcBorders>
              <w:top w:val="single" w:sz="4" w:space="0" w:color="auto"/>
              <w:bottom w:val="nil"/>
            </w:tcBorders>
            <w:shd w:val="clear" w:color="auto" w:fill="auto"/>
          </w:tcPr>
          <w:p w:rsidR="001A2871" w:rsidRPr="000641E0" w:rsidRDefault="001A2871" w:rsidP="00853209">
            <w:pPr>
              <w:jc w:val="center"/>
              <w:rPr>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r w:rsidRPr="000641E0">
              <w:rPr>
                <w:rFonts w:cs="Arial"/>
                <w:color w:val="A6A6A6" w:themeColor="background1" w:themeShade="A6"/>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Porcentaje de usuarios satisfechos de los servicios de información con valor añadido (servicio de búsqueda de la tecnología, informes sobre análisis de la actividad de patentamiento y cooperación internacional en el examen).</w:t>
            </w:r>
            <w:r w:rsidRPr="00A34388">
              <w:rPr>
                <w:sz w:val="14"/>
                <w:lang w:val="es-ES_tradnl"/>
              </w:rPr>
              <w:t xml:space="preserve">  </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tc>
        <w:tc>
          <w:tcPr>
            <w:tcW w:w="1020" w:type="dxa"/>
            <w:tcBorders>
              <w:top w:val="nil"/>
              <w:bottom w:val="nil"/>
            </w:tcBorders>
            <w:shd w:val="clear" w:color="auto" w:fill="auto"/>
          </w:tcPr>
          <w:p w:rsidR="001A2871" w:rsidRPr="00A34388" w:rsidRDefault="001A2871" w:rsidP="00853209">
            <w:pPr>
              <w:jc w:val="center"/>
              <w:rPr>
                <w:sz w:val="22"/>
                <w:szCs w:val="22"/>
                <w:lang w:val="es-ES_tradnl"/>
              </w:rPr>
            </w:pPr>
            <w:r w:rsidRPr="00A34388">
              <w:rPr>
                <w:rFonts w:cs="Arial"/>
                <w:color w:val="FF0000"/>
                <w:sz w:val="22"/>
                <w:szCs w:val="22"/>
                <w:lang w:val="es-ES_tradnl"/>
              </w:rPr>
              <w:sym w:font="Wingdings" w:char="F06C"/>
            </w: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Porcentaje de usuarios satisfechos de los servicios de los CATI.</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tc>
        <w:tc>
          <w:tcPr>
            <w:tcW w:w="1020" w:type="dxa"/>
            <w:tcBorders>
              <w:top w:val="nil"/>
              <w:bottom w:val="nil"/>
            </w:tcBorders>
            <w:shd w:val="clear" w:color="auto" w:fill="auto"/>
          </w:tcPr>
          <w:p w:rsidR="001A2871" w:rsidRPr="00A34388" w:rsidRDefault="001A2871" w:rsidP="00853209">
            <w:pPr>
              <w:jc w:val="center"/>
              <w:rPr>
                <w:sz w:val="22"/>
                <w:szCs w:val="22"/>
                <w:lang w:val="es-ES_tradnl"/>
              </w:rPr>
            </w:pPr>
            <w:r w:rsidRPr="00A34388">
              <w:rPr>
                <w:rFonts w:cs="Arial"/>
                <w:color w:val="FF0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usuarios inscritos en aRDI y ASPI.</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14</w:t>
            </w:r>
          </w:p>
        </w:tc>
        <w:tc>
          <w:tcPr>
            <w:tcW w:w="1020" w:type="dxa"/>
            <w:tcBorders>
              <w:top w:val="nil"/>
              <w:bottom w:val="nil"/>
            </w:tcBorders>
            <w:shd w:val="clear" w:color="auto" w:fill="auto"/>
          </w:tcPr>
          <w:p w:rsidR="001A2871" w:rsidRPr="00A34388" w:rsidRDefault="001A2871" w:rsidP="00853209">
            <w:pPr>
              <w:jc w:val="center"/>
              <w:rPr>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Estados miembros que han desarrollado su marco de P.I. y establecido oficinas universitarias de transferencia de tecnología (OTT).</w:t>
            </w:r>
            <w:r w:rsidRPr="00A34388">
              <w:rPr>
                <w:sz w:val="14"/>
                <w:lang w:val="es-ES_tradnl"/>
              </w:rPr>
              <w:t xml:space="preserve"> </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30</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Borders>
              <w:top w:val="nil"/>
              <w:bottom w:val="nil"/>
            </w:tcBorders>
            <w:shd w:val="clear" w:color="auto" w:fill="auto"/>
          </w:tcPr>
          <w:p w:rsidR="001A2871" w:rsidRPr="00A34388" w:rsidRDefault="00495D7C" w:rsidP="00853209">
            <w:pPr>
              <w:jc w:val="center"/>
              <w:rPr>
                <w:rFonts w:cs="Arial"/>
                <w:color w:val="008000"/>
                <w:sz w:val="22"/>
                <w:szCs w:val="22"/>
                <w:lang w:val="es-ES_tradnl"/>
              </w:rPr>
            </w:pPr>
            <w:r w:rsidRPr="00A34388">
              <w:rPr>
                <w:rFonts w:cs="Arial"/>
                <w:color w:val="E36C0A" w:themeColor="accent6" w:themeShade="BF"/>
                <w:sz w:val="22"/>
                <w:szCs w:val="22"/>
                <w:lang w:val="es-ES_tradnl"/>
              </w:rPr>
              <w:sym w:font="Wingdings" w:char="F06C"/>
            </w:r>
          </w:p>
          <w:p w:rsidR="001A2871" w:rsidRPr="000641E0" w:rsidRDefault="001A2871" w:rsidP="00853209">
            <w:pPr>
              <w:jc w:val="center"/>
              <w:rPr>
                <w:rFonts w:cs="Arial"/>
                <w:color w:val="A6A6A6" w:themeColor="background1" w:themeShade="A6"/>
                <w:sz w:val="22"/>
                <w:szCs w:val="22"/>
                <w:lang w:val="es-ES_tradnl"/>
              </w:rPr>
            </w:pPr>
            <w:r w:rsidRPr="000641E0">
              <w:rPr>
                <w:rFonts w:cs="Arial"/>
                <w:color w:val="A6A6A6" w:themeColor="background1" w:themeShade="A6"/>
                <w:sz w:val="22"/>
                <w:szCs w:val="22"/>
                <w:lang w:val="es-ES_tradnl"/>
              </w:rPr>
              <w:sym w:font="Wingdings" w:char="F06C"/>
            </w:r>
          </w:p>
          <w:p w:rsidR="001A2871" w:rsidRPr="00A34388" w:rsidRDefault="001A2871" w:rsidP="00853209">
            <w:pPr>
              <w:jc w:val="center"/>
              <w:rPr>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keepNext/>
              <w:keepLines/>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keepNext/>
              <w:keepLines/>
              <w:spacing w:before="80"/>
              <w:rPr>
                <w:rFonts w:cs="Arial"/>
                <w:sz w:val="14"/>
                <w:szCs w:val="14"/>
                <w:lang w:val="es-ES_tradnl"/>
              </w:rPr>
            </w:pPr>
            <w:r w:rsidRPr="00332758">
              <w:rPr>
                <w:sz w:val="14"/>
                <w:lang w:val="es-ES_tradnl"/>
              </w:rPr>
              <w:t>Número de intermediarios de confianza y titulares de derechos que se han adherido a la red de sistemas TIGAR, incluidos los procedentes de países en desarrollo y PMA.</w:t>
            </w:r>
          </w:p>
        </w:tc>
        <w:tc>
          <w:tcPr>
            <w:tcW w:w="1417" w:type="dxa"/>
            <w:shd w:val="clear" w:color="auto" w:fill="auto"/>
            <w:tcMar>
              <w:top w:w="113" w:type="dxa"/>
            </w:tcMar>
          </w:tcPr>
          <w:p w:rsidR="001A2871" w:rsidRPr="00A34388" w:rsidRDefault="001A2871" w:rsidP="00853209">
            <w:pPr>
              <w:keepNext/>
              <w:keepLines/>
              <w:spacing w:before="80"/>
              <w:ind w:left="175"/>
              <w:rPr>
                <w:rFonts w:cs="Arial"/>
                <w:sz w:val="14"/>
                <w:szCs w:val="14"/>
                <w:lang w:val="es-ES_tradnl"/>
              </w:rPr>
            </w:pPr>
            <w:r w:rsidRPr="00332758">
              <w:rPr>
                <w:sz w:val="14"/>
                <w:lang w:val="es-ES_tradnl"/>
              </w:rPr>
              <w:t>Programa 3</w:t>
            </w:r>
          </w:p>
        </w:tc>
        <w:tc>
          <w:tcPr>
            <w:tcW w:w="1020" w:type="dxa"/>
            <w:tcBorders>
              <w:top w:val="nil"/>
            </w:tcBorders>
          </w:tcPr>
          <w:p w:rsidR="001A2871" w:rsidRPr="00A34388" w:rsidRDefault="001A2871" w:rsidP="00853209">
            <w:pPr>
              <w:keepNext/>
              <w:keepLines/>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obras protegidas por derecho de autor y distribuidas entre intermediarios de confianza puestas a disposición de las personas con discapacidad visual a escala internacional por medio de la red de sistemas TIGAR.</w:t>
            </w:r>
            <w:r w:rsidRPr="00A34388">
              <w:rPr>
                <w:sz w:val="14"/>
                <w:lang w:val="es-ES_tradnl"/>
              </w:rPr>
              <w:t xml:space="preserve"> </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Mayor difusión de colecciones digitalizadas sobre patentes de las oficinas nacionales/regionales de los Estados miembros de la OMPI</w:t>
            </w:r>
            <w:r w:rsidRPr="00A34388">
              <w:rPr>
                <w:color w:val="FF00FF"/>
                <w:sz w:val="14"/>
                <w:lang w:val="es-ES_tradnl"/>
              </w:rPr>
              <w:t>.</w:t>
            </w: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registros en PATENTSCOPE/Base Mundial de Datos sobre Marcas que no produce la Oficina Internacional.</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colecciones nacionales en PATENTSCOPE.</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colecciones nacionales en la Base Mundial de Datos sobre Marcas.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Puntualidad de las actualizaciones de PATENTSCOPE en relación con las solicitudes PCT</w:t>
            </w: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Plazo (en meses) de aplicación de cambios en PATENTSCOPE en relación con el Reglamento del PCT.</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semanas por año en que la publicación no está disponible a las 8.00 de la noche hora de Ginebra en la fecha de publicación.</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Mejora en la infraestructura técnica y de conocimientos de las oficinas y demás instituciones de P.I. que les permite prestar mejores servicios (más económicos, más rápidos y de mejor calidad) a sus usuarios</w:t>
            </w:r>
          </w:p>
        </w:tc>
        <w:tc>
          <w:tcPr>
            <w:tcW w:w="3731" w:type="dxa"/>
            <w:shd w:val="clear" w:color="auto" w:fill="auto"/>
            <w:tcMar>
              <w:top w:w="113" w:type="dxa"/>
            </w:tcMar>
          </w:tcPr>
          <w:p w:rsidR="001A2871" w:rsidRPr="00A34388" w:rsidRDefault="001A2871" w:rsidP="00853209">
            <w:pPr>
              <w:spacing w:before="80"/>
              <w:rPr>
                <w:rFonts w:cs="Arial"/>
                <w:color w:val="808080"/>
                <w:sz w:val="14"/>
                <w:szCs w:val="14"/>
                <w:lang w:val="es-ES_tradnl"/>
              </w:rPr>
            </w:pPr>
            <w:r w:rsidRPr="00332758">
              <w:rPr>
                <w:sz w:val="14"/>
                <w:lang w:val="es-ES_tradnl"/>
              </w:rPr>
              <w:t>Número de oficinas que disponen de sistemas de administración de P.I. totalmente automatizados proporcionados por la OMPI, en comparación con las que disponen de sistemas automatizados parcialmente.</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15</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color w:val="000000"/>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oficinas cuyos datos de P.I. están disponibles en las bases de datos de la OMPI en Internet.</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15</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grupos de oficinas que participan en una plataforma común.</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15</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tc>
        <w:tc>
          <w:tcPr>
            <w:tcW w:w="1020"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oficinas que tramitan los datos del PCT y del Sistema de Madrid con el apoyo de sistemas proporcionados por la OMPI.</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15</w:t>
            </w:r>
          </w:p>
          <w:p w:rsidR="001A2871" w:rsidRPr="00A34388" w:rsidRDefault="001A2871" w:rsidP="00853209">
            <w:pPr>
              <w:spacing w:before="120"/>
              <w:ind w:left="176"/>
              <w:rPr>
                <w:rFonts w:cs="Arial"/>
                <w:sz w:val="14"/>
                <w:szCs w:val="14"/>
                <w:lang w:val="es-ES_tradnl"/>
              </w:rPr>
            </w:pPr>
            <w:r w:rsidRPr="00332758">
              <w:rPr>
                <w:sz w:val="14"/>
                <w:lang w:val="es-ES_tradnl"/>
              </w:rPr>
              <w:t>Programa 9</w:t>
            </w:r>
          </w:p>
          <w:p w:rsidR="001A2871" w:rsidRPr="00A34388" w:rsidRDefault="001A2871" w:rsidP="00853209">
            <w:pPr>
              <w:spacing w:before="120"/>
              <w:ind w:left="176"/>
              <w:rPr>
                <w:rFonts w:cs="Arial"/>
                <w:sz w:val="14"/>
                <w:szCs w:val="14"/>
                <w:lang w:val="es-ES_tradnl"/>
              </w:rPr>
            </w:pPr>
            <w:r w:rsidRPr="00332758">
              <w:rPr>
                <w:sz w:val="14"/>
                <w:lang w:val="es-ES_tradnl"/>
              </w:rPr>
              <w:t>Programa 10</w:t>
            </w:r>
          </w:p>
        </w:tc>
        <w:tc>
          <w:tcPr>
            <w:tcW w:w="1020"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instituciones que utilizan los sistemas de la OMPI de infraestructura de derecho de autor (WIPOCOS y GDA).</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r w:rsidR="001A2871" w:rsidRPr="00A34388" w:rsidTr="001D1A5B">
        <w:tc>
          <w:tcPr>
            <w:tcW w:w="3226"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731" w:type="dxa"/>
            <w:shd w:val="clear" w:color="auto" w:fill="auto"/>
            <w:tcMar>
              <w:top w:w="113" w:type="dxa"/>
              <w:bottom w:w="85" w:type="dxa"/>
            </w:tcMar>
          </w:tcPr>
          <w:p w:rsidR="001A2871" w:rsidRPr="00A34388" w:rsidRDefault="001A2871" w:rsidP="00853209">
            <w:pPr>
              <w:spacing w:before="80"/>
              <w:rPr>
                <w:rFonts w:cs="Arial"/>
                <w:sz w:val="14"/>
                <w:szCs w:val="14"/>
                <w:lang w:val="es-ES_tradnl"/>
              </w:rPr>
            </w:pPr>
            <w:r w:rsidRPr="00332758">
              <w:rPr>
                <w:sz w:val="14"/>
                <w:lang w:val="es-ES_tradnl"/>
              </w:rPr>
              <w:t>Porcentaje de gobiernos que informan favorablemente acerca de la eficacia y la gobernanza de las instituciones encargadas del derecho de autor en el país.</w:t>
            </w:r>
          </w:p>
        </w:tc>
        <w:tc>
          <w:tcPr>
            <w:tcW w:w="1417" w:type="dxa"/>
            <w:shd w:val="clear" w:color="auto" w:fill="auto"/>
            <w:tcMar>
              <w:top w:w="113" w:type="dxa"/>
            </w:tcMar>
          </w:tcPr>
          <w:p w:rsidR="001A2871" w:rsidRPr="00A34388" w:rsidRDefault="001A2871" w:rsidP="00853209">
            <w:pPr>
              <w:spacing w:before="80"/>
              <w:ind w:left="175"/>
              <w:rPr>
                <w:rFonts w:cs="Arial"/>
                <w:sz w:val="14"/>
                <w:szCs w:val="14"/>
                <w:lang w:val="es-ES_tradnl"/>
              </w:rPr>
            </w:pPr>
            <w:r w:rsidRPr="00332758">
              <w:rPr>
                <w:sz w:val="14"/>
                <w:lang w:val="es-ES_tradnl"/>
              </w:rPr>
              <w:t>Programa 3</w:t>
            </w:r>
          </w:p>
        </w:tc>
        <w:tc>
          <w:tcPr>
            <w:tcW w:w="1020" w:type="dxa"/>
          </w:tcPr>
          <w:p w:rsidR="001A2871" w:rsidRPr="00A34388" w:rsidRDefault="001A2871" w:rsidP="00853209">
            <w:pPr>
              <w:jc w:val="center"/>
              <w:rPr>
                <w:color w:val="008000"/>
                <w:sz w:val="22"/>
                <w:szCs w:val="22"/>
                <w:lang w:val="es-ES_tradnl"/>
              </w:rPr>
            </w:pPr>
            <w:r w:rsidRPr="00A34388">
              <w:rPr>
                <w:rFonts w:cs="Arial"/>
                <w:color w:val="008000"/>
                <w:sz w:val="22"/>
                <w:szCs w:val="22"/>
                <w:lang w:val="es-ES_tradnl"/>
              </w:rPr>
              <w:sym w:font="Wingdings" w:char="F06C"/>
            </w:r>
          </w:p>
        </w:tc>
      </w:tr>
    </w:tbl>
    <w:p w:rsidR="001A2871" w:rsidRPr="00A34388" w:rsidRDefault="001A2871" w:rsidP="001A2871">
      <w:pPr>
        <w:rPr>
          <w:rFonts w:ascii="Arial Bold" w:eastAsiaTheme="majorEastAsia" w:hAnsi="Arial Bold" w:cstheme="majorBidi" w:hint="eastAsia"/>
          <w:b/>
          <w:bCs/>
          <w:sz w:val="22"/>
          <w:lang w:val="es-ES_tradnl"/>
        </w:rPr>
      </w:pPr>
    </w:p>
    <w:p w:rsidR="00391D6B" w:rsidRPr="003934C8" w:rsidRDefault="00391D6B" w:rsidP="00391D6B">
      <w:pPr>
        <w:pStyle w:val="Heading3"/>
        <w:rPr>
          <w:rFonts w:hint="eastAsia"/>
          <w:lang w:val="es-ES"/>
        </w:rPr>
      </w:pPr>
      <w:bookmarkStart w:id="46" w:name="_Toc394319062"/>
      <w:bookmarkStart w:id="47" w:name="_Toc395279668"/>
      <w:r w:rsidRPr="003934C8">
        <w:rPr>
          <w:lang w:val="es-ES"/>
        </w:rPr>
        <w:lastRenderedPageBreak/>
        <w:t>Programa 12</w:t>
      </w:r>
      <w:r w:rsidRPr="003934C8">
        <w:rPr>
          <w:lang w:val="es-ES"/>
        </w:rPr>
        <w:tab/>
        <w:t>Clasificaciones internacionales y normas técnicas de la OMPI</w:t>
      </w:r>
      <w:bookmarkEnd w:id="46"/>
      <w:bookmarkEnd w:id="47"/>
    </w:p>
    <w:p w:rsidR="001A2871" w:rsidRPr="00391D6B" w:rsidRDefault="001A2871" w:rsidP="001A2871">
      <w:pPr>
        <w:rPr>
          <w:rFonts w:cs="Arial"/>
          <w:sz w:val="22"/>
          <w:szCs w:val="22"/>
          <w:lang w:val="es-ES"/>
        </w:rPr>
      </w:pPr>
    </w:p>
    <w:p w:rsidR="001A2871" w:rsidRPr="00332758" w:rsidRDefault="001A2871" w:rsidP="001A2871">
      <w:pPr>
        <w:tabs>
          <w:tab w:val="left" w:pos="2694"/>
        </w:tabs>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 xml:space="preserve">Sr Y. Takagi </w:t>
      </w:r>
    </w:p>
    <w:p w:rsidR="001A2871" w:rsidRPr="00A34388" w:rsidRDefault="001A2871" w:rsidP="001A2871">
      <w:pPr>
        <w:rPr>
          <w:sz w:val="22"/>
          <w:szCs w:val="22"/>
          <w:lang w:val="es-ES_tradnl"/>
        </w:rPr>
      </w:pPr>
    </w:p>
    <w:p w:rsidR="001A2871" w:rsidRPr="00A34388" w:rsidRDefault="001A2871" w:rsidP="001A2871">
      <w:pPr>
        <w:rPr>
          <w:bCs/>
          <w:sz w:val="22"/>
          <w:szCs w:val="22"/>
          <w:lang w:val="es-ES_tradnl"/>
        </w:rPr>
      </w:pPr>
    </w:p>
    <w:p w:rsidR="001A2871" w:rsidRPr="00A34388" w:rsidRDefault="003E3F45" w:rsidP="001A2871">
      <w:pPr>
        <w:jc w:val="both"/>
        <w:rPr>
          <w:rFonts w:cs="Arial"/>
          <w:sz w:val="22"/>
          <w:szCs w:val="22"/>
          <w:lang w:val="es-ES_tradnl"/>
        </w:rPr>
      </w:pPr>
      <w:r>
        <w:rPr>
          <w:sz w:val="22"/>
          <w:lang w:val="es-ES_tradnl"/>
        </w:rPr>
        <w:t>AVANCES LOGRADOS EN EL BIENIO 2012/13</w:t>
      </w:r>
    </w:p>
    <w:p w:rsidR="001A2871" w:rsidRPr="00A34388" w:rsidRDefault="001A2871" w:rsidP="001A2871">
      <w:pPr>
        <w:tabs>
          <w:tab w:val="left" w:pos="709"/>
        </w:tabs>
        <w:rPr>
          <w:szCs w:val="20"/>
          <w:lang w:val="es-ES_tradnl"/>
        </w:rPr>
      </w:pPr>
    </w:p>
    <w:p w:rsidR="001A2871" w:rsidRPr="00332758" w:rsidRDefault="001A2871" w:rsidP="001A2871">
      <w:pPr>
        <w:tabs>
          <w:tab w:val="left" w:pos="709"/>
        </w:tabs>
        <w:autoSpaceDE w:val="0"/>
        <w:autoSpaceDN w:val="0"/>
        <w:adjustRightInd w:val="0"/>
        <w:jc w:val="both"/>
        <w:rPr>
          <w:szCs w:val="20"/>
          <w:lang w:val="es-ES_tradnl"/>
        </w:rPr>
      </w:pPr>
      <w:r w:rsidRPr="00332758">
        <w:rPr>
          <w:lang w:val="es-ES_tradnl"/>
        </w:rPr>
        <w:t>12.1.</w:t>
      </w:r>
      <w:r w:rsidRPr="00A34388">
        <w:rPr>
          <w:lang w:val="es-ES_tradnl"/>
        </w:rPr>
        <w:tab/>
      </w:r>
      <w:r w:rsidRPr="00332758">
        <w:rPr>
          <w:lang w:val="es-ES_tradnl"/>
        </w:rPr>
        <w:t xml:space="preserve">En el bienio 2012/13 2012 se produjo asimismo un avance significativo en lo que respecta a las clasificaciones internacionales y normas técnicas de la OMPI. </w:t>
      </w:r>
    </w:p>
    <w:p w:rsidR="001A2871" w:rsidRPr="00A34388" w:rsidRDefault="001A2871" w:rsidP="001A2871">
      <w:pPr>
        <w:tabs>
          <w:tab w:val="left" w:pos="709"/>
        </w:tabs>
        <w:jc w:val="both"/>
        <w:rPr>
          <w:szCs w:val="20"/>
          <w:lang w:val="es-ES_tradnl"/>
        </w:rPr>
      </w:pPr>
    </w:p>
    <w:p w:rsidR="001A2871" w:rsidRPr="00A34388" w:rsidRDefault="001A2871" w:rsidP="001A2871">
      <w:pPr>
        <w:tabs>
          <w:tab w:val="left" w:pos="709"/>
        </w:tabs>
        <w:autoSpaceDE w:val="0"/>
        <w:autoSpaceDN w:val="0"/>
        <w:adjustRightInd w:val="0"/>
        <w:jc w:val="both"/>
        <w:rPr>
          <w:szCs w:val="20"/>
          <w:lang w:val="es-ES_tradnl"/>
        </w:rPr>
      </w:pPr>
      <w:r w:rsidRPr="00A34388">
        <w:rPr>
          <w:lang w:val="es-ES_tradnl"/>
        </w:rPr>
        <w:t>12.2.</w:t>
      </w:r>
      <w:r w:rsidRPr="00A34388">
        <w:rPr>
          <w:lang w:val="es-ES_tradnl"/>
        </w:rPr>
        <w:tab/>
        <w:t xml:space="preserve">Se puso en práctica la reforma de la Clasificación de Niza y el </w:t>
      </w:r>
      <w:r w:rsidR="00EF4041" w:rsidRPr="00A34388">
        <w:rPr>
          <w:lang w:val="es-ES_tradnl"/>
        </w:rPr>
        <w:t xml:space="preserve">Comité </w:t>
      </w:r>
      <w:r w:rsidRPr="00A34388">
        <w:rPr>
          <w:lang w:val="es-ES_tradnl"/>
        </w:rPr>
        <w:t xml:space="preserve">de </w:t>
      </w:r>
      <w:r w:rsidR="00EF4041" w:rsidRPr="00A34388">
        <w:rPr>
          <w:lang w:val="es-ES_tradnl"/>
        </w:rPr>
        <w:t xml:space="preserve">Expertos </w:t>
      </w:r>
      <w:r w:rsidRPr="00A34388">
        <w:rPr>
          <w:lang w:val="es-ES_tradnl"/>
        </w:rPr>
        <w:t xml:space="preserve">celebró su primera </w:t>
      </w:r>
      <w:r w:rsidR="00730F86" w:rsidRPr="00A34388">
        <w:rPr>
          <w:lang w:val="es-ES_tradnl"/>
        </w:rPr>
        <w:t xml:space="preserve">reunión </w:t>
      </w:r>
      <w:r w:rsidRPr="00A34388">
        <w:rPr>
          <w:lang w:val="es-ES_tradnl"/>
        </w:rPr>
        <w:t>anual.  Las modificaciones adoptadas se publicaron en la</w:t>
      </w:r>
      <w:r w:rsidR="00630CED">
        <w:rPr>
          <w:lang w:val="es-ES_tradnl"/>
        </w:rPr>
        <w:t xml:space="preserve"> Clasificación, que a partir de </w:t>
      </w:r>
      <w:r w:rsidRPr="00A34388">
        <w:rPr>
          <w:lang w:val="es-ES_tradnl"/>
        </w:rPr>
        <w:t xml:space="preserve">2013 se revisará anualmente.  </w:t>
      </w:r>
      <w:r w:rsidRPr="00332758">
        <w:rPr>
          <w:lang w:val="es-ES_tradnl"/>
        </w:rPr>
        <w:t>El Comité aprobó un nuevo procedimiento para debatir las propuestas de modificación de la Clasificación que prevé la celebración de una ronda de debates en línea a través de un foro electrónico antes de someter las propuestas a consideración durante el plenario.</w:t>
      </w:r>
      <w:r w:rsidRPr="00A34388">
        <w:rPr>
          <w:lang w:val="es-ES_tradnl"/>
        </w:rPr>
        <w:t xml:space="preserve">  </w:t>
      </w:r>
      <w:r w:rsidRPr="00332758">
        <w:rPr>
          <w:lang w:val="es-ES_tradnl"/>
        </w:rPr>
        <w:t>Se espera que, de este modo, las deliberaciones mantenidas durante la sesión plenaria discurran de forma más fluida y eficaz.</w:t>
      </w:r>
      <w:r w:rsidRPr="00A34388">
        <w:rPr>
          <w:lang w:val="es-ES_tradnl"/>
        </w:rPr>
        <w:t xml:space="preserve">  </w:t>
      </w:r>
      <w:r w:rsidRPr="00332758">
        <w:rPr>
          <w:lang w:val="es-ES_tradnl"/>
        </w:rPr>
        <w:t>Se puso en marcha con éxito una nueva plataforma de publicación para la Clasificación de Niza que se ajusta a la publicación anual de las nuevas versiones.  Esta novedosa plataforma incluirá además la Taxonomía creada en 2012 en colaboración con la OAMI.</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szCs w:val="20"/>
          <w:lang w:val="es-ES_tradnl"/>
        </w:rPr>
      </w:pPr>
      <w:r w:rsidRPr="00332758">
        <w:rPr>
          <w:lang w:val="es-ES_tradnl"/>
        </w:rPr>
        <w:t>12.3.</w:t>
      </w:r>
      <w:r w:rsidRPr="00A34388">
        <w:rPr>
          <w:lang w:val="es-ES_tradnl"/>
        </w:rPr>
        <w:tab/>
      </w:r>
      <w:r w:rsidRPr="00332758">
        <w:rPr>
          <w:lang w:val="es-ES_tradnl"/>
        </w:rPr>
        <w:t xml:space="preserve">La nueva edición de la Clasificación de Viena, la séptima, se publicó en 2012 dentro del plazo previsto.  El Comité de Expertos de la Clasificación de Locarno se reunió durante el mes de noviembre de 2012 y aprobó las modificaciones a la décima edición de la Clasificación, que se publicó en 2013. </w:t>
      </w:r>
      <w:r w:rsidRPr="00A34388">
        <w:rPr>
          <w:lang w:val="es-ES_tradnl"/>
        </w:rPr>
        <w:t xml:space="preserve"> El Comité de Expertos de la Clasificación de Locarno reconoció que, dada la falta de consenso, el grupo piloto que trabaja en el desarrollo de una herramienta para realizar búsquedas de características visuales de las solicitudes de dibujos o modelos no se reunió durante el bienio.  Por consiguiente, el proyecto se retrasó.</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szCs w:val="20"/>
          <w:lang w:val="es-ES_tradnl"/>
        </w:rPr>
      </w:pPr>
      <w:r w:rsidRPr="00A34388">
        <w:rPr>
          <w:lang w:val="es-ES_tradnl"/>
        </w:rPr>
        <w:t>12.4.</w:t>
      </w:r>
      <w:r w:rsidRPr="00A34388">
        <w:rPr>
          <w:lang w:val="es-ES_tradnl"/>
        </w:rPr>
        <w:tab/>
        <w:t xml:space="preserve">El número de revisiones de la CIP se redujo en 2012 por las dificultades que experimentaron las Oficinas de la Cooperación Pentalateral para alcanzar un acuerdo sobre el marco para el proyecto de creación de una clasificación híbrida común.  El interés por la CIP se reavivó en 2013, cuando el Comité de Expertos de la CIP aprobó una hoja de ruta que permitió la reactivación de la cooperación de las Oficinas de la Cooperación Pentalateral.  Como consecuencia, la CIP recibió más solicitudes de revisión procedentes de un </w:t>
      </w:r>
      <w:r w:rsidR="00730F86" w:rsidRPr="00A34388">
        <w:rPr>
          <w:lang w:val="es-ES_tradnl"/>
        </w:rPr>
        <w:t xml:space="preserve">elenco más amplio de </w:t>
      </w:r>
      <w:r w:rsidRPr="00A34388">
        <w:rPr>
          <w:lang w:val="es-ES_tradnl"/>
        </w:rPr>
        <w:t xml:space="preserve">oficinas.  Las oficinas continuaron utilizando intensamente la plataforma de reclasificación, que se puso en funcionamiento en 2012.  Con el fin de continuar facilitando la utilización de la CIP, se desarrolló y probó internamente una plataforma de publicación modificada que incluye una nueva herramienta de búsqueda y la función “Parallel Viewer” CIP/CPC/FI.  La plataforma de publicación revisada está a disposición del público </w:t>
      </w:r>
      <w:r w:rsidR="00730F86" w:rsidRPr="00A34388">
        <w:rPr>
          <w:lang w:val="es-ES_tradnl"/>
        </w:rPr>
        <w:t xml:space="preserve">desde </w:t>
      </w:r>
      <w:r w:rsidRPr="00A34388">
        <w:rPr>
          <w:lang w:val="es-ES_tradnl"/>
        </w:rPr>
        <w:t>abril de 2014.</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bCs/>
          <w:color w:val="000000"/>
          <w:szCs w:val="20"/>
          <w:lang w:val="es-ES_tradnl"/>
        </w:rPr>
      </w:pPr>
      <w:r w:rsidRPr="00A34388">
        <w:rPr>
          <w:lang w:val="es-ES_tradnl"/>
        </w:rPr>
        <w:t>12.5.</w:t>
      </w:r>
      <w:r w:rsidRPr="00A34388">
        <w:rPr>
          <w:lang w:val="es-ES_tradnl"/>
        </w:rPr>
        <w:tab/>
        <w:t xml:space="preserve">El Comité de Normas Técnicas de la OMPI (CWS) celebró sus sesiones ordinarias segunda y tercera durante el bienio y, pese a las dificultades institucionales, registró avances positivos en lo relativo a su labor técnica, destacando la aprobación de la primera versión de la Norma ST.96 sobre XML y propiedad intelectual.  En </w:t>
      </w:r>
      <w:r w:rsidR="000641E0">
        <w:rPr>
          <w:lang w:val="es-ES_tradnl"/>
        </w:rPr>
        <w:t>la</w:t>
      </w:r>
      <w:r w:rsidRPr="00A34388">
        <w:rPr>
          <w:lang w:val="es-ES_tradnl"/>
        </w:rPr>
        <w:t xml:space="preserve"> tercera sesión ordinaria se inició la toma en consideración de una nueva Norma relativa a la situación jurídica, que avanza a buen ritmo.  La Base de datos de la OMPI de administración de las normas técnicas (WIPOSTAD) se utilizó para recoger respuestas y publicar encuestas.</w:t>
      </w:r>
    </w:p>
    <w:p w:rsidR="001A2871" w:rsidRPr="00A34388" w:rsidRDefault="001A2871" w:rsidP="001A2871">
      <w:pPr>
        <w:rPr>
          <w:bCs/>
          <w:szCs w:val="20"/>
          <w:lang w:val="es-ES_tradnl"/>
        </w:rPr>
      </w:pPr>
    </w:p>
    <w:p w:rsidR="001A2871" w:rsidRPr="00A34388" w:rsidRDefault="001A2871" w:rsidP="001A2871">
      <w:pPr>
        <w:keepNext/>
        <w:keepLines/>
        <w:jc w:val="both"/>
        <w:rPr>
          <w:rFonts w:cs="Arial"/>
          <w:bCs/>
          <w:szCs w:val="20"/>
          <w:lang w:val="es-ES_tradnl"/>
        </w:rPr>
      </w:pPr>
      <w:r w:rsidRPr="00332758">
        <w:rPr>
          <w:lang w:val="es-ES_tradnl"/>
        </w:rPr>
        <w:t>APLICACIÓN DE LA AGENDA PARA EL DESARROLLO</w:t>
      </w:r>
      <w:r w:rsidRPr="00A34388">
        <w:rPr>
          <w:lang w:val="es-ES_tradnl"/>
        </w:rPr>
        <w:t xml:space="preserve"> </w:t>
      </w:r>
    </w:p>
    <w:p w:rsidR="001A2871" w:rsidRPr="00A34388" w:rsidRDefault="001A2871" w:rsidP="001A2871">
      <w:pPr>
        <w:rPr>
          <w:szCs w:val="20"/>
          <w:lang w:val="es-ES_tradnl"/>
        </w:rPr>
      </w:pPr>
    </w:p>
    <w:p w:rsidR="001A2871" w:rsidRPr="00A34388" w:rsidRDefault="001A2871" w:rsidP="001A2871">
      <w:pPr>
        <w:tabs>
          <w:tab w:val="left" w:pos="709"/>
        </w:tabs>
        <w:rPr>
          <w:rFonts w:eastAsia="MS Mincho"/>
          <w:szCs w:val="20"/>
          <w:lang w:val="es-ES_tradnl"/>
        </w:rPr>
      </w:pPr>
      <w:r w:rsidRPr="00332758">
        <w:rPr>
          <w:lang w:val="es-ES_tradnl"/>
        </w:rPr>
        <w:t>12.6.</w:t>
      </w:r>
      <w:r w:rsidRPr="00A34388">
        <w:rPr>
          <w:lang w:val="es-ES_tradnl"/>
        </w:rPr>
        <w:tab/>
      </w:r>
      <w:r w:rsidRPr="00332758">
        <w:rPr>
          <w:lang w:val="es-ES_tradnl"/>
        </w:rPr>
        <w:t>El trabajo del programa 12 respalda la aplicación de las recomendaciones 8, 30 y 31 de la Agenda para el Desarrollo, al facilitar el acceso de los países en desarrollo a información pública sobre patentes.</w:t>
      </w:r>
      <w:r w:rsidRPr="00A34388">
        <w:rPr>
          <w:lang w:val="es-ES_tradnl"/>
        </w:rPr>
        <w:t xml:space="preserve">  </w:t>
      </w:r>
      <w:r w:rsidRPr="00332758">
        <w:rPr>
          <w:lang w:val="es-ES_tradnl"/>
        </w:rPr>
        <w:t>Por este motivo, contribuye también a la labor que se realiza en aras de la transferencia de tecnología.</w:t>
      </w:r>
    </w:p>
    <w:p w:rsidR="001A2871" w:rsidRPr="00A34388" w:rsidRDefault="001A2871" w:rsidP="001A2871">
      <w:pPr>
        <w:rPr>
          <w:rFonts w:eastAsia="MS Mincho"/>
          <w:szCs w:val="20"/>
          <w:lang w:val="es-ES_tradnl"/>
        </w:rPr>
      </w:pPr>
    </w:p>
    <w:p w:rsidR="001A2871" w:rsidRPr="00A34388" w:rsidRDefault="001A2871" w:rsidP="001A2871">
      <w:pPr>
        <w:rPr>
          <w:rFonts w:cs="Arial"/>
          <w:sz w:val="22"/>
          <w:szCs w:val="22"/>
          <w:lang w:val="es-ES_tradnl"/>
        </w:rPr>
      </w:pPr>
      <w:r w:rsidRPr="00A34388">
        <w:rPr>
          <w:lang w:val="es-ES_tradnl"/>
        </w:rPr>
        <w:br w:type="page"/>
      </w:r>
    </w:p>
    <w:p w:rsidR="001A2871" w:rsidRPr="00A34388" w:rsidRDefault="001A2871" w:rsidP="001A2871">
      <w:pPr>
        <w:jc w:val="both"/>
        <w:rPr>
          <w:rFonts w:cs="Arial"/>
          <w:sz w:val="22"/>
          <w:szCs w:val="22"/>
          <w:lang w:val="es-ES_tradnl"/>
        </w:rPr>
      </w:pPr>
      <w:r w:rsidRPr="00332758">
        <w:rPr>
          <w:sz w:val="22"/>
          <w:lang w:val="es-ES_tradnl"/>
        </w:rPr>
        <w:lastRenderedPageBreak/>
        <w:t>DATOS SOBRE EL RENDIMIENTO</w:t>
      </w:r>
    </w:p>
    <w:p w:rsidR="001A2871" w:rsidRPr="00A34388" w:rsidRDefault="001A2871" w:rsidP="001A2871">
      <w:pPr>
        <w:rPr>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7"/>
        <w:gridCol w:w="1937"/>
        <w:gridCol w:w="1258"/>
        <w:gridCol w:w="3279"/>
        <w:gridCol w:w="1276"/>
      </w:tblGrid>
      <w:tr w:rsidR="001A2871" w:rsidRPr="00A9508D" w:rsidTr="00853209">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Sistema actualizado y aceptado mundialmente de clasificaciones internacionales y normas técnicas de la OMPI para facilitar el acceso, el uso y la difusión de información de P.I. entre los sectores interesados de todo el mundo.</w:t>
            </w:r>
          </w:p>
        </w:tc>
      </w:tr>
      <w:tr w:rsidR="001A2871" w:rsidRPr="00A34388" w:rsidTr="00853209">
        <w:tc>
          <w:tcPr>
            <w:tcW w:w="85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1035"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672"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52"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oficinas que utilizan las normas técnicas de la OMPI</w:t>
            </w:r>
          </w:p>
        </w:tc>
        <w:tc>
          <w:tcPr>
            <w:tcW w:w="1035"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Se han presentado 65 informes técnicos anuales.</w:t>
            </w:r>
            <w:r w:rsidRPr="00A34388">
              <w:rPr>
                <w:i/>
                <w:color w:val="002060"/>
                <w:sz w:val="16"/>
                <w:lang w:val="es-ES_tradnl"/>
              </w:rPr>
              <w:t xml:space="preserve">  </w:t>
            </w:r>
            <w:r w:rsidRPr="00332758">
              <w:rPr>
                <w:i/>
                <w:sz w:val="16"/>
                <w:lang w:val="es-ES_tradnl"/>
              </w:rPr>
              <w:t>30 oficinas de patentes participaron en una encuesta.</w:t>
            </w:r>
          </w:p>
          <w:p w:rsidR="001A2871" w:rsidRPr="00A34388" w:rsidRDefault="001A2871" w:rsidP="00853209">
            <w:pPr>
              <w:rPr>
                <w:rFonts w:cs="Arial"/>
                <w:i/>
                <w:sz w:val="8"/>
                <w:szCs w:val="8"/>
                <w:lang w:val="es-ES_tradnl"/>
              </w:rPr>
            </w:pPr>
          </w:p>
          <w:p w:rsidR="001A2871" w:rsidRPr="00A34388" w:rsidRDefault="001A2871" w:rsidP="002B591B">
            <w:pPr>
              <w:rPr>
                <w:rFonts w:cs="Arial"/>
                <w:sz w:val="16"/>
                <w:szCs w:val="16"/>
                <w:lang w:val="es-ES_tradnl"/>
              </w:rPr>
            </w:pPr>
            <w:r w:rsidRPr="00A34388">
              <w:rPr>
                <w:i/>
                <w:sz w:val="16"/>
                <w:lang w:val="es-ES_tradnl"/>
              </w:rPr>
              <w:t>Referencia original (Presup. por prog. 2012/13):</w:t>
            </w:r>
            <w:r w:rsidR="007E4D96" w:rsidRPr="00A34388">
              <w:rPr>
                <w:i/>
                <w:sz w:val="16"/>
                <w:lang w:val="es-ES_tradnl"/>
              </w:rPr>
              <w:t xml:space="preserve"> </w:t>
            </w:r>
            <w:r w:rsidRPr="00A34388">
              <w:rPr>
                <w:sz w:val="16"/>
                <w:lang w:val="es-ES_tradnl"/>
              </w:rPr>
              <w:t xml:space="preserve"> </w:t>
            </w:r>
            <w:r w:rsidR="002B591B" w:rsidRPr="00A34388">
              <w:rPr>
                <w:sz w:val="16"/>
                <w:lang w:val="es-ES_tradnl"/>
              </w:rPr>
              <w:t>Por</w:t>
            </w:r>
            <w:r w:rsidRPr="00A34388">
              <w:rPr>
                <w:sz w:val="16"/>
                <w:lang w:val="es-ES_tradnl"/>
              </w:rPr>
              <w:t xml:space="preserve"> determinar a fines de 2011.</w:t>
            </w:r>
          </w:p>
        </w:tc>
        <w:tc>
          <w:tcPr>
            <w:tcW w:w="672" w:type="pct"/>
            <w:shd w:val="clear" w:color="auto" w:fill="auto"/>
            <w:tcMar>
              <w:top w:w="110" w:type="dxa"/>
            </w:tcMar>
          </w:tcPr>
          <w:p w:rsidR="001A2871" w:rsidRPr="00A34388" w:rsidRDefault="002B591B" w:rsidP="00853209">
            <w:pPr>
              <w:rPr>
                <w:rFonts w:cs="Arial"/>
                <w:sz w:val="16"/>
                <w:szCs w:val="16"/>
                <w:lang w:val="es-ES_tradnl"/>
              </w:rPr>
            </w:pPr>
            <w:r w:rsidRPr="00332758">
              <w:rPr>
                <w:sz w:val="16"/>
                <w:lang w:val="es-ES_tradnl"/>
              </w:rPr>
              <w:t>Por</w:t>
            </w:r>
            <w:r w:rsidR="001A2871" w:rsidRPr="00332758">
              <w:rPr>
                <w:sz w:val="16"/>
                <w:lang w:val="es-ES_tradnl"/>
              </w:rPr>
              <w:t xml:space="preserve"> determinar a fines de 2011.</w:t>
            </w:r>
          </w:p>
        </w:tc>
        <w:tc>
          <w:tcPr>
            <w:tcW w:w="17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 han presentado 82 informes técnicos anuales (2012); </w:t>
            </w:r>
            <w:r w:rsidR="00267DA6" w:rsidRPr="00A34388">
              <w:rPr>
                <w:sz w:val="16"/>
                <w:lang w:val="es-ES_tradnl"/>
              </w:rPr>
              <w:t xml:space="preserve"> </w:t>
            </w:r>
            <w:r w:rsidRPr="00A34388">
              <w:rPr>
                <w:sz w:val="16"/>
                <w:lang w:val="es-ES_tradnl"/>
              </w:rPr>
              <w:t>se han presentado 78 informes técnicos anuales (2013).</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332758">
              <w:rPr>
                <w:sz w:val="16"/>
                <w:lang w:val="es-ES_tradnl"/>
              </w:rPr>
              <w:t>35 oficinas participaron en la encuesta sobre sistemas de numeración.</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sz w:val="16"/>
                <w:lang w:val="es-ES_tradnl"/>
              </w:rPr>
              <w:t>No mensurable</w:t>
            </w:r>
          </w:p>
        </w:tc>
      </w:tr>
      <w:tr w:rsidR="001A2871" w:rsidRPr="00A34388" w:rsidTr="00853209">
        <w:tc>
          <w:tcPr>
            <w:tcW w:w="85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modificaciones de la Clasificación de Niza</w:t>
            </w:r>
          </w:p>
        </w:tc>
        <w:tc>
          <w:tcPr>
            <w:tcW w:w="1035" w:type="pct"/>
            <w:shd w:val="clear" w:color="auto" w:fill="auto"/>
          </w:tcPr>
          <w:p w:rsidR="001A2871" w:rsidRPr="00A34388" w:rsidRDefault="001A2871" w:rsidP="00853209">
            <w:pPr>
              <w:rPr>
                <w:rFonts w:cs="Arial"/>
                <w:sz w:val="16"/>
                <w:szCs w:val="16"/>
                <w:lang w:val="es-ES_tradnl"/>
              </w:rPr>
            </w:pPr>
            <w:r w:rsidRPr="00332758">
              <w:rPr>
                <w:sz w:val="16"/>
                <w:lang w:val="es-ES_tradnl"/>
              </w:rPr>
              <w:t>300 modificaciones por año en los dos idiomas (promedio del período comprendido entre 2006 y 2010).</w:t>
            </w:r>
          </w:p>
        </w:tc>
        <w:tc>
          <w:tcPr>
            <w:tcW w:w="672"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Otros 2.000 términos de la lista trilateral y 4.000 términos corregidos para mejorar la Clasificación desde el punto de vista lingüístico</w:t>
            </w:r>
          </w:p>
        </w:tc>
        <w:tc>
          <w:tcPr>
            <w:tcW w:w="1752"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339 modificaciones en 2012</w:t>
            </w:r>
            <w:r w:rsidRPr="00A34388">
              <w:rPr>
                <w:rFonts w:cs="Arial"/>
                <w:sz w:val="16"/>
                <w:szCs w:val="16"/>
                <w:lang w:val="es-ES_tradnl"/>
              </w:rPr>
              <w:br/>
            </w:r>
            <w:r w:rsidRPr="00A34388">
              <w:rPr>
                <w:sz w:val="16"/>
                <w:lang w:val="es-ES_tradnl"/>
              </w:rPr>
              <w:t>423 modificaciones en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ECLA e Índice de archivos unificados en la CIP.</w:t>
            </w:r>
          </w:p>
        </w:tc>
        <w:tc>
          <w:tcPr>
            <w:tcW w:w="1035" w:type="pct"/>
            <w:shd w:val="clear" w:color="auto" w:fill="auto"/>
          </w:tcPr>
          <w:p w:rsidR="001A2871" w:rsidRPr="00A34388" w:rsidRDefault="001A2871" w:rsidP="00853209">
            <w:pPr>
              <w:rPr>
                <w:rFonts w:cs="Arial"/>
                <w:sz w:val="16"/>
                <w:szCs w:val="16"/>
                <w:lang w:val="es-ES_tradnl"/>
              </w:rPr>
            </w:pPr>
            <w:r w:rsidRPr="00332758">
              <w:rPr>
                <w:sz w:val="16"/>
                <w:lang w:val="es-ES_tradnl"/>
              </w:rPr>
              <w:t>Publicaciones independientes de la ECLA y el Índice de archivos en las bases de datos nacionales.</w:t>
            </w:r>
          </w:p>
        </w:tc>
        <w:tc>
          <w:tcPr>
            <w:tcW w:w="672"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ECLA e Índice de archivos incluidos en</w:t>
            </w:r>
          </w:p>
          <w:p w:rsidR="001A2871" w:rsidRPr="00A34388" w:rsidRDefault="001A2871" w:rsidP="00853209">
            <w:pPr>
              <w:rPr>
                <w:rFonts w:cs="Arial"/>
                <w:sz w:val="16"/>
                <w:szCs w:val="16"/>
                <w:lang w:val="es-ES_tradnl"/>
              </w:rPr>
            </w:pPr>
            <w:r w:rsidRPr="00A34388">
              <w:rPr>
                <w:sz w:val="16"/>
                <w:lang w:val="es-ES_tradnl"/>
              </w:rPr>
              <w:t xml:space="preserve">las publicaciones oficiales de la CIP. </w:t>
            </w:r>
          </w:p>
        </w:tc>
        <w:tc>
          <w:tcPr>
            <w:tcW w:w="1752" w:type="pct"/>
            <w:shd w:val="clear" w:color="auto" w:fill="FFFFFF"/>
            <w:tcMar>
              <w:top w:w="110" w:type="dxa"/>
            </w:tcMar>
          </w:tcPr>
          <w:p w:rsidR="001A2871" w:rsidRPr="00A34388" w:rsidRDefault="001A2871" w:rsidP="00730F86">
            <w:pPr>
              <w:rPr>
                <w:rFonts w:cs="Arial"/>
                <w:sz w:val="16"/>
                <w:szCs w:val="16"/>
                <w:lang w:val="es-ES_tradnl"/>
              </w:rPr>
            </w:pPr>
            <w:r w:rsidRPr="00A34388">
              <w:rPr>
                <w:sz w:val="16"/>
                <w:lang w:val="es-ES_tradnl"/>
              </w:rPr>
              <w:t xml:space="preserve">Se finalizó el desarrollo de la función “Parallel Viewer” CIP/CPC/FI.  La finalización y la corrección de errores menores </w:t>
            </w:r>
            <w:r w:rsidR="00730F86" w:rsidRPr="00A34388">
              <w:rPr>
                <w:sz w:val="16"/>
                <w:lang w:val="es-ES_tradnl"/>
              </w:rPr>
              <w:t xml:space="preserve">tuvieron lugar </w:t>
            </w:r>
            <w:r w:rsidRPr="00A34388">
              <w:rPr>
                <w:sz w:val="16"/>
                <w:lang w:val="es-ES_tradnl"/>
              </w:rPr>
              <w:t>antes de la puesta en funcionamiento en abril de 2014.</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E36C0A" w:themeColor="accent6" w:themeShade="BF"/>
                <w:sz w:val="16"/>
                <w:lang w:val="es-ES_tradnl"/>
              </w:rPr>
              <w:t>Parcialmente</w:t>
            </w:r>
            <w:r w:rsidRPr="00A34388">
              <w:rPr>
                <w:rStyle w:val="Style5"/>
                <w:rFonts w:ascii="Arial" w:hAnsi="Arial" w:cs="Arial"/>
                <w:color w:val="E36C0A" w:themeColor="accent6" w:themeShade="BF"/>
                <w:sz w:val="16"/>
                <w:szCs w:val="16"/>
                <w:lang w:val="es-ES_tradnl"/>
              </w:rPr>
              <w:br/>
            </w:r>
            <w:r w:rsidRPr="00A34388">
              <w:rPr>
                <w:rStyle w:val="Style5"/>
                <w:rFonts w:ascii="Arial" w:hAnsi="Arial"/>
                <w:color w:val="E36C0A" w:themeColor="accent6" w:themeShade="BF"/>
                <w:sz w:val="16"/>
                <w:lang w:val="es-ES_tradnl"/>
              </w:rPr>
              <w:t xml:space="preserve">logrado </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Integración en la Clasificación de Locarno de una herramienta para efectuar búsquedas de características visuales de las solicitudes de dibujos o modelos.</w:t>
            </w:r>
          </w:p>
        </w:tc>
        <w:tc>
          <w:tcPr>
            <w:tcW w:w="1035" w:type="pct"/>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la herramienta.</w:t>
            </w:r>
          </w:p>
        </w:tc>
        <w:tc>
          <w:tcPr>
            <w:tcW w:w="672" w:type="pct"/>
            <w:shd w:val="clear" w:color="auto" w:fill="auto"/>
            <w:tcMar>
              <w:top w:w="110" w:type="dxa"/>
            </w:tcMar>
          </w:tcPr>
          <w:p w:rsidR="001A2871" w:rsidRPr="00A34388" w:rsidRDefault="001A2871" w:rsidP="00EF4041">
            <w:pPr>
              <w:autoSpaceDE w:val="0"/>
              <w:autoSpaceDN w:val="0"/>
              <w:adjustRightInd w:val="0"/>
              <w:rPr>
                <w:rFonts w:cs="Arial"/>
                <w:sz w:val="16"/>
                <w:szCs w:val="16"/>
                <w:lang w:val="es-ES_tradnl"/>
              </w:rPr>
            </w:pPr>
            <w:r w:rsidRPr="00A34388">
              <w:rPr>
                <w:sz w:val="16"/>
                <w:lang w:val="es-ES_tradnl"/>
              </w:rPr>
              <w:t>Elaboración de un esquema de indización para</w:t>
            </w:r>
            <w:r w:rsidR="00EF4041">
              <w:rPr>
                <w:sz w:val="16"/>
                <w:lang w:val="es-ES_tradnl"/>
              </w:rPr>
              <w:t xml:space="preserve"> la Clasificación de </w:t>
            </w:r>
            <w:r w:rsidRPr="00A34388">
              <w:rPr>
                <w:sz w:val="16"/>
                <w:lang w:val="es-ES_tradnl"/>
              </w:rPr>
              <w:t>Locarno</w:t>
            </w:r>
          </w:p>
        </w:tc>
        <w:tc>
          <w:tcPr>
            <w:tcW w:w="1752" w:type="pct"/>
            <w:shd w:val="clear" w:color="auto" w:fill="FFFFFF"/>
            <w:tcMar>
              <w:top w:w="110" w:type="dxa"/>
            </w:tcMar>
          </w:tcPr>
          <w:p w:rsidR="001A2871" w:rsidRPr="00A34388" w:rsidRDefault="001A2871" w:rsidP="00853209">
            <w:pPr>
              <w:rPr>
                <w:rFonts w:cs="Arial"/>
                <w:sz w:val="16"/>
                <w:szCs w:val="16"/>
                <w:lang w:val="es-ES_tradnl"/>
              </w:rPr>
            </w:pPr>
            <w:r w:rsidRPr="00332758">
              <w:rPr>
                <w:sz w:val="16"/>
                <w:lang w:val="es-ES_tradnl"/>
              </w:rPr>
              <w:t>El grupo piloto de esta innovación no se reunió en el bienio.</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No</w:t>
            </w:r>
            <w:r w:rsidRPr="00A34388">
              <w:rPr>
                <w:rStyle w:val="Style5"/>
                <w:rFonts w:ascii="Arial" w:hAnsi="Arial" w:cs="Arial"/>
                <w:color w:val="FF0000"/>
                <w:sz w:val="16"/>
                <w:szCs w:val="16"/>
                <w:lang w:val="es-ES_tradnl"/>
              </w:rPr>
              <w:br/>
            </w:r>
            <w:r w:rsidRPr="00A34388">
              <w:rPr>
                <w:rStyle w:val="Style5"/>
                <w:rFonts w:ascii="Arial" w:hAnsi="Arial"/>
                <w:color w:val="FF0000"/>
                <w:sz w:val="16"/>
                <w:lang w:val="es-ES_tradnl"/>
              </w:rPr>
              <w:t>logrado</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normas técnicas modificadas y nuevas normas técnicas adoptadas.</w:t>
            </w:r>
          </w:p>
        </w:tc>
        <w:tc>
          <w:tcPr>
            <w:tcW w:w="1035"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Se modificaron dos normas técnicas.  </w:t>
            </w:r>
            <w:r w:rsidRPr="00332758">
              <w:rPr>
                <w:sz w:val="16"/>
                <w:lang w:val="es-ES_tradnl"/>
              </w:rPr>
              <w:t>No hay normas técnicas nuevas.</w:t>
            </w:r>
          </w:p>
          <w:p w:rsidR="001A2871" w:rsidRPr="00A34388" w:rsidRDefault="001A2871" w:rsidP="00853209">
            <w:pPr>
              <w:rPr>
                <w:rFonts w:cs="Arial"/>
                <w:i/>
                <w:sz w:val="16"/>
                <w:szCs w:val="16"/>
                <w:lang w:val="es-ES_tradnl"/>
              </w:rPr>
            </w:pPr>
          </w:p>
          <w:p w:rsidR="001A2871" w:rsidRPr="00A34388" w:rsidRDefault="001A2871" w:rsidP="002B591B">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 xml:space="preserve">Media de 2010/11:  </w:t>
            </w:r>
            <w:r w:rsidR="002B591B" w:rsidRPr="00A34388">
              <w:rPr>
                <w:sz w:val="16"/>
                <w:lang w:val="es-ES_tradnl"/>
              </w:rPr>
              <w:t xml:space="preserve">Por </w:t>
            </w:r>
            <w:r w:rsidRPr="00A34388">
              <w:rPr>
                <w:sz w:val="16"/>
                <w:lang w:val="es-ES_tradnl"/>
              </w:rPr>
              <w:t>determinar a fines de 2011.</w:t>
            </w:r>
          </w:p>
        </w:tc>
        <w:tc>
          <w:tcPr>
            <w:tcW w:w="672" w:type="pct"/>
            <w:shd w:val="clear" w:color="auto" w:fill="auto"/>
            <w:tcMar>
              <w:top w:w="110" w:type="dxa"/>
            </w:tcMar>
          </w:tcPr>
          <w:p w:rsidR="001A2871" w:rsidRPr="00A34388" w:rsidRDefault="002B591B" w:rsidP="002B591B">
            <w:pPr>
              <w:rPr>
                <w:rFonts w:cs="Arial"/>
                <w:sz w:val="16"/>
                <w:szCs w:val="16"/>
                <w:lang w:val="es-ES_tradnl"/>
              </w:rPr>
            </w:pPr>
            <w:r w:rsidRPr="00332758">
              <w:rPr>
                <w:sz w:val="16"/>
                <w:lang w:val="es-ES_tradnl"/>
              </w:rPr>
              <w:t xml:space="preserve">Por </w:t>
            </w:r>
            <w:r w:rsidR="001A2871" w:rsidRPr="00332758">
              <w:rPr>
                <w:sz w:val="16"/>
                <w:lang w:val="es-ES_tradnl"/>
              </w:rPr>
              <w:t>determinar a fines de 2011.</w:t>
            </w:r>
          </w:p>
        </w:tc>
        <w:tc>
          <w:tcPr>
            <w:tcW w:w="1752" w:type="pct"/>
            <w:shd w:val="clear" w:color="auto" w:fill="FFFFFF"/>
            <w:tcMar>
              <w:top w:w="110" w:type="dxa"/>
            </w:tcMar>
          </w:tcPr>
          <w:p w:rsidR="001A2871" w:rsidRPr="00A34388" w:rsidRDefault="001A2871" w:rsidP="00853209">
            <w:pPr>
              <w:rPr>
                <w:rFonts w:cs="Arial"/>
                <w:sz w:val="16"/>
                <w:szCs w:val="16"/>
                <w:lang w:val="es-ES_tradnl"/>
              </w:rPr>
            </w:pPr>
            <w:r w:rsidRPr="00332758">
              <w:rPr>
                <w:sz w:val="16"/>
                <w:lang w:val="es-ES_tradnl"/>
              </w:rPr>
              <w:t>Se adoptó una norma nueva y se modificaron dos en 2012.</w:t>
            </w:r>
            <w:r w:rsidRPr="00A34388">
              <w:rPr>
                <w:sz w:val="16"/>
                <w:lang w:val="es-ES_tradnl"/>
              </w:rPr>
              <w:t xml:space="preserve">  En 2013 se modificaron una norma técnica y el glosario.</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sz w:val="16"/>
                <w:lang w:val="es-ES_tradnl"/>
              </w:rPr>
              <w:t>No mensurable</w:t>
            </w:r>
          </w:p>
        </w:tc>
      </w:tr>
      <w:tr w:rsidR="001A2871" w:rsidRPr="00A34388" w:rsidTr="00853209">
        <w:tc>
          <w:tcPr>
            <w:tcW w:w="859" w:type="pct"/>
            <w:shd w:val="clear" w:color="auto" w:fill="auto"/>
          </w:tcPr>
          <w:p w:rsidR="001A2871" w:rsidRPr="00A34388" w:rsidRDefault="001A2871" w:rsidP="00853209">
            <w:pPr>
              <w:rPr>
                <w:rFonts w:cs="Arial"/>
                <w:color w:val="000000"/>
                <w:sz w:val="16"/>
                <w:szCs w:val="16"/>
                <w:lang w:val="es-ES_tradnl"/>
              </w:rPr>
            </w:pPr>
            <w:r w:rsidRPr="00332758">
              <w:rPr>
                <w:sz w:val="16"/>
                <w:lang w:val="es-ES_tradnl"/>
              </w:rPr>
              <w:t>Número de oficinas que se muestran satisfechas de la formación recibida para mejorar sus capacidades en el uso de las clasificaciones.</w:t>
            </w:r>
          </w:p>
        </w:tc>
        <w:tc>
          <w:tcPr>
            <w:tcW w:w="1035"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 xml:space="preserve">Sobre la base de cinco cursos de formación </w:t>
            </w:r>
            <w:r w:rsidR="00730F86" w:rsidRPr="00A34388">
              <w:rPr>
                <w:color w:val="002060"/>
                <w:sz w:val="16"/>
                <w:lang w:val="es-ES_tradnl"/>
              </w:rPr>
              <w:t>impartidos</w:t>
            </w:r>
            <w:r w:rsidRPr="00A34388">
              <w:rPr>
                <w:color w:val="002060"/>
                <w:sz w:val="16"/>
                <w:lang w:val="es-ES_tradnl"/>
              </w:rPr>
              <w:t>, en todas las evaluaciones se otorgó la máxima puntuación en las cuatro preguntas.</w:t>
            </w:r>
          </w:p>
          <w:p w:rsidR="001A2871" w:rsidRPr="00A34388" w:rsidRDefault="001A2871" w:rsidP="00853209">
            <w:pPr>
              <w:rPr>
                <w:rFonts w:cs="Arial"/>
                <w:sz w:val="16"/>
                <w:szCs w:val="16"/>
                <w:lang w:val="es-ES_tradnl"/>
              </w:rPr>
            </w:pPr>
          </w:p>
          <w:p w:rsidR="001A2871" w:rsidRPr="00A34388" w:rsidRDefault="001A2871" w:rsidP="002B591B">
            <w:pPr>
              <w:rPr>
                <w:rFonts w:cs="Arial"/>
                <w:sz w:val="16"/>
                <w:szCs w:val="16"/>
                <w:lang w:val="es-ES_tradnl"/>
              </w:rPr>
            </w:pPr>
            <w:r w:rsidRPr="00A34388">
              <w:rPr>
                <w:i/>
                <w:sz w:val="16"/>
                <w:lang w:val="es-ES_tradnl"/>
              </w:rPr>
              <w:t xml:space="preserve">Referencia original </w:t>
            </w:r>
            <w:r w:rsidRPr="00A34388">
              <w:rPr>
                <w:i/>
                <w:sz w:val="16"/>
                <w:lang w:val="es-ES_tradnl"/>
              </w:rPr>
              <w:lastRenderedPageBreak/>
              <w:t>(Presup. por prog. 2012/13):</w:t>
            </w:r>
            <w:r w:rsidRPr="00A34388">
              <w:rPr>
                <w:sz w:val="16"/>
                <w:lang w:val="es-ES_tradnl"/>
              </w:rPr>
              <w:t xml:space="preserve">  </w:t>
            </w:r>
            <w:r w:rsidR="002B591B" w:rsidRPr="00A34388">
              <w:rPr>
                <w:sz w:val="16"/>
                <w:lang w:val="es-ES_tradnl"/>
              </w:rPr>
              <w:t xml:space="preserve">Por </w:t>
            </w:r>
            <w:r w:rsidRPr="00A34388">
              <w:rPr>
                <w:sz w:val="16"/>
                <w:lang w:val="es-ES_tradnl"/>
              </w:rPr>
              <w:t>determinar a fines de 2011.</w:t>
            </w:r>
          </w:p>
        </w:tc>
        <w:tc>
          <w:tcPr>
            <w:tcW w:w="672" w:type="pct"/>
            <w:shd w:val="clear" w:color="auto" w:fill="auto"/>
            <w:tcMar>
              <w:top w:w="110" w:type="dxa"/>
            </w:tcMar>
          </w:tcPr>
          <w:p w:rsidR="001A2871" w:rsidRPr="00A34388" w:rsidRDefault="002B591B" w:rsidP="002B591B">
            <w:pPr>
              <w:rPr>
                <w:rFonts w:cs="Arial"/>
                <w:sz w:val="16"/>
                <w:szCs w:val="16"/>
                <w:lang w:val="es-ES_tradnl"/>
              </w:rPr>
            </w:pPr>
            <w:r w:rsidRPr="00332758">
              <w:rPr>
                <w:sz w:val="16"/>
                <w:lang w:val="es-ES_tradnl"/>
              </w:rPr>
              <w:lastRenderedPageBreak/>
              <w:t xml:space="preserve">Por </w:t>
            </w:r>
            <w:r w:rsidR="001A2871" w:rsidRPr="00332758">
              <w:rPr>
                <w:sz w:val="16"/>
                <w:lang w:val="es-ES_tradnl"/>
              </w:rPr>
              <w:t>determinar a fines de 2011.</w:t>
            </w:r>
          </w:p>
        </w:tc>
        <w:tc>
          <w:tcPr>
            <w:tcW w:w="1752" w:type="pct"/>
            <w:shd w:val="clear" w:color="auto" w:fill="FFFFFF"/>
            <w:tcMar>
              <w:top w:w="110" w:type="dxa"/>
            </w:tcMar>
          </w:tcPr>
          <w:p w:rsidR="001A2871" w:rsidRPr="00A34388" w:rsidRDefault="001A2871" w:rsidP="00730F86">
            <w:pPr>
              <w:rPr>
                <w:rFonts w:cs="Arial"/>
                <w:sz w:val="16"/>
                <w:szCs w:val="16"/>
                <w:lang w:val="es-ES_tradnl"/>
              </w:rPr>
            </w:pPr>
            <w:r w:rsidRPr="00A34388">
              <w:rPr>
                <w:sz w:val="16"/>
                <w:lang w:val="es-ES_tradnl"/>
              </w:rPr>
              <w:t xml:space="preserve">Seis oficinas respondieron a la encuesta de evaluación indicando que estaban "muy satisfechas" o "totalmente satisfechas" con la formación </w:t>
            </w:r>
            <w:r w:rsidR="00730F86" w:rsidRPr="00A34388">
              <w:rPr>
                <w:sz w:val="16"/>
                <w:lang w:val="es-ES_tradnl"/>
              </w:rPr>
              <w:t>impartida</w:t>
            </w:r>
            <w:r w:rsidRPr="00A34388">
              <w:rPr>
                <w:sz w:val="16"/>
                <w:lang w:val="es-ES_tradnl"/>
              </w:rPr>
              <w:t>.</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sz w:val="16"/>
                <w:lang w:val="es-ES_tradnl"/>
              </w:rPr>
              <w:t>No mensurable</w:t>
            </w:r>
          </w:p>
        </w:tc>
      </w:tr>
      <w:tr w:rsidR="001A2871" w:rsidRPr="00A34388" w:rsidTr="00853209">
        <w:tc>
          <w:tcPr>
            <w:tcW w:w="859" w:type="pct"/>
            <w:shd w:val="clear" w:color="auto" w:fill="auto"/>
          </w:tcPr>
          <w:p w:rsidR="001A2871" w:rsidRPr="00A34388" w:rsidRDefault="001A2871" w:rsidP="00853209">
            <w:pPr>
              <w:ind w:leftChars="-1" w:left="1" w:hangingChars="2" w:hanging="3"/>
              <w:rPr>
                <w:rFonts w:cs="Arial"/>
                <w:color w:val="000000"/>
                <w:sz w:val="16"/>
                <w:szCs w:val="16"/>
                <w:lang w:val="es-ES_tradnl"/>
              </w:rPr>
            </w:pPr>
            <w:r w:rsidRPr="00332758">
              <w:rPr>
                <w:sz w:val="16"/>
                <w:lang w:val="es-ES_tradnl"/>
              </w:rPr>
              <w:lastRenderedPageBreak/>
              <w:t>Número de usuarios que tienen acceso a las publicaciones de clasificaciones internacionales y normas técnicas, especialmente de países en desarrollo.</w:t>
            </w:r>
          </w:p>
        </w:tc>
        <w:tc>
          <w:tcPr>
            <w:tcW w:w="1035" w:type="pct"/>
            <w:shd w:val="clear" w:color="auto" w:fill="auto"/>
          </w:tcPr>
          <w:p w:rsidR="001A2871" w:rsidRPr="00985CA8" w:rsidRDefault="001A2871" w:rsidP="00853209">
            <w:pPr>
              <w:rPr>
                <w:rFonts w:cs="Arial"/>
                <w:i/>
                <w:color w:val="002060"/>
                <w:sz w:val="16"/>
                <w:szCs w:val="16"/>
                <w:lang w:val="es-ES_tradnl"/>
              </w:rPr>
            </w:pPr>
            <w:r w:rsidRPr="00985CA8">
              <w:rPr>
                <w:i/>
                <w:color w:val="002060"/>
                <w:sz w:val="16"/>
                <w:lang w:val="es-ES_tradnl"/>
              </w:rPr>
              <w:t>Referencia actualizada a fines de 2011:</w:t>
            </w:r>
          </w:p>
          <w:p w:rsidR="001A2871" w:rsidRPr="00985CA8" w:rsidRDefault="001A2871" w:rsidP="00853209">
            <w:pPr>
              <w:rPr>
                <w:rFonts w:cs="Arial"/>
                <w:color w:val="002060"/>
                <w:sz w:val="16"/>
                <w:szCs w:val="16"/>
                <w:lang w:val="es-ES_tradnl"/>
              </w:rPr>
            </w:pPr>
            <w:r w:rsidRPr="00985CA8">
              <w:rPr>
                <w:color w:val="002060"/>
                <w:sz w:val="16"/>
                <w:lang w:val="es-ES_tradnl"/>
              </w:rPr>
              <w:t>CIP:  341.583</w:t>
            </w:r>
          </w:p>
          <w:p w:rsidR="001A2871" w:rsidRPr="00985CA8" w:rsidRDefault="001A2871" w:rsidP="00853209">
            <w:pPr>
              <w:rPr>
                <w:rFonts w:cs="Arial"/>
                <w:color w:val="002060"/>
                <w:sz w:val="16"/>
                <w:szCs w:val="16"/>
                <w:lang w:val="es-ES_tradnl"/>
              </w:rPr>
            </w:pPr>
            <w:r w:rsidRPr="00985CA8">
              <w:rPr>
                <w:color w:val="002060"/>
                <w:sz w:val="16"/>
                <w:lang w:val="es-ES_tradnl"/>
              </w:rPr>
              <w:t>Niza:  307.403</w:t>
            </w:r>
          </w:p>
          <w:p w:rsidR="001A2871" w:rsidRPr="00985CA8" w:rsidRDefault="001A2871" w:rsidP="00853209">
            <w:pPr>
              <w:rPr>
                <w:rFonts w:cs="Arial"/>
                <w:color w:val="002060"/>
                <w:sz w:val="16"/>
                <w:szCs w:val="16"/>
                <w:lang w:val="es-ES_tradnl"/>
              </w:rPr>
            </w:pPr>
            <w:r w:rsidRPr="00985CA8">
              <w:rPr>
                <w:color w:val="002060"/>
                <w:sz w:val="16"/>
                <w:lang w:val="es-ES_tradnl"/>
              </w:rPr>
              <w:t>Locarno:  21.481</w:t>
            </w:r>
          </w:p>
          <w:p w:rsidR="001A2871" w:rsidRPr="00985CA8" w:rsidRDefault="001A2871" w:rsidP="00853209">
            <w:pPr>
              <w:rPr>
                <w:rFonts w:cs="Arial"/>
                <w:color w:val="002060"/>
                <w:sz w:val="16"/>
                <w:szCs w:val="16"/>
                <w:lang w:val="es-ES_tradnl"/>
              </w:rPr>
            </w:pPr>
            <w:r w:rsidRPr="00985CA8">
              <w:rPr>
                <w:color w:val="002060"/>
                <w:sz w:val="16"/>
                <w:lang w:val="es-ES_tradnl"/>
              </w:rPr>
              <w:t>Viena:  19.691</w:t>
            </w:r>
          </w:p>
          <w:p w:rsidR="001A2871" w:rsidRPr="00985CA8" w:rsidRDefault="001A2871" w:rsidP="00853209">
            <w:pPr>
              <w:rPr>
                <w:rFonts w:cs="Arial"/>
                <w:color w:val="002060"/>
                <w:sz w:val="16"/>
                <w:szCs w:val="16"/>
                <w:lang w:val="es-ES_tradnl"/>
              </w:rPr>
            </w:pPr>
            <w:r w:rsidRPr="00985CA8">
              <w:rPr>
                <w:color w:val="002060"/>
                <w:sz w:val="16"/>
                <w:lang w:val="es-ES_tradnl"/>
              </w:rPr>
              <w:t>Publicación de la CIP:  55.153</w:t>
            </w:r>
          </w:p>
          <w:p w:rsidR="001A2871" w:rsidRPr="00985CA8" w:rsidRDefault="001A2871" w:rsidP="00853209">
            <w:pPr>
              <w:rPr>
                <w:rFonts w:cs="Arial"/>
                <w:color w:val="002060"/>
                <w:sz w:val="16"/>
                <w:szCs w:val="16"/>
                <w:lang w:val="es-ES_tradnl"/>
              </w:rPr>
            </w:pPr>
            <w:r w:rsidRPr="00985CA8">
              <w:rPr>
                <w:color w:val="002060"/>
                <w:sz w:val="16"/>
                <w:lang w:val="es-ES_tradnl"/>
              </w:rPr>
              <w:t>Normas técnicas de la OMPI</w:t>
            </w:r>
          </w:p>
          <w:p w:rsidR="001A2871" w:rsidRPr="00A34388" w:rsidRDefault="001A2871" w:rsidP="00853209">
            <w:pPr>
              <w:rPr>
                <w:rFonts w:cs="Arial"/>
                <w:color w:val="002060"/>
                <w:sz w:val="16"/>
                <w:szCs w:val="16"/>
                <w:lang w:val="es-ES_tradnl"/>
              </w:rPr>
            </w:pPr>
            <w:r w:rsidRPr="00A34388">
              <w:rPr>
                <w:color w:val="002060"/>
                <w:sz w:val="16"/>
                <w:lang w:val="es-ES_tradnl"/>
              </w:rPr>
              <w:t>(Manual) 95.323</w:t>
            </w:r>
          </w:p>
          <w:p w:rsidR="001A2871" w:rsidRPr="00A34388" w:rsidRDefault="001A2871" w:rsidP="00853209">
            <w:pPr>
              <w:rPr>
                <w:rFonts w:cs="Arial"/>
                <w:i/>
                <w:sz w:val="16"/>
                <w:szCs w:val="16"/>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w:t>
            </w:r>
            <w:r w:rsidR="002B591B" w:rsidRPr="00A34388">
              <w:rPr>
                <w:sz w:val="16"/>
                <w:lang w:val="es-ES_tradnl"/>
              </w:rPr>
              <w:t xml:space="preserve">Por </w:t>
            </w:r>
            <w:r w:rsidRPr="00A34388">
              <w:rPr>
                <w:sz w:val="16"/>
                <w:lang w:val="es-ES_tradnl"/>
              </w:rPr>
              <w:t>determinar a fines de 2011.</w:t>
            </w:r>
          </w:p>
          <w:p w:rsidR="001A2871" w:rsidRPr="00A34388" w:rsidRDefault="001A2871" w:rsidP="00853209">
            <w:pPr>
              <w:rPr>
                <w:rFonts w:cs="Arial"/>
                <w:sz w:val="16"/>
                <w:szCs w:val="16"/>
                <w:lang w:val="es-ES_tradnl"/>
              </w:rPr>
            </w:pPr>
          </w:p>
        </w:tc>
        <w:tc>
          <w:tcPr>
            <w:tcW w:w="672" w:type="pct"/>
            <w:shd w:val="clear" w:color="auto" w:fill="auto"/>
            <w:tcMar>
              <w:top w:w="110" w:type="dxa"/>
            </w:tcMar>
          </w:tcPr>
          <w:p w:rsidR="001A2871" w:rsidRPr="00332758" w:rsidRDefault="001A2871" w:rsidP="00853209">
            <w:pPr>
              <w:rPr>
                <w:rFonts w:cs="Arial"/>
                <w:sz w:val="16"/>
                <w:szCs w:val="16"/>
                <w:lang w:val="es-ES_tradnl"/>
              </w:rPr>
            </w:pPr>
            <w:r w:rsidRPr="00332758">
              <w:rPr>
                <w:sz w:val="16"/>
                <w:lang w:val="es-ES_tradnl"/>
              </w:rPr>
              <w:t>5% de aumento en comparación con la referencia.</w:t>
            </w:r>
          </w:p>
        </w:tc>
        <w:tc>
          <w:tcPr>
            <w:tcW w:w="1752" w:type="pct"/>
            <w:shd w:val="clear" w:color="auto" w:fill="FFFFFF"/>
            <w:tcMar>
              <w:top w:w="110" w:type="dxa"/>
            </w:tcMar>
          </w:tcPr>
          <w:p w:rsidR="001A2871" w:rsidRPr="00A34388" w:rsidRDefault="001A2871" w:rsidP="00853209">
            <w:pPr>
              <w:rPr>
                <w:rFonts w:cs="Arial"/>
                <w:sz w:val="16"/>
                <w:szCs w:val="16"/>
                <w:u w:val="single"/>
                <w:lang w:val="es-ES_tradnl"/>
              </w:rPr>
            </w:pPr>
            <w:r w:rsidRPr="00A34388">
              <w:rPr>
                <w:sz w:val="16"/>
                <w:u w:val="single"/>
                <w:lang w:val="es-ES_tradnl"/>
              </w:rPr>
              <w:t>Visitas (2012/2013)</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CIP: </w:t>
            </w:r>
            <w:r w:rsidR="007E4D96" w:rsidRPr="00A34388">
              <w:rPr>
                <w:sz w:val="16"/>
                <w:lang w:val="es-ES_tradnl"/>
              </w:rPr>
              <w:t xml:space="preserve"> </w:t>
            </w:r>
            <w:r w:rsidRPr="00A34388">
              <w:rPr>
                <w:sz w:val="16"/>
                <w:lang w:val="es-ES_tradnl"/>
              </w:rPr>
              <w:t>370.215 / 387.093</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Niza: </w:t>
            </w:r>
            <w:r w:rsidR="007E4D96" w:rsidRPr="00A34388">
              <w:rPr>
                <w:sz w:val="16"/>
                <w:lang w:val="es-ES_tradnl"/>
              </w:rPr>
              <w:t xml:space="preserve"> </w:t>
            </w:r>
            <w:r w:rsidRPr="00A34388">
              <w:rPr>
                <w:sz w:val="16"/>
                <w:lang w:val="es-ES_tradnl"/>
              </w:rPr>
              <w:t>409.458 / 533.846</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Locarno: </w:t>
            </w:r>
            <w:r w:rsidR="007E4D96" w:rsidRPr="00A34388">
              <w:rPr>
                <w:sz w:val="16"/>
                <w:lang w:val="es-ES_tradnl"/>
              </w:rPr>
              <w:t xml:space="preserve"> </w:t>
            </w:r>
            <w:r w:rsidRPr="00A34388">
              <w:rPr>
                <w:sz w:val="16"/>
                <w:lang w:val="es-ES_tradnl"/>
              </w:rPr>
              <w:t>27.327 / 36.727</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Viena: </w:t>
            </w:r>
            <w:r w:rsidR="007E4D96" w:rsidRPr="00A34388">
              <w:rPr>
                <w:sz w:val="16"/>
                <w:lang w:val="es-ES_tradnl"/>
              </w:rPr>
              <w:t xml:space="preserve"> </w:t>
            </w:r>
            <w:r w:rsidRPr="00A34388">
              <w:rPr>
                <w:sz w:val="16"/>
                <w:lang w:val="es-ES_tradnl"/>
              </w:rPr>
              <w:t>25.703 / 32.416</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Publicación de la CIP:  66.628 / 79.005 (extrapolación de los datos de enero a marzo de 2013)</w:t>
            </w:r>
          </w:p>
          <w:p w:rsidR="001A2871" w:rsidRPr="00A34388" w:rsidRDefault="001A2871" w:rsidP="001A2871">
            <w:pPr>
              <w:pStyle w:val="ListParagraph"/>
              <w:numPr>
                <w:ilvl w:val="0"/>
                <w:numId w:val="42"/>
              </w:numPr>
              <w:ind w:left="193" w:hanging="193"/>
              <w:rPr>
                <w:rFonts w:cs="Arial"/>
                <w:sz w:val="16"/>
                <w:szCs w:val="16"/>
                <w:lang w:val="es-ES_tradnl"/>
              </w:rPr>
            </w:pPr>
            <w:r w:rsidRPr="00A34388">
              <w:rPr>
                <w:sz w:val="16"/>
                <w:lang w:val="es-ES_tradnl"/>
              </w:rPr>
              <w:t xml:space="preserve">Manual de la OMPI de </w:t>
            </w:r>
            <w:r w:rsidR="00EF4041" w:rsidRPr="00A34388">
              <w:rPr>
                <w:sz w:val="16"/>
                <w:lang w:val="es-ES_tradnl"/>
              </w:rPr>
              <w:t xml:space="preserve">Información </w:t>
            </w:r>
            <w:r w:rsidRPr="00A34388">
              <w:rPr>
                <w:sz w:val="16"/>
                <w:lang w:val="es-ES_tradnl"/>
              </w:rPr>
              <w:t xml:space="preserve">y </w:t>
            </w:r>
            <w:r w:rsidR="00EF4041" w:rsidRPr="00A34388">
              <w:rPr>
                <w:sz w:val="16"/>
                <w:lang w:val="es-ES_tradnl"/>
              </w:rPr>
              <w:t xml:space="preserve">Documentación </w:t>
            </w:r>
            <w:r w:rsidRPr="00A34388">
              <w:rPr>
                <w:sz w:val="16"/>
                <w:lang w:val="es-ES_tradnl"/>
              </w:rPr>
              <w:t>en materia de Propiedad Industrial:  90.189/</w:t>
            </w:r>
            <w:r w:rsidRPr="00A34388">
              <w:rPr>
                <w:rFonts w:cs="Arial"/>
                <w:sz w:val="16"/>
                <w:szCs w:val="16"/>
                <w:lang w:val="es-ES_tradnl"/>
              </w:rPr>
              <w:br/>
            </w:r>
            <w:r w:rsidRPr="00A34388">
              <w:rPr>
                <w:sz w:val="16"/>
                <w:lang w:val="es-ES_tradnl"/>
              </w:rPr>
              <w:t>94.463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bl>
    <w:p w:rsidR="001A2871" w:rsidRPr="00A34388" w:rsidRDefault="001A2871" w:rsidP="001A2871">
      <w:pPr>
        <w:rPr>
          <w:lang w:val="es-ES_tradnl"/>
        </w:rPr>
      </w:pPr>
    </w:p>
    <w:p w:rsidR="001A2871" w:rsidRPr="00A34388" w:rsidRDefault="001A2871" w:rsidP="001A2871">
      <w:pPr>
        <w:rPr>
          <w:rFonts w:cs="Arial"/>
          <w:sz w:val="22"/>
          <w:szCs w:val="22"/>
          <w:lang w:val="es-ES_tradnl"/>
        </w:rPr>
      </w:pP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keepNext/>
        <w:keepLines/>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rPr>
          <w:rFonts w:cs="Arial"/>
          <w:b/>
          <w:bCs/>
          <w:color w:val="000000"/>
          <w:sz w:val="18"/>
          <w:szCs w:val="18"/>
          <w:lang w:val="es-ES_tradnl"/>
        </w:rPr>
      </w:pPr>
    </w:p>
    <w:tbl>
      <w:tblPr>
        <w:tblW w:w="0" w:type="auto"/>
        <w:tblInd w:w="103" w:type="dxa"/>
        <w:tblLayout w:type="fixed"/>
        <w:tblLook w:val="04A0" w:firstRow="1" w:lastRow="0" w:firstColumn="1" w:lastColumn="0" w:noHBand="0" w:noVBand="1"/>
      </w:tblPr>
      <w:tblGrid>
        <w:gridCol w:w="537"/>
        <w:gridCol w:w="4430"/>
        <w:gridCol w:w="1558"/>
        <w:gridCol w:w="1418"/>
        <w:gridCol w:w="1418"/>
      </w:tblGrid>
      <w:tr w:rsidR="001A2871" w:rsidRPr="00A34388" w:rsidTr="00853209">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8"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3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IV.1</w:t>
            </w:r>
          </w:p>
        </w:tc>
        <w:tc>
          <w:tcPr>
            <w:tcW w:w="4430"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Sistema actualizado y aceptado mundialmente de clasificaciones internacionales y normas técnicas de la OMPI para facilitar el acceso, el uso y la difusión de información de P.I. entre los sectores interesados de todo el mundo</w:t>
            </w:r>
            <w:r w:rsidRPr="00332758">
              <w:rPr>
                <w:b/>
                <w:sz w:val="16"/>
                <w:lang w:val="es-ES_tradnl"/>
              </w:rPr>
              <w:t>.</w:t>
            </w:r>
          </w:p>
        </w:tc>
        <w:tc>
          <w:tcPr>
            <w:tcW w:w="1558"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6.932</w:t>
            </w:r>
          </w:p>
        </w:tc>
        <w:tc>
          <w:tcPr>
            <w:tcW w:w="1418"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7.291</w:t>
            </w:r>
          </w:p>
        </w:tc>
        <w:tc>
          <w:tcPr>
            <w:tcW w:w="1418"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7.196</w:t>
            </w:r>
          </w:p>
        </w:tc>
      </w:tr>
      <w:tr w:rsidR="001A2871" w:rsidRPr="00A34388" w:rsidTr="00853209">
        <w:tc>
          <w:tcPr>
            <w:tcW w:w="53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430"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58"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6.932</w:t>
            </w:r>
          </w:p>
        </w:tc>
        <w:tc>
          <w:tcPr>
            <w:tcW w:w="1418"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7.291</w:t>
            </w:r>
          </w:p>
        </w:tc>
        <w:tc>
          <w:tcPr>
            <w:tcW w:w="1418"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7.196</w:t>
            </w:r>
          </w:p>
        </w:tc>
      </w:tr>
    </w:tbl>
    <w:p w:rsidR="001A2871" w:rsidRPr="00A34388" w:rsidRDefault="001A2871" w:rsidP="001A2871">
      <w:pPr>
        <w:rPr>
          <w:rFonts w:cs="Arial"/>
          <w:b/>
          <w:bCs/>
          <w:color w:val="000000"/>
          <w:sz w:val="18"/>
          <w:szCs w:val="18"/>
          <w:lang w:val="es-ES_tradnl"/>
        </w:rPr>
      </w:pPr>
    </w:p>
    <w:p w:rsidR="001A2871" w:rsidRPr="00A34388" w:rsidRDefault="001A2871" w:rsidP="001A2871">
      <w:pPr>
        <w:rPr>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rPr>
          <w:lang w:val="es-ES_tradnl"/>
        </w:rPr>
      </w:pPr>
    </w:p>
    <w:tbl>
      <w:tblPr>
        <w:tblW w:w="9371" w:type="dxa"/>
        <w:tblInd w:w="93" w:type="dxa"/>
        <w:tblLook w:val="04A0" w:firstRow="1" w:lastRow="0" w:firstColumn="1" w:lastColumn="0" w:noHBand="0" w:noVBand="1"/>
      </w:tblPr>
      <w:tblGrid>
        <w:gridCol w:w="2425"/>
        <w:gridCol w:w="1736"/>
        <w:gridCol w:w="1737"/>
        <w:gridCol w:w="1736"/>
        <w:gridCol w:w="1737"/>
      </w:tblGrid>
      <w:tr w:rsidR="001A2871" w:rsidRPr="00A34388" w:rsidTr="00853209">
        <w:trPr>
          <w:trHeight w:val="477"/>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5.302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5.833</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5.833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sz w:val="16"/>
                <w:szCs w:val="16"/>
                <w:lang w:val="es-ES_tradnl"/>
              </w:rPr>
            </w:pPr>
            <w:r w:rsidRPr="00332758">
              <w:rPr>
                <w:sz w:val="16"/>
                <w:lang w:val="es-ES_tradnl"/>
              </w:rPr>
              <w:t>100%</w:t>
            </w:r>
          </w:p>
        </w:tc>
      </w:tr>
      <w:tr w:rsidR="001A2871" w:rsidRPr="00A34388" w:rsidTr="00853209">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1.630</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1.458</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1.363</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sz w:val="16"/>
                <w:szCs w:val="16"/>
                <w:lang w:val="es-ES_tradnl"/>
              </w:rPr>
            </w:pPr>
            <w:r w:rsidRPr="00332758">
              <w:rPr>
                <w:sz w:val="16"/>
                <w:lang w:val="es-ES_tradnl"/>
              </w:rPr>
              <w:t>93%</w:t>
            </w:r>
          </w:p>
        </w:tc>
      </w:tr>
      <w:tr w:rsidR="001A2871" w:rsidRPr="00A34388" w:rsidTr="00853209">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6.932</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7.291</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7.196</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b/>
                <w:bCs/>
                <w:sz w:val="16"/>
                <w:szCs w:val="16"/>
                <w:lang w:val="es-ES_tradnl"/>
              </w:rPr>
            </w:pPr>
            <w:r w:rsidRPr="00332758">
              <w:rPr>
                <w:b/>
                <w:sz w:val="16"/>
                <w:lang w:val="es-ES_tradnl"/>
              </w:rPr>
              <w:t>99%</w:t>
            </w:r>
          </w:p>
        </w:tc>
      </w:tr>
    </w:tbl>
    <w:p w:rsidR="001A2871" w:rsidRPr="00A34388" w:rsidRDefault="001A2871" w:rsidP="001A2871">
      <w:pPr>
        <w:rPr>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NOTAS:</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sz w:val="16"/>
          <w:szCs w:val="16"/>
          <w:lang w:val="es-ES_tradnl"/>
        </w:rPr>
      </w:pPr>
    </w:p>
    <w:p w:rsidR="001A2871" w:rsidRPr="00A34388" w:rsidRDefault="001A2871" w:rsidP="004C0FD5">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rPr>
          <w:lang w:val="es-ES_tradnl"/>
        </w:rPr>
      </w:pPr>
    </w:p>
    <w:p w:rsidR="004C0FD5" w:rsidRPr="00A34388" w:rsidRDefault="004C0FD5">
      <w:pPr>
        <w:rPr>
          <w:lang w:val="es-ES_tradnl"/>
        </w:rPr>
      </w:pPr>
      <w:r w:rsidRPr="00A34388">
        <w:rPr>
          <w:lang w:val="es-ES_tradnl"/>
        </w:rPr>
        <w:br w:type="page"/>
      </w:r>
    </w:p>
    <w:p w:rsidR="001A2871" w:rsidRPr="00A34388" w:rsidRDefault="001A2871" w:rsidP="001A2871">
      <w:pPr>
        <w:rPr>
          <w:lang w:val="es-ES_tradnl"/>
        </w:rPr>
      </w:pPr>
    </w:p>
    <w:p w:rsidR="001A2871" w:rsidRPr="00332758" w:rsidRDefault="001A2871" w:rsidP="001A2871">
      <w:pPr>
        <w:tabs>
          <w:tab w:val="left" w:pos="709"/>
        </w:tabs>
        <w:autoSpaceDE w:val="0"/>
        <w:autoSpaceDN w:val="0"/>
        <w:adjustRightInd w:val="0"/>
        <w:rPr>
          <w:rFonts w:cs="Arial"/>
          <w:szCs w:val="20"/>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autoSpaceDE w:val="0"/>
        <w:autoSpaceDN w:val="0"/>
        <w:adjustRightInd w:val="0"/>
        <w:rPr>
          <w:rFonts w:cs="Arial"/>
          <w:sz w:val="22"/>
          <w:szCs w:val="22"/>
          <w:lang w:val="es-ES_tradnl"/>
        </w:rPr>
      </w:pPr>
    </w:p>
    <w:p w:rsidR="001A2871" w:rsidRPr="00A34388" w:rsidRDefault="001A2871" w:rsidP="001A2871">
      <w:pPr>
        <w:keepNext/>
        <w:tabs>
          <w:tab w:val="left" w:pos="709"/>
        </w:tabs>
        <w:autoSpaceDE w:val="0"/>
        <w:autoSpaceDN w:val="0"/>
        <w:jc w:val="both"/>
        <w:rPr>
          <w:szCs w:val="20"/>
          <w:lang w:val="es-ES_tradnl"/>
        </w:rPr>
      </w:pPr>
      <w:r w:rsidRPr="00332758">
        <w:rPr>
          <w:lang w:val="es-ES_tradnl"/>
        </w:rPr>
        <w:t>12.7.</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tabs>
          <w:tab w:val="left" w:pos="709"/>
        </w:tabs>
        <w:jc w:val="both"/>
        <w:rPr>
          <w:iCs/>
          <w:lang w:val="es-ES_tradnl"/>
        </w:rPr>
      </w:pPr>
      <w:r w:rsidRPr="00A34388">
        <w:rPr>
          <w:lang w:val="es-ES_tradnl"/>
        </w:rPr>
        <w:t>12.8.</w:t>
      </w:r>
      <w:r w:rsidRPr="00A34388">
        <w:rPr>
          <w:lang w:val="es-ES_tradnl"/>
        </w:rPr>
        <w:tab/>
        <w:t xml:space="preserve">El incremento de los recursos de personal </w:t>
      </w:r>
      <w:r w:rsidR="00A741D2" w:rsidRPr="00A34388">
        <w:rPr>
          <w:lang w:val="es-ES_tradnl"/>
        </w:rPr>
        <w:t>se explica por</w:t>
      </w:r>
      <w:r w:rsidRPr="00A34388">
        <w:rPr>
          <w:lang w:val="es-ES_tradnl"/>
        </w:rPr>
        <w:t xml:space="preserve">:  i) la reclasificación de un puesto;  </w:t>
      </w:r>
      <w:r w:rsidR="009F4808" w:rsidRPr="00A34388">
        <w:rPr>
          <w:lang w:val="es-ES_tradnl"/>
        </w:rPr>
        <w:t>ii)</w:t>
      </w:r>
      <w:r w:rsidRPr="00A34388">
        <w:rPr>
          <w:lang w:val="es-ES_tradnl"/>
        </w:rPr>
        <w:t xml:space="preserve"> la regularización de un empleado temporero con muchos años de servicio en la Organización;  y </w:t>
      </w:r>
      <w:r w:rsidR="009F4808" w:rsidRPr="00A34388">
        <w:rPr>
          <w:lang w:val="es-ES_tradnl"/>
        </w:rPr>
        <w:t>iii)</w:t>
      </w:r>
      <w:r w:rsidRPr="00A34388">
        <w:rPr>
          <w:lang w:val="es-ES_tradnl"/>
        </w:rPr>
        <w:t xml:space="preserve"> el compromiso de la Organización</w:t>
      </w:r>
      <w:r w:rsidR="00FB33B7" w:rsidRPr="00A34388">
        <w:rPr>
          <w:lang w:val="es-ES_tradnl"/>
        </w:rPr>
        <w:t>, en caso de aumento de los niveles de ingresos previstos,</w:t>
      </w:r>
      <w:r w:rsidRPr="00A34388">
        <w:rPr>
          <w:lang w:val="es-ES_tradnl"/>
        </w:rPr>
        <w:t xml:space="preserve"> de re</w:t>
      </w:r>
      <w:r w:rsidR="00FB33B7" w:rsidRPr="00A34388">
        <w:rPr>
          <w:lang w:val="es-ES_tradnl"/>
        </w:rPr>
        <w:t>stablecer</w:t>
      </w:r>
      <w:r w:rsidRPr="00A34388">
        <w:rPr>
          <w:lang w:val="es-ES_tradnl"/>
        </w:rPr>
        <w:t xml:space="preserve"> la </w:t>
      </w:r>
      <w:r w:rsidR="00FB33B7" w:rsidRPr="00A34388">
        <w:rPr>
          <w:lang w:val="es-ES_tradnl"/>
        </w:rPr>
        <w:t xml:space="preserve">reserva para </w:t>
      </w:r>
      <w:r w:rsidRPr="00A34388">
        <w:rPr>
          <w:lang w:val="es-ES_tradnl"/>
        </w:rPr>
        <w:t xml:space="preserve">prestaciones pagaderas a los empleados después del servicio, </w:t>
      </w:r>
      <w:r w:rsidR="00FB33B7" w:rsidRPr="00A34388">
        <w:rPr>
          <w:lang w:val="es-ES_tradnl"/>
        </w:rPr>
        <w:t xml:space="preserve">inicialmente dotada con un importe </w:t>
      </w:r>
      <w:r w:rsidR="008635F3" w:rsidRPr="00A34388">
        <w:rPr>
          <w:lang w:val="es-ES_tradnl"/>
        </w:rPr>
        <w:t xml:space="preserve">inferior al de </w:t>
      </w:r>
      <w:r w:rsidR="00FB33B7" w:rsidRPr="00A34388">
        <w:rPr>
          <w:lang w:val="es-ES_tradnl"/>
        </w:rPr>
        <w:t>los bienios anteriores.</w:t>
      </w:r>
    </w:p>
    <w:p w:rsidR="001A2871" w:rsidRPr="00A34388" w:rsidRDefault="001A2871" w:rsidP="001A2871">
      <w:pPr>
        <w:autoSpaceDE w:val="0"/>
        <w:autoSpaceDN w:val="0"/>
        <w:adjustRightInd w:val="0"/>
        <w:rPr>
          <w:rFonts w:cs="Arial"/>
          <w:szCs w:val="20"/>
          <w:lang w:val="es-ES_tradnl"/>
        </w:rPr>
      </w:pPr>
    </w:p>
    <w:p w:rsidR="001A2871" w:rsidRPr="00A34388" w:rsidRDefault="001A2871" w:rsidP="001A2871">
      <w:pPr>
        <w:tabs>
          <w:tab w:val="left" w:pos="709"/>
        </w:tabs>
        <w:autoSpaceDE w:val="0"/>
        <w:autoSpaceDN w:val="0"/>
        <w:adjustRightInd w:val="0"/>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B6AC7" w:rsidRPr="00A34388">
        <w:rPr>
          <w:u w:val="single"/>
          <w:lang w:val="es-ES_tradnl"/>
        </w:rPr>
        <w:t>en </w:t>
      </w:r>
      <w:r w:rsidRPr="00A34388">
        <w:rPr>
          <w:u w:val="single"/>
          <w:lang w:val="es-ES_tradnl"/>
        </w:rPr>
        <w:t>2012/13</w:t>
      </w:r>
    </w:p>
    <w:p w:rsidR="001A2871" w:rsidRPr="00A34388" w:rsidRDefault="001A2871" w:rsidP="001A2871">
      <w:pPr>
        <w:autoSpaceDE w:val="0"/>
        <w:autoSpaceDN w:val="0"/>
        <w:adjustRightInd w:val="0"/>
        <w:rPr>
          <w:rFonts w:cs="Arial"/>
          <w:szCs w:val="20"/>
          <w:u w:val="single"/>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A34388">
        <w:rPr>
          <w:lang w:val="es-ES_tradnl"/>
        </w:rPr>
        <w:t>12.9.</w:t>
      </w:r>
      <w:r w:rsidRPr="00A34388">
        <w:rPr>
          <w:lang w:val="es-ES_tradnl"/>
        </w:rPr>
        <w:tab/>
        <w:t xml:space="preserve">La utilización del presupuesto, que ascendió al 93%, refleja un nivel de gastos ligeramente inferior al previsto en asistencia de T.I. para las clasificaciones internacionales. </w:t>
      </w:r>
    </w:p>
    <w:p w:rsidR="001A2871" w:rsidRPr="00A34388" w:rsidRDefault="001A2871" w:rsidP="001A2871">
      <w:pPr>
        <w:rPr>
          <w:rFonts w:ascii="Arial Bold" w:hAnsi="Arial Bold" w:cs="Arial"/>
          <w:b/>
          <w:bCs/>
          <w:iCs/>
          <w:sz w:val="22"/>
          <w:szCs w:val="28"/>
          <w:lang w:val="es-ES_tradnl"/>
        </w:rPr>
      </w:pPr>
      <w:r w:rsidRPr="00A34388">
        <w:rPr>
          <w:lang w:val="es-ES_tradnl"/>
        </w:rPr>
        <w:br w:type="page"/>
      </w:r>
    </w:p>
    <w:p w:rsidR="00391D6B" w:rsidRPr="003934C8" w:rsidRDefault="00391D6B" w:rsidP="00391D6B">
      <w:pPr>
        <w:pStyle w:val="Heading3"/>
        <w:rPr>
          <w:rFonts w:hint="eastAsia"/>
          <w:lang w:val="es-ES"/>
        </w:rPr>
      </w:pPr>
      <w:bookmarkStart w:id="48" w:name="_Toc394319063"/>
      <w:bookmarkStart w:id="49" w:name="_Toc395279669"/>
      <w:r w:rsidRPr="003934C8">
        <w:rPr>
          <w:lang w:val="es-ES"/>
        </w:rPr>
        <w:lastRenderedPageBreak/>
        <w:t>Programa 13</w:t>
      </w:r>
      <w:r w:rsidRPr="003934C8">
        <w:rPr>
          <w:lang w:val="es-ES"/>
        </w:rPr>
        <w:tab/>
        <w:t>Bases de datos mundiales</w:t>
      </w:r>
      <w:bookmarkEnd w:id="48"/>
      <w:bookmarkEnd w:id="49"/>
    </w:p>
    <w:p w:rsidR="001A2871" w:rsidRPr="00332758" w:rsidRDefault="001A2871" w:rsidP="001A2871">
      <w:pPr>
        <w:ind w:left="2268" w:hanging="2268"/>
        <w:rPr>
          <w:b/>
          <w:sz w:val="22"/>
          <w:szCs w:val="22"/>
          <w:lang w:val="es-ES_tradnl"/>
        </w:rPr>
      </w:pPr>
    </w:p>
    <w:p w:rsidR="001A2871" w:rsidRPr="00332758" w:rsidRDefault="001A2871" w:rsidP="001A2871">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Y. Takagi</w:t>
      </w:r>
    </w:p>
    <w:p w:rsidR="001A2871" w:rsidRPr="00A34388" w:rsidRDefault="001A2871" w:rsidP="001A2871">
      <w:pPr>
        <w:ind w:left="2268" w:hanging="2268"/>
        <w:rPr>
          <w:b/>
          <w:sz w:val="22"/>
          <w:szCs w:val="22"/>
          <w:lang w:val="es-ES_tradnl"/>
        </w:rPr>
      </w:pPr>
    </w:p>
    <w:p w:rsidR="001A2871" w:rsidRPr="00A34388" w:rsidRDefault="001A2871" w:rsidP="001A2871">
      <w:pPr>
        <w:ind w:left="2268" w:hanging="2268"/>
        <w:rPr>
          <w:b/>
          <w:bCs/>
          <w:sz w:val="22"/>
          <w:szCs w:val="22"/>
          <w:lang w:val="es-ES_tradnl"/>
        </w:rPr>
      </w:pPr>
    </w:p>
    <w:p w:rsidR="001A2871" w:rsidRPr="00A34388" w:rsidRDefault="003E3F45" w:rsidP="001A2871">
      <w:pPr>
        <w:ind w:left="2268" w:hanging="2268"/>
        <w:rPr>
          <w:rFonts w:cs="Arial"/>
          <w:sz w:val="22"/>
          <w:szCs w:val="22"/>
          <w:lang w:val="es-ES_tradnl"/>
        </w:rPr>
      </w:pPr>
      <w:r>
        <w:rPr>
          <w:sz w:val="22"/>
          <w:lang w:val="es-ES_tradnl"/>
        </w:rPr>
        <w:t>AVANCES LOGRADOS EN EL BIENIO 2012/13</w:t>
      </w:r>
    </w:p>
    <w:p w:rsidR="001A2871" w:rsidRPr="00A34388" w:rsidRDefault="001A2871" w:rsidP="001A2871">
      <w:pPr>
        <w:autoSpaceDE w:val="0"/>
        <w:autoSpaceDN w:val="0"/>
        <w:adjustRightInd w:val="0"/>
        <w:rPr>
          <w:rFonts w:cs="Arial"/>
          <w:bCs/>
          <w:color w:val="000000"/>
          <w:sz w:val="22"/>
          <w:szCs w:val="22"/>
          <w:lang w:val="es-ES_tradnl"/>
        </w:rPr>
      </w:pPr>
    </w:p>
    <w:p w:rsidR="00D3691A" w:rsidRPr="00A34388" w:rsidRDefault="001A2871" w:rsidP="00D3691A">
      <w:pPr>
        <w:autoSpaceDE w:val="0"/>
        <w:autoSpaceDN w:val="0"/>
        <w:adjustRightInd w:val="0"/>
        <w:jc w:val="both"/>
        <w:rPr>
          <w:lang w:val="es-ES_tradnl"/>
        </w:rPr>
      </w:pPr>
      <w:r w:rsidRPr="00A34388">
        <w:rPr>
          <w:lang w:val="es-ES_tradnl"/>
        </w:rPr>
        <w:t>13.1.</w:t>
      </w:r>
      <w:r w:rsidRPr="00A34388">
        <w:rPr>
          <w:lang w:val="es-ES_tradnl"/>
        </w:rPr>
        <w:tab/>
      </w:r>
      <w:r w:rsidR="00D3691A" w:rsidRPr="00A34388">
        <w:rPr>
          <w:lang w:val="es-ES_tradnl"/>
        </w:rPr>
        <w:t xml:space="preserve">El nuevo sistema PATENTSCOPE, introducido en las postrimerías del bienio </w:t>
      </w:r>
      <w:r w:rsidR="007F2148" w:rsidRPr="00A34388">
        <w:rPr>
          <w:lang w:val="es-ES_tradnl"/>
        </w:rPr>
        <w:t>anterior</w:t>
      </w:r>
      <w:r w:rsidR="00D3691A" w:rsidRPr="00A34388">
        <w:rPr>
          <w:lang w:val="es-ES_tradnl"/>
        </w:rPr>
        <w:t xml:space="preserve">, continuó perfeccionándose con el fin de mejorar y facilitar el acceso de los usuarios.  Para ello se pusieron en marcha numerosos servicios que incluyen la mejora de la sintaxis de búsqueda, la incorporación de cuentas de usuario, la posibilidad de que los usuarios almacenen sus búsquedas y la introducción de un asistente que proporciona información acerca del código CIP al desplazarse sobre el icono.  Además, se añadieron tres nuevos idiomas (neerlandés, italiano y sueco) a los nueve ya existentes </w:t>
      </w:r>
      <w:r w:rsidR="00D3691A" w:rsidRPr="00A34388">
        <w:rPr>
          <w:bCs/>
          <w:lang w:val="es-ES_tradnl"/>
        </w:rPr>
        <w:t xml:space="preserve">en el sistema de búsqueda multilingüe </w:t>
      </w:r>
      <w:r w:rsidR="00D3691A" w:rsidRPr="00EF4041">
        <w:rPr>
          <w:bCs/>
          <w:i/>
          <w:lang w:val="es-ES_tradnl"/>
        </w:rPr>
        <w:t>Cross Lingual Information Retrieval</w:t>
      </w:r>
      <w:r w:rsidR="00D3691A" w:rsidRPr="00A34388">
        <w:rPr>
          <w:bCs/>
          <w:lang w:val="es-ES_tradnl"/>
        </w:rPr>
        <w:t xml:space="preserve"> (CLIR)</w:t>
      </w:r>
      <w:r w:rsidR="00D3691A" w:rsidRPr="00A34388">
        <w:rPr>
          <w:lang w:val="es-ES_tradnl"/>
        </w:rPr>
        <w:t>, lo que eleva a un total de 12 los idiomas disponibles.  También se amplió el Asistente de Traducción para los Títulos y Resúmenes de Patentes (TAPTA</w:t>
      </w:r>
      <w:r w:rsidR="001C5AAB" w:rsidRPr="00A34388">
        <w:rPr>
          <w:lang w:val="es-ES_tradnl"/>
        </w:rPr>
        <w:t xml:space="preserve">, de </w:t>
      </w:r>
      <w:r w:rsidR="00D3691A" w:rsidRPr="00A34388">
        <w:rPr>
          <w:lang w:val="es-ES_tradnl"/>
        </w:rPr>
        <w:t xml:space="preserve">sus siglas en inglés), un sistema </w:t>
      </w:r>
      <w:r w:rsidR="00EF4041" w:rsidRPr="00A34388">
        <w:rPr>
          <w:lang w:val="es-ES_tradnl"/>
        </w:rPr>
        <w:t>estadístic</w:t>
      </w:r>
      <w:r w:rsidR="00EF4041">
        <w:rPr>
          <w:lang w:val="es-ES_tradnl"/>
        </w:rPr>
        <w:t>o</w:t>
      </w:r>
      <w:r w:rsidR="00EF4041" w:rsidRPr="00A34388">
        <w:rPr>
          <w:lang w:val="es-ES_tradnl"/>
        </w:rPr>
        <w:t xml:space="preserve"> </w:t>
      </w:r>
      <w:r w:rsidR="00D3691A" w:rsidRPr="00A34388">
        <w:rPr>
          <w:lang w:val="es-ES_tradnl"/>
        </w:rPr>
        <w:t>de traducción automática desarrollado internamente, a fin de que incluya dos combinaciones complicadas de idiomas:  inglés y alemán e inglés y japonés.</w:t>
      </w:r>
    </w:p>
    <w:p w:rsidR="00D3691A" w:rsidRPr="00A34388" w:rsidRDefault="00D3691A" w:rsidP="001A2871">
      <w:pPr>
        <w:pStyle w:val="Style1"/>
        <w:numPr>
          <w:ilvl w:val="0"/>
          <w:numId w:val="0"/>
        </w:numPr>
        <w:tabs>
          <w:tab w:val="left" w:pos="709"/>
        </w:tabs>
        <w:jc w:val="both"/>
        <w:rPr>
          <w:lang w:val="es-ES_tradnl"/>
        </w:rPr>
      </w:pPr>
    </w:p>
    <w:p w:rsidR="00D3691A" w:rsidRPr="00A34388" w:rsidRDefault="001A2871" w:rsidP="00D3691A">
      <w:pPr>
        <w:autoSpaceDE w:val="0"/>
        <w:autoSpaceDN w:val="0"/>
        <w:adjustRightInd w:val="0"/>
        <w:jc w:val="both"/>
        <w:rPr>
          <w:lang w:val="es-ES_tradnl"/>
        </w:rPr>
      </w:pPr>
      <w:r w:rsidRPr="00A34388">
        <w:rPr>
          <w:lang w:val="es-ES_tradnl"/>
        </w:rPr>
        <w:t>13.2.</w:t>
      </w:r>
      <w:r w:rsidRPr="00A34388">
        <w:rPr>
          <w:lang w:val="es-ES_tradnl"/>
        </w:rPr>
        <w:tab/>
      </w:r>
      <w:r w:rsidR="00D3691A" w:rsidRPr="00A34388">
        <w:rPr>
          <w:lang w:val="es-ES_tradnl"/>
        </w:rPr>
        <w:t xml:space="preserve">El uso de PATENTSCOPE aumentó un 10% pasando de 216.289 usuarios por trimestre en 2011 a 237.446 usuarios por trimestre en 2013, pese a experimentar problemas con las redes de entrega de contenidos durante 2012. </w:t>
      </w:r>
      <w:r w:rsidR="006B742B" w:rsidRPr="00A34388">
        <w:rPr>
          <w:lang w:val="es-ES_tradnl"/>
        </w:rPr>
        <w:t xml:space="preserve"> </w:t>
      </w:r>
      <w:r w:rsidR="00D3691A" w:rsidRPr="00A34388">
        <w:rPr>
          <w:lang w:val="es-ES_tradnl"/>
        </w:rPr>
        <w:t xml:space="preserve">El número de colecciones que alberga PATENTSCOPE experimentó un crecimiento constante, pasando de 28 en 2011 a 36 en 2013, destacando entre ellas la aportación de las colecciones de </w:t>
      </w:r>
      <w:r w:rsidR="00584235" w:rsidRPr="00A34388">
        <w:rPr>
          <w:lang w:val="es-ES_tradnl"/>
        </w:rPr>
        <w:t xml:space="preserve">los </w:t>
      </w:r>
      <w:r w:rsidR="00D3691A" w:rsidRPr="00A34388">
        <w:rPr>
          <w:lang w:val="es-ES_tradnl"/>
        </w:rPr>
        <w:t xml:space="preserve">Estados Unidos, </w:t>
      </w:r>
      <w:r w:rsidR="00584235" w:rsidRPr="00A34388">
        <w:rPr>
          <w:lang w:val="es-ES_tradnl"/>
        </w:rPr>
        <w:t xml:space="preserve">el </w:t>
      </w:r>
      <w:r w:rsidR="00D3691A" w:rsidRPr="00A34388">
        <w:rPr>
          <w:lang w:val="es-ES_tradnl"/>
        </w:rPr>
        <w:t xml:space="preserve">Japón y China, que supuso triplicar </w:t>
      </w:r>
      <w:r w:rsidR="00E56D8A">
        <w:rPr>
          <w:lang w:val="es-ES_tradnl"/>
        </w:rPr>
        <w:t>con creces</w:t>
      </w:r>
      <w:r w:rsidR="00D3691A" w:rsidRPr="00A34388">
        <w:rPr>
          <w:lang w:val="es-ES_tradnl"/>
        </w:rPr>
        <w:t xml:space="preserve"> el número de registros (documentos), que pasaron de los 10 a los 34 millones.  Actualmente se están llevando a cabo los preparativos necesarios para añadir otras colecciones nacionales y regionales de datos (indicadas como "no PCT" en el gráfico siguiente).</w:t>
      </w:r>
    </w:p>
    <w:p w:rsidR="00D3691A" w:rsidRPr="00A34388" w:rsidRDefault="00D3691A" w:rsidP="001A2871">
      <w:pPr>
        <w:pStyle w:val="Style1"/>
        <w:numPr>
          <w:ilvl w:val="0"/>
          <w:numId w:val="0"/>
        </w:numPr>
        <w:tabs>
          <w:tab w:val="left" w:pos="709"/>
        </w:tabs>
        <w:jc w:val="both"/>
        <w:rPr>
          <w:lang w:val="es-ES_tradnl"/>
        </w:rPr>
      </w:pPr>
    </w:p>
    <w:p w:rsidR="001A2871" w:rsidRPr="00A34388" w:rsidRDefault="001A2871" w:rsidP="001A2871">
      <w:pPr>
        <w:autoSpaceDE w:val="0"/>
        <w:autoSpaceDN w:val="0"/>
        <w:adjustRightInd w:val="0"/>
        <w:jc w:val="center"/>
        <w:rPr>
          <w:rFonts w:cs="Arial"/>
          <w:bCs/>
          <w:color w:val="000000"/>
          <w:sz w:val="22"/>
          <w:szCs w:val="22"/>
          <w:lang w:val="es-ES_tradnl"/>
        </w:rPr>
      </w:pPr>
      <w:r w:rsidRPr="00A34388">
        <w:rPr>
          <w:color w:val="000000"/>
          <w:sz w:val="22"/>
          <w:lang w:val="es-ES_tradnl"/>
        </w:rPr>
        <w:t>Número de registros en PATENTSCOPE 2012/13</w:t>
      </w:r>
    </w:p>
    <w:p w:rsidR="001A2871" w:rsidRPr="00A34388" w:rsidRDefault="001A2871" w:rsidP="001A2871">
      <w:pPr>
        <w:autoSpaceDE w:val="0"/>
        <w:autoSpaceDN w:val="0"/>
        <w:adjustRightInd w:val="0"/>
        <w:jc w:val="center"/>
        <w:rPr>
          <w:rFonts w:cs="Arial"/>
          <w:bCs/>
          <w:color w:val="000000"/>
          <w:sz w:val="22"/>
          <w:szCs w:val="22"/>
          <w:lang w:val="es-ES_tradnl"/>
        </w:rPr>
      </w:pPr>
    </w:p>
    <w:p w:rsidR="001A2871" w:rsidRPr="00A34388" w:rsidRDefault="001A2871" w:rsidP="001A2871">
      <w:pPr>
        <w:autoSpaceDE w:val="0"/>
        <w:autoSpaceDN w:val="0"/>
        <w:adjustRightInd w:val="0"/>
        <w:jc w:val="center"/>
        <w:rPr>
          <w:rFonts w:cs="Arial"/>
          <w:bCs/>
          <w:color w:val="000000"/>
          <w:sz w:val="22"/>
          <w:szCs w:val="22"/>
          <w:lang w:val="es-ES_tradnl"/>
        </w:rPr>
      </w:pPr>
      <w:r w:rsidRPr="00A34388">
        <w:rPr>
          <w:noProof/>
        </w:rPr>
        <w:drawing>
          <wp:inline distT="0" distB="0" distL="0" distR="0" wp14:anchorId="3B9049C2" wp14:editId="296A6A0D">
            <wp:extent cx="4480560" cy="3009900"/>
            <wp:effectExtent l="0" t="0" r="1524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A2871" w:rsidRPr="00A34388" w:rsidRDefault="001A2871" w:rsidP="001A2871">
      <w:pPr>
        <w:autoSpaceDE w:val="0"/>
        <w:autoSpaceDN w:val="0"/>
        <w:adjustRightInd w:val="0"/>
        <w:jc w:val="both"/>
        <w:rPr>
          <w:rFonts w:cs="Arial"/>
          <w:bCs/>
          <w:color w:val="000000"/>
          <w:sz w:val="22"/>
          <w:szCs w:val="22"/>
          <w:lang w:val="es-ES_tradnl"/>
        </w:rPr>
      </w:pPr>
    </w:p>
    <w:p w:rsidR="001A2871" w:rsidRPr="00A34388" w:rsidRDefault="001A2871" w:rsidP="001A2871">
      <w:pPr>
        <w:pStyle w:val="Style1"/>
        <w:numPr>
          <w:ilvl w:val="0"/>
          <w:numId w:val="0"/>
        </w:numPr>
        <w:tabs>
          <w:tab w:val="left" w:pos="709"/>
        </w:tabs>
        <w:jc w:val="both"/>
        <w:rPr>
          <w:lang w:val="es-ES_tradnl"/>
        </w:rPr>
      </w:pPr>
    </w:p>
    <w:p w:rsidR="001A2871" w:rsidRPr="00A34388" w:rsidRDefault="001A2871" w:rsidP="001A2871">
      <w:pPr>
        <w:pStyle w:val="Style1"/>
        <w:numPr>
          <w:ilvl w:val="0"/>
          <w:numId w:val="0"/>
        </w:numPr>
        <w:tabs>
          <w:tab w:val="left" w:pos="709"/>
        </w:tabs>
        <w:jc w:val="both"/>
        <w:rPr>
          <w:lang w:val="es-ES_tradnl"/>
        </w:rPr>
      </w:pPr>
      <w:r w:rsidRPr="00A34388">
        <w:rPr>
          <w:lang w:val="es-ES_tradnl"/>
        </w:rPr>
        <w:t>13.3.</w:t>
      </w:r>
      <w:r w:rsidRPr="00A34388">
        <w:rPr>
          <w:lang w:val="es-ES_tradnl"/>
        </w:rPr>
        <w:tab/>
        <w:t>La Base Mundial de Datos sobre Marcas se puso en marcha en 2012 con los sistemas de Madrid y Lisboa y las colecciones sobre el Artículo 6</w:t>
      </w:r>
      <w:r w:rsidRPr="00A34388">
        <w:rPr>
          <w:i/>
          <w:lang w:val="es-ES_tradnl"/>
        </w:rPr>
        <w:t>ter</w:t>
      </w:r>
      <w:r w:rsidRPr="00A34388">
        <w:rPr>
          <w:lang w:val="es-ES_tradnl"/>
        </w:rPr>
        <w:t>.  El uso de la Base Mundial de Datos registró incrementos constantes a lo largo de 2012 y 2013, con 13.000 y 23.000 usuarios por trimestre respectivamente frente a los 9.000 de 2011.  El proceso de ampliación del número de colecciones nacionales se inició en 2012 con la incorporación de tres colecciones nacionales, con lo que el número total de colecciones nacionales (indicadas como "no Madrid" en el gráfico siguiente) se situó en 12 en 2013.  El número de registros mantenidos en el sistema aumentó significativamente durante el bienio, pasando de 700.000 a 12 millones.</w:t>
      </w:r>
    </w:p>
    <w:p w:rsidR="001A2871" w:rsidRPr="00A34388" w:rsidRDefault="001A2871" w:rsidP="001A2871">
      <w:pPr>
        <w:pStyle w:val="Style1"/>
        <w:numPr>
          <w:ilvl w:val="0"/>
          <w:numId w:val="0"/>
        </w:numPr>
        <w:tabs>
          <w:tab w:val="left" w:pos="709"/>
        </w:tabs>
        <w:ind w:left="720" w:hanging="360"/>
        <w:jc w:val="both"/>
        <w:rPr>
          <w:lang w:val="es-ES_tradnl"/>
        </w:rPr>
      </w:pPr>
    </w:p>
    <w:p w:rsidR="001A2871" w:rsidRPr="00A34388" w:rsidRDefault="001A2871" w:rsidP="001A2871">
      <w:pPr>
        <w:pStyle w:val="Style1"/>
        <w:keepNext/>
        <w:keepLines/>
        <w:numPr>
          <w:ilvl w:val="0"/>
          <w:numId w:val="0"/>
        </w:numPr>
        <w:ind w:left="720"/>
        <w:jc w:val="center"/>
        <w:rPr>
          <w:sz w:val="22"/>
          <w:szCs w:val="22"/>
          <w:lang w:val="es-ES_tradnl"/>
        </w:rPr>
      </w:pPr>
      <w:r w:rsidRPr="00A34388">
        <w:rPr>
          <w:sz w:val="22"/>
          <w:lang w:val="es-ES_tradnl"/>
        </w:rPr>
        <w:lastRenderedPageBreak/>
        <w:t>Número de registros en la Base Mundial de Datos sobre Marcas 2012/13</w:t>
      </w:r>
    </w:p>
    <w:p w:rsidR="001A2871" w:rsidRPr="00A34388" w:rsidRDefault="001A2871" w:rsidP="001A2871">
      <w:pPr>
        <w:keepNext/>
        <w:keepLines/>
        <w:ind w:left="2268" w:hanging="2268"/>
        <w:jc w:val="center"/>
        <w:rPr>
          <w:b/>
          <w:bCs/>
          <w:sz w:val="22"/>
          <w:szCs w:val="22"/>
          <w:lang w:val="es-ES_tradnl"/>
        </w:rPr>
      </w:pPr>
    </w:p>
    <w:p w:rsidR="001A2871" w:rsidRPr="00A34388" w:rsidRDefault="001A2871" w:rsidP="001A2871">
      <w:pPr>
        <w:keepNext/>
        <w:keepLines/>
        <w:jc w:val="center"/>
        <w:rPr>
          <w:b/>
          <w:bCs/>
          <w:sz w:val="22"/>
          <w:szCs w:val="22"/>
          <w:lang w:val="es-ES_tradnl"/>
        </w:rPr>
      </w:pPr>
      <w:r w:rsidRPr="00A34388">
        <w:rPr>
          <w:noProof/>
        </w:rPr>
        <w:drawing>
          <wp:inline distT="0" distB="0" distL="0" distR="0" wp14:anchorId="72732EA4" wp14:editId="47D13314">
            <wp:extent cx="4549140" cy="2263140"/>
            <wp:effectExtent l="0" t="0" r="2286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A2871" w:rsidRPr="00A34388" w:rsidRDefault="001A2871" w:rsidP="001A2871">
      <w:pPr>
        <w:ind w:left="2268" w:hanging="2268"/>
        <w:rPr>
          <w:b/>
          <w:bCs/>
          <w:sz w:val="22"/>
          <w:szCs w:val="22"/>
          <w:lang w:val="es-ES_tradnl"/>
        </w:rPr>
      </w:pPr>
    </w:p>
    <w:p w:rsidR="001A2871" w:rsidRPr="00A34388" w:rsidRDefault="001A2871" w:rsidP="001A2871">
      <w:pPr>
        <w:ind w:left="2268" w:hanging="2268"/>
        <w:rPr>
          <w:b/>
          <w:bCs/>
          <w:sz w:val="22"/>
          <w:szCs w:val="22"/>
          <w:lang w:val="es-ES_tradnl"/>
        </w:rPr>
      </w:pPr>
    </w:p>
    <w:p w:rsidR="001A2871" w:rsidRPr="00A34388" w:rsidRDefault="001A2871" w:rsidP="001A2871">
      <w:pPr>
        <w:ind w:left="2268" w:hanging="2268"/>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jc w:val="both"/>
        <w:rPr>
          <w:b/>
          <w:sz w:val="22"/>
          <w:szCs w:val="22"/>
          <w:lang w:val="es-ES_tradnl"/>
        </w:rPr>
      </w:pPr>
    </w:p>
    <w:p w:rsidR="001A2871" w:rsidRPr="00A34388" w:rsidRDefault="001A2871" w:rsidP="001A2871">
      <w:pPr>
        <w:tabs>
          <w:tab w:val="left" w:pos="709"/>
        </w:tabs>
        <w:jc w:val="both"/>
        <w:rPr>
          <w:rFonts w:eastAsia="MS Mincho"/>
          <w:szCs w:val="20"/>
          <w:lang w:val="es-ES_tradnl"/>
        </w:rPr>
      </w:pPr>
      <w:r w:rsidRPr="00332758">
        <w:rPr>
          <w:lang w:val="es-ES_tradnl"/>
        </w:rPr>
        <w:t>13.4.</w:t>
      </w:r>
      <w:r w:rsidRPr="00A34388">
        <w:rPr>
          <w:lang w:val="es-ES_tradnl"/>
        </w:rPr>
        <w:tab/>
      </w:r>
      <w:r w:rsidRPr="00332758">
        <w:rPr>
          <w:lang w:val="es-ES_tradnl"/>
        </w:rPr>
        <w:t>Este programa siguió contribuyendo a las recomendaciones 24 y 31 de la Agenda para el Desarrollo, colmando la brecha digital y facilitando un mayor acceso a la información publicada sobre patentes mediante el constante aumento de los datos sobre P.I. disponibles para consulta y la ampliación de las funciones de apoyo a otros idiomas.</w:t>
      </w:r>
    </w:p>
    <w:p w:rsidR="001A2871" w:rsidRPr="00A34388" w:rsidRDefault="001A2871" w:rsidP="001A2871">
      <w:pPr>
        <w:ind w:left="2268" w:hanging="2268"/>
        <w:rPr>
          <w:b/>
          <w:sz w:val="22"/>
          <w:szCs w:val="22"/>
          <w:lang w:val="es-ES_tradnl"/>
        </w:rPr>
      </w:pPr>
    </w:p>
    <w:p w:rsidR="001A2871" w:rsidRPr="00A34388" w:rsidRDefault="001A2871" w:rsidP="001A2871">
      <w:pPr>
        <w:ind w:left="2268" w:hanging="2268"/>
        <w:rPr>
          <w:b/>
          <w:sz w:val="22"/>
          <w:szCs w:val="22"/>
          <w:lang w:val="es-ES_tradnl"/>
        </w:rPr>
      </w:pPr>
    </w:p>
    <w:p w:rsidR="001A2871" w:rsidRPr="00A34388" w:rsidRDefault="001A2871" w:rsidP="001A2871">
      <w:pPr>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128"/>
        <w:gridCol w:w="1559"/>
        <w:gridCol w:w="6"/>
        <w:gridCol w:w="2141"/>
        <w:gridCol w:w="1256"/>
      </w:tblGrid>
      <w:tr w:rsidR="001A2871" w:rsidRPr="00A9508D" w:rsidTr="00853209">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1A2871" w:rsidRPr="00A34388" w:rsidTr="00853209">
        <w:trPr>
          <w:cantSplit/>
        </w:trPr>
        <w:tc>
          <w:tcPr>
            <w:tcW w:w="1212" w:type="pct"/>
            <w:tcBorders>
              <w:top w:val="single" w:sz="4" w:space="0" w:color="auto"/>
              <w:left w:val="single" w:sz="4" w:space="0" w:color="auto"/>
              <w:bottom w:val="nil"/>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1137" w:type="pct"/>
            <w:tcBorders>
              <w:top w:val="single" w:sz="4" w:space="0" w:color="auto"/>
              <w:bottom w:val="nil"/>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36" w:type="pct"/>
            <w:gridSpan w:val="2"/>
            <w:tcBorders>
              <w:top w:val="single" w:sz="4" w:space="0" w:color="auto"/>
              <w:bottom w:val="nil"/>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144" w:type="pct"/>
            <w:tcBorders>
              <w:top w:val="single" w:sz="4" w:space="0" w:color="auto"/>
              <w:bottom w:val="nil"/>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1212" w:type="pct"/>
            <w:tcBorders>
              <w:top w:val="nil"/>
              <w:left w:val="single" w:sz="4" w:space="0" w:color="auto"/>
              <w:bottom w:val="nil"/>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por trimestre y sistema (PATENTSCOPE y Base Mundial de Datos sobre Marcas)</w:t>
            </w:r>
          </w:p>
        </w:tc>
        <w:tc>
          <w:tcPr>
            <w:tcW w:w="1137" w:type="pct"/>
            <w:tcBorders>
              <w:top w:val="nil"/>
              <w:bottom w:val="nil"/>
            </w:tcBorders>
            <w:shd w:val="clear" w:color="auto" w:fill="auto"/>
          </w:tcPr>
          <w:p w:rsidR="001A2871" w:rsidRPr="0062381F" w:rsidRDefault="001A2871" w:rsidP="00853209">
            <w:pPr>
              <w:rPr>
                <w:rFonts w:cs="Arial"/>
                <w:i/>
                <w:color w:val="002060"/>
                <w:sz w:val="16"/>
                <w:szCs w:val="16"/>
                <w:lang w:val="es-ES_tradnl"/>
              </w:rPr>
            </w:pPr>
            <w:r w:rsidRPr="0062381F">
              <w:rPr>
                <w:i/>
                <w:color w:val="002060"/>
                <w:sz w:val="16"/>
                <w:lang w:val="es-ES_tradnl"/>
              </w:rPr>
              <w:t>Referencia actualizada a fines de 2011</w:t>
            </w:r>
          </w:p>
          <w:p w:rsidR="001A2871" w:rsidRPr="0062381F" w:rsidRDefault="001A2871" w:rsidP="00853209">
            <w:pPr>
              <w:rPr>
                <w:rFonts w:cs="Arial"/>
                <w:color w:val="002060"/>
                <w:sz w:val="16"/>
                <w:szCs w:val="16"/>
                <w:lang w:val="es-ES_tradnl"/>
              </w:rPr>
            </w:pPr>
            <w:r w:rsidRPr="0062381F">
              <w:rPr>
                <w:color w:val="002060"/>
                <w:sz w:val="16"/>
                <w:lang w:val="es-ES_tradnl"/>
              </w:rPr>
              <w:t>PATENTSCOPE: 216.289</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color w:val="002060"/>
                <w:sz w:val="16"/>
                <w:szCs w:val="16"/>
                <w:lang w:val="es-ES_tradnl"/>
              </w:rPr>
            </w:pPr>
          </w:p>
          <w:p w:rsidR="001A2871" w:rsidRPr="00A34388" w:rsidRDefault="001A2871" w:rsidP="00853209">
            <w:pPr>
              <w:rPr>
                <w:rFonts w:cs="Arial"/>
                <w:color w:val="002060"/>
                <w:sz w:val="16"/>
                <w:szCs w:val="16"/>
                <w:lang w:val="es-ES_tradnl"/>
              </w:rPr>
            </w:pPr>
          </w:p>
          <w:p w:rsidR="001A2871" w:rsidRPr="00A34388" w:rsidRDefault="001A2871" w:rsidP="00853209">
            <w:pPr>
              <w:rPr>
                <w:rFonts w:cs="Arial"/>
                <w:color w:val="002060"/>
                <w:sz w:val="16"/>
                <w:szCs w:val="16"/>
                <w:lang w:val="es-ES_tradnl"/>
              </w:rPr>
            </w:pPr>
          </w:p>
          <w:p w:rsidR="001A2871" w:rsidRPr="0062381F" w:rsidRDefault="001A2871" w:rsidP="00853209">
            <w:pPr>
              <w:rPr>
                <w:rFonts w:cs="Arial"/>
                <w:i/>
                <w:color w:val="002060"/>
                <w:sz w:val="16"/>
                <w:szCs w:val="16"/>
                <w:lang w:val="es-ES_tradnl"/>
              </w:rPr>
            </w:pPr>
            <w:r w:rsidRPr="0062381F">
              <w:rPr>
                <w:i/>
                <w:color w:val="002060"/>
                <w:sz w:val="16"/>
                <w:lang w:val="es-ES_tradnl"/>
              </w:rPr>
              <w:t xml:space="preserve">Base Mundial de Datos sobre Marcas: </w:t>
            </w:r>
            <w:r w:rsidRPr="0062381F">
              <w:rPr>
                <w:color w:val="002060"/>
                <w:sz w:val="16"/>
                <w:lang w:val="es-ES_tradnl"/>
              </w:rPr>
              <w:t>9.000</w:t>
            </w:r>
          </w:p>
          <w:p w:rsidR="001A2871" w:rsidRPr="00A34388" w:rsidRDefault="001A2871" w:rsidP="00853209">
            <w:pPr>
              <w:rPr>
                <w:rFonts w:cs="Arial"/>
                <w:i/>
                <w:color w:val="FF00FF"/>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A34388" w:rsidRDefault="001A2871" w:rsidP="00853209">
            <w:pPr>
              <w:rPr>
                <w:rFonts w:cs="Arial"/>
                <w:sz w:val="16"/>
                <w:szCs w:val="16"/>
                <w:lang w:val="es-ES_tradnl"/>
              </w:rPr>
            </w:pPr>
            <w:r w:rsidRPr="00A34388">
              <w:rPr>
                <w:sz w:val="16"/>
                <w:lang w:val="es-ES_tradnl"/>
              </w:rPr>
              <w:t xml:space="preserve">PATENTSCOPE:  </w:t>
            </w:r>
            <w:r w:rsidRPr="00A34388">
              <w:rPr>
                <w:rFonts w:cs="Arial"/>
                <w:sz w:val="16"/>
                <w:szCs w:val="16"/>
                <w:lang w:val="es-ES_tradnl"/>
              </w:rPr>
              <w:br/>
            </w:r>
            <w:r w:rsidRPr="00A34388">
              <w:rPr>
                <w:sz w:val="16"/>
                <w:lang w:val="es-ES_tradnl"/>
              </w:rPr>
              <w:t xml:space="preserve">175.000 (principios de 2011, sistema PATENTSCOPE antiguo y nuevo). </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Base Mundial de Datos </w:t>
            </w:r>
          </w:p>
          <w:p w:rsidR="001A2871" w:rsidRPr="00A34388" w:rsidRDefault="001A2871" w:rsidP="00853209">
            <w:pPr>
              <w:rPr>
                <w:rFonts w:cs="Arial"/>
                <w:sz w:val="16"/>
                <w:szCs w:val="16"/>
                <w:lang w:val="es-ES_tradnl"/>
              </w:rPr>
            </w:pPr>
            <w:r w:rsidRPr="00A34388">
              <w:rPr>
                <w:sz w:val="16"/>
                <w:lang w:val="es-ES_tradnl"/>
              </w:rPr>
              <w:t xml:space="preserve">sobre Marcas: </w:t>
            </w:r>
            <w:r w:rsidR="007E4D96" w:rsidRPr="00A34388">
              <w:rPr>
                <w:sz w:val="16"/>
                <w:lang w:val="es-ES_tradnl"/>
              </w:rPr>
              <w:t xml:space="preserve"> </w:t>
            </w:r>
            <w:r w:rsidRPr="00A34388">
              <w:rPr>
                <w:sz w:val="16"/>
                <w:lang w:val="es-ES_tradnl"/>
              </w:rPr>
              <w:t>No se aplica.</w:t>
            </w:r>
          </w:p>
        </w:tc>
        <w:tc>
          <w:tcPr>
            <w:tcW w:w="836" w:type="pct"/>
            <w:gridSpan w:val="2"/>
            <w:tcBorders>
              <w:top w:val="nil"/>
              <w:bottom w:val="nil"/>
            </w:tcBorders>
            <w:shd w:val="clear" w:color="auto" w:fill="auto"/>
            <w:tcMar>
              <w:top w:w="110" w:type="dxa"/>
            </w:tcMar>
          </w:tcPr>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+10%</w:t>
            </w:r>
          </w:p>
        </w:tc>
        <w:tc>
          <w:tcPr>
            <w:tcW w:w="1144" w:type="pct"/>
            <w:tcBorders>
              <w:top w:val="nil"/>
              <w:bottom w:val="nil"/>
            </w:tcBorders>
            <w:shd w:val="clear" w:color="auto" w:fill="FFFFFF"/>
            <w:tcMar>
              <w:top w:w="110" w:type="dxa"/>
            </w:tcMar>
          </w:tcPr>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PATENTSCOPE:</w:t>
            </w:r>
          </w:p>
          <w:p w:rsidR="001A2871" w:rsidRPr="00A34388" w:rsidRDefault="001A2871" w:rsidP="00853209">
            <w:pPr>
              <w:rPr>
                <w:rFonts w:cs="Arial"/>
                <w:sz w:val="16"/>
                <w:szCs w:val="16"/>
                <w:lang w:val="es-ES_tradnl"/>
              </w:rPr>
            </w:pPr>
            <w:r w:rsidRPr="00A34388">
              <w:rPr>
                <w:sz w:val="16"/>
                <w:lang w:val="es-ES_tradnl"/>
              </w:rPr>
              <w:t>219.000 (2012)</w:t>
            </w:r>
          </w:p>
          <w:p w:rsidR="001A2871" w:rsidRPr="00A34388" w:rsidRDefault="001A2871" w:rsidP="00853209">
            <w:pPr>
              <w:rPr>
                <w:rFonts w:cs="Arial"/>
                <w:sz w:val="16"/>
                <w:szCs w:val="16"/>
                <w:lang w:val="es-ES_tradnl"/>
              </w:rPr>
            </w:pPr>
            <w:r w:rsidRPr="00A34388">
              <w:rPr>
                <w:sz w:val="16"/>
                <w:lang w:val="es-ES_tradnl"/>
              </w:rPr>
              <w:t>237.446 (2013)</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Base Mundial de Datos sobre Marcas:</w:t>
            </w:r>
            <w:r w:rsidRPr="00A34388">
              <w:rPr>
                <w:rFonts w:cs="Arial"/>
                <w:sz w:val="16"/>
                <w:szCs w:val="16"/>
                <w:lang w:val="es-ES_tradnl"/>
              </w:rPr>
              <w:br/>
            </w:r>
            <w:r w:rsidRPr="00A34388">
              <w:rPr>
                <w:sz w:val="16"/>
                <w:lang w:val="es-ES_tradnl"/>
              </w:rPr>
              <w:t>13.000 (2012)</w:t>
            </w:r>
          </w:p>
          <w:p w:rsidR="001A2871" w:rsidRPr="00A34388" w:rsidRDefault="001A2871" w:rsidP="00853209">
            <w:pPr>
              <w:rPr>
                <w:rFonts w:cs="Arial"/>
                <w:sz w:val="16"/>
                <w:szCs w:val="16"/>
                <w:lang w:val="es-ES_tradnl"/>
              </w:rPr>
            </w:pPr>
            <w:r w:rsidRPr="00A34388">
              <w:rPr>
                <w:sz w:val="16"/>
                <w:lang w:val="es-ES_tradnl"/>
              </w:rPr>
              <w:t>23.000 (2013)</w:t>
            </w:r>
          </w:p>
        </w:tc>
        <w:tc>
          <w:tcPr>
            <w:tcW w:w="671" w:type="pct"/>
            <w:tcBorders>
              <w:top w:val="nil"/>
              <w:bottom w:val="nil"/>
              <w:right w:val="single" w:sz="4" w:space="0" w:color="auto"/>
            </w:tcBorders>
            <w:shd w:val="clear" w:color="auto" w:fill="auto"/>
            <w:tcMar>
              <w:top w:w="110" w:type="dxa"/>
            </w:tcMar>
          </w:tcPr>
          <w:p w:rsidR="001A2871" w:rsidRPr="00A34388" w:rsidRDefault="001A2871" w:rsidP="00853209">
            <w:pPr>
              <w:keepNext/>
              <w:keepLines/>
              <w:jc w:val="center"/>
              <w:rPr>
                <w:rStyle w:val="Style5"/>
                <w:rFonts w:ascii="Arial" w:hAnsi="Arial" w:cs="Arial"/>
                <w:color w:val="10862C"/>
                <w:sz w:val="16"/>
                <w:szCs w:val="16"/>
                <w:lang w:val="es-ES_tradnl"/>
              </w:rPr>
            </w:pPr>
          </w:p>
          <w:p w:rsidR="001A2871" w:rsidRPr="00A34388" w:rsidRDefault="001A2871" w:rsidP="00853209">
            <w:pPr>
              <w:keepNext/>
              <w:keepLines/>
              <w:jc w:val="center"/>
              <w:rPr>
                <w:rStyle w:val="Style5"/>
                <w:rFonts w:ascii="Arial" w:hAnsi="Arial" w:cs="Arial"/>
                <w:color w:val="10862C"/>
                <w:sz w:val="16"/>
                <w:szCs w:val="16"/>
                <w:lang w:val="es-ES_tradnl"/>
              </w:rPr>
            </w:pPr>
          </w:p>
          <w:p w:rsidR="001A2871" w:rsidRPr="00A34388" w:rsidRDefault="001A2871" w:rsidP="00853209">
            <w:pPr>
              <w:keepNext/>
              <w:keepLines/>
              <w:jc w:val="center"/>
              <w:rPr>
                <w:rStyle w:val="Style5"/>
                <w:rFonts w:ascii="Arial" w:hAnsi="Arial" w:cs="Arial"/>
                <w:color w:val="10862C"/>
                <w:sz w:val="16"/>
                <w:szCs w:val="16"/>
                <w:lang w:val="es-ES_tradnl"/>
              </w:rPr>
            </w:pPr>
          </w:p>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1212" w:type="pct"/>
            <w:tcBorders>
              <w:top w:val="nil"/>
              <w:left w:val="single" w:sz="4" w:space="0" w:color="auto"/>
              <w:bottom w:val="single" w:sz="4" w:space="0" w:color="auto"/>
            </w:tcBorders>
            <w:shd w:val="clear" w:color="auto" w:fill="FFFFFF"/>
          </w:tcPr>
          <w:p w:rsidR="001A2871" w:rsidRPr="00A34388" w:rsidRDefault="001A2871" w:rsidP="00853209">
            <w:pPr>
              <w:rPr>
                <w:rFonts w:cs="Arial"/>
                <w:sz w:val="16"/>
                <w:szCs w:val="16"/>
                <w:lang w:val="es-ES_tradnl"/>
              </w:rPr>
            </w:pPr>
            <w:r w:rsidRPr="00332758">
              <w:rPr>
                <w:sz w:val="16"/>
                <w:lang w:val="es-ES_tradnl"/>
              </w:rPr>
              <w:t>Número de idiomas en los que se pueden efectuar búsquedas simultáneamente.</w:t>
            </w:r>
          </w:p>
        </w:tc>
        <w:tc>
          <w:tcPr>
            <w:tcW w:w="1137" w:type="pct"/>
            <w:tcBorders>
              <w:top w:val="nil"/>
              <w:bottom w:val="single" w:sz="4" w:space="0" w:color="auto"/>
            </w:tcBorders>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 xml:space="preserve">Referencia actualizada </w:t>
            </w:r>
            <w:r w:rsidRPr="00A34388">
              <w:rPr>
                <w:rFonts w:cs="Arial"/>
                <w:i/>
                <w:color w:val="002060"/>
                <w:sz w:val="16"/>
                <w:szCs w:val="16"/>
                <w:lang w:val="es-ES_tradnl"/>
              </w:rPr>
              <w:br/>
            </w:r>
            <w:r w:rsidRPr="00A34388">
              <w:rPr>
                <w:i/>
                <w:color w:val="002060"/>
                <w:sz w:val="16"/>
                <w:lang w:val="es-ES_tradnl"/>
              </w:rPr>
              <w:t>a fines de 2011:</w:t>
            </w:r>
            <w:r w:rsidRPr="00A34388">
              <w:rPr>
                <w:color w:val="002060"/>
                <w:sz w:val="16"/>
                <w:lang w:val="es-ES_tradnl"/>
              </w:rPr>
              <w:t xml:space="preserve">  9</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r w:rsidRPr="00A34388">
              <w:rPr>
                <w:sz w:val="16"/>
                <w:lang w:val="es-ES_tradnl"/>
              </w:rPr>
              <w:t xml:space="preserve">  5</w:t>
            </w:r>
          </w:p>
          <w:p w:rsidR="001A2871" w:rsidRPr="00A34388" w:rsidRDefault="001A2871" w:rsidP="00853209">
            <w:pPr>
              <w:autoSpaceDE w:val="0"/>
              <w:autoSpaceDN w:val="0"/>
              <w:adjustRightInd w:val="0"/>
              <w:rPr>
                <w:rFonts w:cs="Arial"/>
                <w:sz w:val="16"/>
                <w:szCs w:val="16"/>
                <w:lang w:val="es-ES_tradnl"/>
              </w:rPr>
            </w:pPr>
          </w:p>
        </w:tc>
        <w:tc>
          <w:tcPr>
            <w:tcW w:w="836" w:type="pct"/>
            <w:gridSpan w:val="2"/>
            <w:tcBorders>
              <w:top w:val="nil"/>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 xml:space="preserve">9 </w:t>
            </w:r>
            <w:r w:rsidR="00E56D8A" w:rsidRPr="00332758">
              <w:rPr>
                <w:sz w:val="16"/>
                <w:lang w:val="es-ES_tradnl"/>
              </w:rPr>
              <w:t>(</w:t>
            </w:r>
            <w:r w:rsidRPr="00332758">
              <w:rPr>
                <w:sz w:val="16"/>
                <w:lang w:val="es-ES_tradnl"/>
              </w:rPr>
              <w:t>en total</w:t>
            </w:r>
            <w:r w:rsidR="00E56D8A" w:rsidRPr="00332758">
              <w:rPr>
                <w:sz w:val="16"/>
                <w:lang w:val="es-ES_tradnl"/>
              </w:rPr>
              <w:t>)</w:t>
            </w:r>
            <w:r w:rsidRPr="00332758">
              <w:rPr>
                <w:sz w:val="16"/>
                <w:lang w:val="es-ES_tradnl"/>
              </w:rPr>
              <w:t>.</w:t>
            </w:r>
          </w:p>
        </w:tc>
        <w:tc>
          <w:tcPr>
            <w:tcW w:w="1144" w:type="pct"/>
            <w:tcBorders>
              <w:top w:val="nil"/>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 xml:space="preserve">12 </w:t>
            </w:r>
            <w:r w:rsidR="00E56D8A" w:rsidRPr="00332758">
              <w:rPr>
                <w:sz w:val="16"/>
                <w:lang w:val="es-ES_tradnl"/>
              </w:rPr>
              <w:t>(</w:t>
            </w:r>
            <w:r w:rsidRPr="00332758">
              <w:rPr>
                <w:sz w:val="16"/>
                <w:lang w:val="es-ES_tradnl"/>
              </w:rPr>
              <w:t>en total)</w:t>
            </w:r>
          </w:p>
        </w:tc>
        <w:tc>
          <w:tcPr>
            <w:tcW w:w="671" w:type="pct"/>
            <w:tcBorders>
              <w:top w:val="nil"/>
              <w:bottom w:val="single" w:sz="4" w:space="0" w:color="auto"/>
              <w:right w:val="single" w:sz="4" w:space="0" w:color="auto"/>
            </w:tcBorders>
            <w:shd w:val="clear" w:color="auto" w:fill="auto"/>
            <w:tcMar>
              <w:top w:w="110" w:type="dxa"/>
            </w:tcMar>
          </w:tcPr>
          <w:p w:rsidR="001A2871" w:rsidRPr="00A34388" w:rsidRDefault="001A2871" w:rsidP="00853209">
            <w:pPr>
              <w:keepNext/>
              <w:keepLines/>
              <w:jc w:val="center"/>
              <w:rPr>
                <w:rStyle w:val="Style5"/>
                <w:rFonts w:ascii="Arial" w:hAnsi="Arial" w:cs="Arial"/>
                <w:color w:val="10862C"/>
                <w:sz w:val="16"/>
                <w:szCs w:val="16"/>
                <w:lang w:val="es-ES_tradnl"/>
              </w:rPr>
            </w:pPr>
          </w:p>
          <w:p w:rsidR="001A2871" w:rsidRPr="00A34388" w:rsidRDefault="001A2871" w:rsidP="00853209">
            <w:pPr>
              <w:keepNext/>
              <w:keepLines/>
              <w:jc w:val="center"/>
              <w:rPr>
                <w:rFonts w:cs="Arial"/>
                <w:bCs/>
                <w:color w:val="008000"/>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9508D" w:rsidTr="00853209">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Mayor difusión de colecciones digitalizadas sobre patentes de las oficinas nacionales/regionales de los Estados miembros de la OMPI.</w:t>
            </w:r>
          </w:p>
        </w:tc>
      </w:tr>
      <w:tr w:rsidR="001A2871" w:rsidRPr="00A34388" w:rsidTr="00853209">
        <w:trPr>
          <w:cantSplit/>
        </w:trPr>
        <w:tc>
          <w:tcPr>
            <w:tcW w:w="1212" w:type="pct"/>
            <w:tcBorders>
              <w:top w:val="single" w:sz="4" w:space="0" w:color="auto"/>
              <w:left w:val="single" w:sz="4" w:space="0" w:color="auto"/>
              <w:bottom w:val="nil"/>
            </w:tcBorders>
            <w:shd w:val="clear" w:color="auto" w:fill="auto"/>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Indicadores de rendimiento</w:t>
            </w:r>
          </w:p>
        </w:tc>
        <w:tc>
          <w:tcPr>
            <w:tcW w:w="1137" w:type="pct"/>
            <w:tcBorders>
              <w:top w:val="single" w:sz="4" w:space="0" w:color="auto"/>
              <w:bottom w:val="nil"/>
            </w:tcBorders>
            <w:shd w:val="clear" w:color="auto" w:fill="auto"/>
            <w:vAlign w:val="center"/>
          </w:tcPr>
          <w:p w:rsidR="001A2871" w:rsidRPr="00A34388" w:rsidRDefault="001A2871" w:rsidP="00853209">
            <w:pPr>
              <w:keepNext/>
              <w:keepLines/>
              <w:rPr>
                <w:rFonts w:cs="Arial"/>
                <w:b/>
                <w:bCs/>
                <w:color w:val="808080"/>
                <w:sz w:val="16"/>
                <w:szCs w:val="16"/>
                <w:lang w:val="es-ES_tradnl"/>
              </w:rPr>
            </w:pPr>
            <w:r w:rsidRPr="00332758">
              <w:rPr>
                <w:b/>
                <w:sz w:val="16"/>
                <w:lang w:val="es-ES_tradnl"/>
              </w:rPr>
              <w:t>Referencia</w:t>
            </w:r>
          </w:p>
        </w:tc>
        <w:tc>
          <w:tcPr>
            <w:tcW w:w="836" w:type="pct"/>
            <w:gridSpan w:val="2"/>
            <w:tcBorders>
              <w:top w:val="single" w:sz="4" w:space="0" w:color="auto"/>
              <w:bottom w:val="nil"/>
            </w:tcBorders>
            <w:shd w:val="clear" w:color="auto" w:fill="auto"/>
            <w:tcMar>
              <w:top w:w="110" w:type="dxa"/>
            </w:tcMar>
            <w:vAlign w:val="center"/>
          </w:tcPr>
          <w:p w:rsidR="001A2871" w:rsidRPr="00A34388" w:rsidRDefault="001A2871" w:rsidP="00853209">
            <w:pPr>
              <w:keepNext/>
              <w:keepLines/>
              <w:rPr>
                <w:rFonts w:cs="Arial"/>
                <w:b/>
                <w:color w:val="808080"/>
                <w:sz w:val="16"/>
                <w:szCs w:val="16"/>
                <w:lang w:val="es-ES_tradnl"/>
              </w:rPr>
            </w:pPr>
            <w:r w:rsidRPr="00332758">
              <w:rPr>
                <w:b/>
                <w:sz w:val="16"/>
                <w:lang w:val="es-ES_tradnl"/>
              </w:rPr>
              <w:t>Objetivos</w:t>
            </w:r>
          </w:p>
        </w:tc>
        <w:tc>
          <w:tcPr>
            <w:tcW w:w="1144" w:type="pct"/>
            <w:tcBorders>
              <w:top w:val="single" w:sz="4" w:space="0" w:color="auto"/>
              <w:bottom w:val="nil"/>
            </w:tcBorders>
            <w:shd w:val="clear" w:color="auto" w:fill="FFFFFF"/>
            <w:tcMar>
              <w:top w:w="110" w:type="dxa"/>
            </w:tcMar>
            <w:vAlign w:val="center"/>
          </w:tcPr>
          <w:p w:rsidR="001A2871" w:rsidRPr="00A34388" w:rsidRDefault="001A2871" w:rsidP="00853209">
            <w:pPr>
              <w:keepNext/>
              <w:keepLines/>
              <w:rPr>
                <w:rFonts w:cs="Arial"/>
                <w:color w:val="808080"/>
                <w:sz w:val="16"/>
                <w:szCs w:val="16"/>
                <w:lang w:val="es-ES_tradnl"/>
              </w:rPr>
            </w:pPr>
            <w:r w:rsidRPr="00332758">
              <w:rPr>
                <w:b/>
                <w:sz w:val="16"/>
                <w:lang w:val="es-ES_tradnl"/>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1212" w:type="pct"/>
            <w:tcBorders>
              <w:top w:val="nil"/>
              <w:left w:val="single" w:sz="4" w:space="0" w:color="auto"/>
              <w:bottom w:val="nil"/>
            </w:tcBorders>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registros en PATENTSCOPE/Base Mundial de Datos sobre Marcas que no produce la Oficina Internacional.</w:t>
            </w:r>
          </w:p>
        </w:tc>
        <w:tc>
          <w:tcPr>
            <w:tcW w:w="1137" w:type="pct"/>
            <w:tcBorders>
              <w:top w:val="nil"/>
              <w:bottom w:val="nil"/>
            </w:tcBorders>
            <w:shd w:val="clear" w:color="auto" w:fill="auto"/>
          </w:tcPr>
          <w:p w:rsidR="001A2871" w:rsidRPr="0062381F" w:rsidRDefault="001A2871" w:rsidP="00853209">
            <w:pPr>
              <w:keepNext/>
              <w:keepLines/>
              <w:rPr>
                <w:rFonts w:cs="Arial"/>
                <w:i/>
                <w:color w:val="002060"/>
                <w:sz w:val="16"/>
                <w:szCs w:val="16"/>
                <w:lang w:val="es-ES_tradnl"/>
              </w:rPr>
            </w:pPr>
            <w:r w:rsidRPr="0062381F">
              <w:rPr>
                <w:i/>
                <w:color w:val="002060"/>
                <w:sz w:val="16"/>
                <w:lang w:val="es-ES_tradnl"/>
              </w:rPr>
              <w:t xml:space="preserve">Referencia actualizada a fines de 2011  </w:t>
            </w:r>
          </w:p>
          <w:p w:rsidR="001A2871" w:rsidRPr="0062381F" w:rsidRDefault="001A2871" w:rsidP="00853209">
            <w:pPr>
              <w:keepNext/>
              <w:keepLines/>
              <w:rPr>
                <w:rFonts w:cs="Arial"/>
                <w:i/>
                <w:color w:val="002060"/>
                <w:sz w:val="16"/>
                <w:szCs w:val="16"/>
                <w:lang w:val="es-ES_tradnl"/>
              </w:rPr>
            </w:pPr>
          </w:p>
          <w:p w:rsidR="001A2871" w:rsidRPr="0062381F" w:rsidRDefault="001A2871" w:rsidP="00853209">
            <w:pPr>
              <w:keepNext/>
              <w:keepLines/>
              <w:rPr>
                <w:rFonts w:cs="Arial"/>
                <w:color w:val="002060"/>
                <w:sz w:val="16"/>
                <w:szCs w:val="16"/>
                <w:lang w:val="es-ES_tradnl"/>
              </w:rPr>
            </w:pPr>
            <w:r w:rsidRPr="0062381F">
              <w:rPr>
                <w:color w:val="002060"/>
                <w:sz w:val="16"/>
                <w:lang w:val="es-ES_tradnl"/>
              </w:rPr>
              <w:t>PATENTSCOPE:  10 millones de documentos</w:t>
            </w:r>
          </w:p>
          <w:p w:rsidR="001A2871" w:rsidRPr="0062381F" w:rsidRDefault="001A2871" w:rsidP="00853209">
            <w:pPr>
              <w:keepNext/>
              <w:keepLines/>
              <w:rPr>
                <w:rFonts w:cs="Arial"/>
                <w:color w:val="002060"/>
                <w:sz w:val="16"/>
                <w:szCs w:val="16"/>
                <w:lang w:val="es-ES_tradnl"/>
              </w:rPr>
            </w:pPr>
          </w:p>
          <w:p w:rsidR="001A2871" w:rsidRPr="0062381F" w:rsidRDefault="001A2871" w:rsidP="00853209">
            <w:pPr>
              <w:keepNext/>
              <w:keepLines/>
              <w:rPr>
                <w:rFonts w:cs="Arial"/>
                <w:color w:val="002060"/>
                <w:sz w:val="16"/>
                <w:szCs w:val="16"/>
                <w:lang w:val="es-ES_tradnl"/>
              </w:rPr>
            </w:pPr>
            <w:r w:rsidRPr="0062381F">
              <w:rPr>
                <w:color w:val="002060"/>
                <w:sz w:val="16"/>
                <w:lang w:val="es-ES_tradnl"/>
              </w:rPr>
              <w:t>Base Mundial de Datos sobre Marcas: 700.000</w:t>
            </w:r>
          </w:p>
          <w:p w:rsidR="001A2871" w:rsidRPr="00A34388" w:rsidRDefault="001A2871" w:rsidP="00853209">
            <w:pPr>
              <w:keepNext/>
              <w:keepLines/>
              <w:rPr>
                <w:rFonts w:cs="Arial"/>
                <w:i/>
                <w:sz w:val="8"/>
                <w:szCs w:val="8"/>
                <w:lang w:val="es-ES_tradnl"/>
              </w:rPr>
            </w:pPr>
          </w:p>
          <w:p w:rsidR="001A2871" w:rsidRPr="00A34388" w:rsidRDefault="001A2871" w:rsidP="00853209">
            <w:pPr>
              <w:keepNext/>
              <w:keepLines/>
              <w:rPr>
                <w:rFonts w:cs="Arial"/>
                <w:sz w:val="16"/>
                <w:szCs w:val="16"/>
                <w:lang w:val="es-ES_tradnl"/>
              </w:rPr>
            </w:pPr>
            <w:r w:rsidRPr="00A34388">
              <w:rPr>
                <w:i/>
                <w:sz w:val="16"/>
                <w:lang w:val="es-ES_tradnl"/>
              </w:rPr>
              <w:t>Referencia original</w:t>
            </w:r>
          </w:p>
          <w:p w:rsidR="001A2871" w:rsidRPr="00A34388" w:rsidRDefault="001A2871" w:rsidP="00853209">
            <w:pPr>
              <w:keepNext/>
              <w:keepLines/>
              <w:rPr>
                <w:rFonts w:cs="Arial"/>
                <w:sz w:val="16"/>
                <w:szCs w:val="16"/>
                <w:lang w:val="es-ES_tradnl"/>
              </w:rPr>
            </w:pPr>
            <w:r w:rsidRPr="00A34388">
              <w:rPr>
                <w:i/>
                <w:sz w:val="16"/>
                <w:lang w:val="es-ES_tradnl"/>
              </w:rPr>
              <w:t>(Presup. por prog. 2012/13):</w:t>
            </w:r>
          </w:p>
          <w:p w:rsidR="001A2871" w:rsidRPr="00332758" w:rsidRDefault="001A2871" w:rsidP="00853209">
            <w:pPr>
              <w:keepNext/>
              <w:keepLines/>
              <w:rPr>
                <w:rFonts w:cs="Arial"/>
                <w:sz w:val="16"/>
                <w:szCs w:val="16"/>
                <w:lang w:val="es-ES_tradnl"/>
              </w:rPr>
            </w:pPr>
            <w:r w:rsidRPr="00A34388">
              <w:rPr>
                <w:smallCaps/>
                <w:sz w:val="16"/>
                <w:lang w:val="es-ES_tradnl"/>
              </w:rPr>
              <w:t>PATENTSCOPE</w:t>
            </w:r>
            <w:r w:rsidRPr="00A34388">
              <w:rPr>
                <w:sz w:val="16"/>
                <w:lang w:val="es-ES_tradnl"/>
              </w:rPr>
              <w:t>:  siete millones de documentos (feb. 2011)</w:t>
            </w:r>
            <w:r w:rsidRPr="00A34388">
              <w:rPr>
                <w:rFonts w:cs="Arial"/>
                <w:sz w:val="16"/>
                <w:szCs w:val="16"/>
                <w:lang w:val="es-ES_tradnl"/>
              </w:rPr>
              <w:br/>
            </w:r>
            <w:r w:rsidRPr="00A34388">
              <w:rPr>
                <w:sz w:val="16"/>
                <w:lang w:val="es-ES_tradnl"/>
              </w:rPr>
              <w:t xml:space="preserve">Base Mundial de Datos sobre Marcas: </w:t>
            </w:r>
            <w:r w:rsidR="007E4D96" w:rsidRPr="00A34388">
              <w:rPr>
                <w:sz w:val="16"/>
                <w:lang w:val="es-ES_tradnl"/>
              </w:rPr>
              <w:t xml:space="preserve"> </w:t>
            </w:r>
            <w:r w:rsidRPr="00A34388">
              <w:rPr>
                <w:sz w:val="16"/>
                <w:lang w:val="es-ES_tradnl"/>
              </w:rPr>
              <w:t>0</w:t>
            </w:r>
          </w:p>
          <w:p w:rsidR="001A2871" w:rsidRPr="0033275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r w:rsidRPr="00332758">
              <w:rPr>
                <w:sz w:val="16"/>
                <w:lang w:val="es-ES_tradnl"/>
              </w:rPr>
              <w:t>Base Mundial de Datos sobre Marcas: 0</w:t>
            </w:r>
          </w:p>
        </w:tc>
        <w:tc>
          <w:tcPr>
            <w:tcW w:w="836" w:type="pct"/>
            <w:gridSpan w:val="2"/>
            <w:tcBorders>
              <w:top w:val="nil"/>
              <w:bottom w:val="nil"/>
            </w:tcBorders>
            <w:shd w:val="clear" w:color="auto" w:fill="auto"/>
            <w:tcMar>
              <w:top w:w="110" w:type="dxa"/>
            </w:tcMar>
          </w:tcPr>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332758">
              <w:rPr>
                <w:sz w:val="16"/>
                <w:lang w:val="es-ES_tradnl"/>
              </w:rPr>
              <w:t>PATENTSCOPE:</w:t>
            </w:r>
          </w:p>
          <w:p w:rsidR="001A2871" w:rsidRPr="00A34388" w:rsidRDefault="001A2871" w:rsidP="00853209">
            <w:pPr>
              <w:keepNext/>
              <w:keepLines/>
              <w:autoSpaceDE w:val="0"/>
              <w:autoSpaceDN w:val="0"/>
              <w:adjustRightInd w:val="0"/>
              <w:rPr>
                <w:rFonts w:cs="Arial"/>
                <w:sz w:val="16"/>
                <w:szCs w:val="16"/>
                <w:lang w:val="es-ES_tradnl"/>
              </w:rPr>
            </w:pPr>
            <w:r w:rsidRPr="00332758">
              <w:rPr>
                <w:sz w:val="16"/>
                <w:lang w:val="es-ES_tradnl"/>
              </w:rPr>
              <w:t>30 millones de documentos</w:t>
            </w:r>
          </w:p>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A34388">
              <w:rPr>
                <w:sz w:val="16"/>
                <w:lang w:val="es-ES_tradnl"/>
              </w:rPr>
              <w:t>Base Mundial de Datos</w:t>
            </w:r>
          </w:p>
          <w:p w:rsidR="001A2871" w:rsidRPr="00A34388" w:rsidRDefault="001A2871" w:rsidP="00853209">
            <w:pPr>
              <w:keepNext/>
              <w:keepLines/>
              <w:rPr>
                <w:rFonts w:cs="Arial"/>
                <w:sz w:val="16"/>
                <w:szCs w:val="16"/>
                <w:lang w:val="es-ES_tradnl"/>
              </w:rPr>
            </w:pPr>
            <w:r w:rsidRPr="00A34388">
              <w:rPr>
                <w:sz w:val="16"/>
                <w:lang w:val="es-ES_tradnl"/>
              </w:rPr>
              <w:t xml:space="preserve">sobre Marcas: </w:t>
            </w:r>
            <w:r w:rsidRPr="00A34388">
              <w:rPr>
                <w:rFonts w:cs="Arial"/>
                <w:sz w:val="16"/>
                <w:szCs w:val="16"/>
                <w:lang w:val="es-ES_tradnl"/>
              </w:rPr>
              <w:br/>
            </w:r>
            <w:r w:rsidRPr="00A34388">
              <w:rPr>
                <w:sz w:val="16"/>
                <w:lang w:val="es-ES_tradnl"/>
              </w:rPr>
              <w:t xml:space="preserve">dos millones </w:t>
            </w:r>
          </w:p>
        </w:tc>
        <w:tc>
          <w:tcPr>
            <w:tcW w:w="1144" w:type="pct"/>
            <w:tcBorders>
              <w:top w:val="nil"/>
              <w:bottom w:val="nil"/>
            </w:tcBorders>
            <w:shd w:val="clear" w:color="auto" w:fill="FFFFFF"/>
            <w:tcMar>
              <w:top w:w="110" w:type="dxa"/>
            </w:tcMar>
          </w:tcPr>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332758">
              <w:rPr>
                <w:sz w:val="16"/>
                <w:lang w:val="es-ES_tradnl"/>
              </w:rPr>
              <w:t>PATENTSCOPE:</w:t>
            </w:r>
          </w:p>
          <w:p w:rsidR="001A2871" w:rsidRPr="00332758" w:rsidRDefault="001A2871" w:rsidP="00853209">
            <w:pPr>
              <w:keepNext/>
              <w:keepLines/>
              <w:rPr>
                <w:rFonts w:cs="Arial"/>
                <w:sz w:val="16"/>
                <w:szCs w:val="16"/>
                <w:lang w:val="es-ES_tradnl"/>
              </w:rPr>
            </w:pPr>
            <w:r w:rsidRPr="00332758">
              <w:rPr>
                <w:sz w:val="16"/>
                <w:lang w:val="es-ES_tradnl"/>
              </w:rPr>
              <w:t>34 millones de documentos</w:t>
            </w: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A34388">
              <w:rPr>
                <w:sz w:val="16"/>
                <w:lang w:val="es-ES_tradnl"/>
              </w:rPr>
              <w:t>Base Mundial de Datos</w:t>
            </w:r>
          </w:p>
          <w:p w:rsidR="001A2871" w:rsidRPr="00A34388" w:rsidRDefault="001A2871" w:rsidP="00853209">
            <w:pPr>
              <w:keepNext/>
              <w:keepLines/>
              <w:rPr>
                <w:rFonts w:cs="Arial"/>
                <w:sz w:val="16"/>
                <w:szCs w:val="16"/>
                <w:lang w:val="es-ES_tradnl"/>
              </w:rPr>
            </w:pPr>
            <w:r w:rsidRPr="00A34388">
              <w:rPr>
                <w:sz w:val="16"/>
                <w:lang w:val="es-ES_tradnl"/>
              </w:rPr>
              <w:t xml:space="preserve">sobre Marcas: </w:t>
            </w:r>
          </w:p>
          <w:p w:rsidR="001A2871" w:rsidRPr="00A34388" w:rsidRDefault="001A2871" w:rsidP="00853209">
            <w:pPr>
              <w:keepNext/>
              <w:keepLines/>
              <w:rPr>
                <w:rFonts w:cs="Arial"/>
                <w:sz w:val="16"/>
                <w:szCs w:val="16"/>
                <w:lang w:val="es-ES_tradnl"/>
              </w:rPr>
            </w:pPr>
            <w:r w:rsidRPr="00A34388">
              <w:rPr>
                <w:sz w:val="16"/>
                <w:lang w:val="es-ES_tradnl"/>
              </w:rPr>
              <w:t xml:space="preserve">12 millones </w:t>
            </w:r>
          </w:p>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p>
        </w:tc>
        <w:tc>
          <w:tcPr>
            <w:tcW w:w="671" w:type="pct"/>
            <w:tcBorders>
              <w:top w:val="nil"/>
              <w:bottom w:val="nil"/>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1212" w:type="pct"/>
            <w:tcBorders>
              <w:top w:val="nil"/>
              <w:left w:val="single" w:sz="4" w:space="0" w:color="auto"/>
              <w:bottom w:val="nil"/>
            </w:tcBorders>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colecciones nacionales en PATENTSCOPE.</w:t>
            </w:r>
          </w:p>
        </w:tc>
        <w:tc>
          <w:tcPr>
            <w:tcW w:w="1137" w:type="pct"/>
            <w:tcBorders>
              <w:top w:val="nil"/>
              <w:bottom w:val="nil"/>
            </w:tcBorders>
            <w:shd w:val="clear" w:color="auto" w:fill="auto"/>
          </w:tcPr>
          <w:p w:rsidR="001A2871" w:rsidRPr="00A34388" w:rsidRDefault="001A2871" w:rsidP="00853209">
            <w:pPr>
              <w:keepNext/>
              <w:keepLines/>
              <w:rPr>
                <w:rFonts w:cs="Arial"/>
                <w:color w:val="002060"/>
                <w:sz w:val="16"/>
                <w:szCs w:val="16"/>
                <w:lang w:val="es-ES_tradnl"/>
              </w:rPr>
            </w:pPr>
            <w:r w:rsidRPr="00A34388">
              <w:rPr>
                <w:i/>
                <w:color w:val="002060"/>
                <w:sz w:val="16"/>
                <w:lang w:val="es-ES_tradnl"/>
              </w:rPr>
              <w:t xml:space="preserve">Referencia actualizada </w:t>
            </w:r>
            <w:r w:rsidRPr="00A34388">
              <w:rPr>
                <w:rFonts w:cs="Arial"/>
                <w:i/>
                <w:color w:val="002060"/>
                <w:sz w:val="16"/>
                <w:szCs w:val="16"/>
                <w:lang w:val="es-ES_tradnl"/>
              </w:rPr>
              <w:br/>
            </w:r>
            <w:r w:rsidRPr="00A34388">
              <w:rPr>
                <w:i/>
                <w:color w:val="002060"/>
                <w:sz w:val="16"/>
                <w:lang w:val="es-ES_tradnl"/>
              </w:rPr>
              <w:t>a fines de 2011:</w:t>
            </w:r>
            <w:r w:rsidRPr="00A34388">
              <w:rPr>
                <w:color w:val="002060"/>
                <w:sz w:val="16"/>
                <w:lang w:val="es-ES_tradnl"/>
              </w:rPr>
              <w:t xml:space="preserve">  28</w:t>
            </w:r>
          </w:p>
          <w:p w:rsidR="001A2871" w:rsidRPr="00A34388" w:rsidRDefault="001A2871" w:rsidP="00853209">
            <w:pPr>
              <w:keepNext/>
              <w:keepLines/>
              <w:rPr>
                <w:rFonts w:cs="Arial"/>
                <w:i/>
                <w:sz w:val="8"/>
                <w:szCs w:val="8"/>
                <w:lang w:val="es-ES_tradnl"/>
              </w:rPr>
            </w:pPr>
          </w:p>
          <w:p w:rsidR="001A2871" w:rsidRPr="00A34388" w:rsidRDefault="001A2871" w:rsidP="007761B5">
            <w:pPr>
              <w:keepNext/>
              <w:keepLines/>
              <w:rPr>
                <w:rFonts w:cs="Arial"/>
                <w:sz w:val="16"/>
                <w:szCs w:val="16"/>
                <w:lang w:val="es-ES_tradnl"/>
              </w:rPr>
            </w:pPr>
            <w:r w:rsidRPr="00A34388">
              <w:rPr>
                <w:i/>
                <w:sz w:val="16"/>
                <w:lang w:val="es-ES_tradnl"/>
              </w:rPr>
              <w:t xml:space="preserve">Referencia original (Presup. por prog. </w:t>
            </w:r>
            <w:r w:rsidRPr="00A34388">
              <w:rPr>
                <w:rFonts w:cs="Arial"/>
                <w:i/>
                <w:sz w:val="16"/>
                <w:szCs w:val="16"/>
                <w:lang w:val="es-ES_tradnl"/>
              </w:rPr>
              <w:br/>
            </w:r>
            <w:r w:rsidRPr="00A34388">
              <w:rPr>
                <w:i/>
                <w:sz w:val="16"/>
                <w:lang w:val="es-ES_tradnl"/>
              </w:rPr>
              <w:t>2012/13):</w:t>
            </w:r>
            <w:r w:rsidRPr="00A34388">
              <w:rPr>
                <w:sz w:val="16"/>
                <w:lang w:val="es-ES_tradnl"/>
              </w:rPr>
              <w:t xml:space="preserve"> </w:t>
            </w:r>
            <w:r w:rsidR="007E4D96" w:rsidRPr="00A34388">
              <w:rPr>
                <w:sz w:val="16"/>
                <w:lang w:val="es-ES_tradnl"/>
              </w:rPr>
              <w:t xml:space="preserve"> </w:t>
            </w:r>
            <w:r w:rsidRPr="00A34388">
              <w:rPr>
                <w:sz w:val="16"/>
                <w:lang w:val="es-ES_tradnl"/>
              </w:rPr>
              <w:t>18</w:t>
            </w:r>
          </w:p>
        </w:tc>
        <w:tc>
          <w:tcPr>
            <w:tcW w:w="836" w:type="pct"/>
            <w:gridSpan w:val="2"/>
            <w:tcBorders>
              <w:top w:val="nil"/>
              <w:bottom w:val="nil"/>
            </w:tcBorders>
            <w:shd w:val="clear" w:color="auto" w:fill="auto"/>
            <w:tcMar>
              <w:top w:w="110" w:type="dxa"/>
            </w:tcMar>
          </w:tcPr>
          <w:p w:rsidR="001A2871" w:rsidRPr="00A34388" w:rsidRDefault="001A2871" w:rsidP="00853209">
            <w:pPr>
              <w:keepNext/>
              <w:keepLines/>
              <w:autoSpaceDE w:val="0"/>
              <w:autoSpaceDN w:val="0"/>
              <w:adjustRightInd w:val="0"/>
              <w:rPr>
                <w:rFonts w:cs="Arial"/>
                <w:sz w:val="16"/>
                <w:szCs w:val="16"/>
                <w:lang w:val="es-ES_tradnl"/>
              </w:rPr>
            </w:pPr>
          </w:p>
          <w:p w:rsidR="001A2871" w:rsidRPr="00A34388" w:rsidRDefault="001A2871" w:rsidP="00853209">
            <w:pPr>
              <w:keepNext/>
              <w:keepLines/>
              <w:autoSpaceDE w:val="0"/>
              <w:autoSpaceDN w:val="0"/>
              <w:adjustRightInd w:val="0"/>
              <w:rPr>
                <w:rFonts w:cs="Arial"/>
                <w:sz w:val="16"/>
                <w:szCs w:val="16"/>
                <w:lang w:val="es-ES_tradnl"/>
              </w:rPr>
            </w:pPr>
            <w:r w:rsidRPr="00332758">
              <w:rPr>
                <w:sz w:val="16"/>
                <w:lang w:val="es-ES_tradnl"/>
              </w:rPr>
              <w:t>40 en total.</w:t>
            </w:r>
          </w:p>
        </w:tc>
        <w:tc>
          <w:tcPr>
            <w:tcW w:w="1144" w:type="pct"/>
            <w:tcBorders>
              <w:top w:val="nil"/>
              <w:bottom w:val="nil"/>
            </w:tcBorders>
            <w:shd w:val="clear" w:color="auto" w:fill="FFFFFF"/>
            <w:tcMar>
              <w:top w:w="110" w:type="dxa"/>
            </w:tcMar>
          </w:tcPr>
          <w:p w:rsidR="001A2871" w:rsidRPr="00A34388" w:rsidRDefault="001A2871" w:rsidP="00853209">
            <w:pPr>
              <w:keepNext/>
              <w:keepLines/>
              <w:rPr>
                <w:rFonts w:cs="Arial"/>
                <w:sz w:val="16"/>
                <w:szCs w:val="16"/>
                <w:lang w:val="es-ES_tradnl"/>
              </w:rPr>
            </w:pPr>
          </w:p>
          <w:p w:rsidR="001A2871" w:rsidRPr="00A34388" w:rsidRDefault="001A2871" w:rsidP="00853209">
            <w:pPr>
              <w:keepNext/>
              <w:keepLines/>
              <w:rPr>
                <w:rFonts w:cs="Arial"/>
                <w:sz w:val="16"/>
                <w:szCs w:val="16"/>
                <w:lang w:val="es-ES_tradnl"/>
              </w:rPr>
            </w:pPr>
            <w:r w:rsidRPr="00332758">
              <w:rPr>
                <w:sz w:val="16"/>
                <w:lang w:val="es-ES_tradnl"/>
              </w:rPr>
              <w:t>36 en total.</w:t>
            </w:r>
          </w:p>
        </w:tc>
        <w:tc>
          <w:tcPr>
            <w:tcW w:w="671" w:type="pct"/>
            <w:tcBorders>
              <w:top w:val="nil"/>
              <w:bottom w:val="nil"/>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1212" w:type="pct"/>
            <w:tcBorders>
              <w:top w:val="nil"/>
              <w:left w:val="single" w:sz="4" w:space="0" w:color="auto"/>
              <w:bottom w:val="single" w:sz="4" w:space="0" w:color="auto"/>
            </w:tcBorders>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colecciones nacionales en la Base Mundial de Datos sobre Marcas.</w:t>
            </w:r>
          </w:p>
        </w:tc>
        <w:tc>
          <w:tcPr>
            <w:tcW w:w="1137" w:type="pct"/>
            <w:tcBorders>
              <w:top w:val="nil"/>
              <w:bottom w:val="single" w:sz="4" w:space="0" w:color="auto"/>
            </w:tcBorders>
            <w:shd w:val="clear" w:color="auto" w:fill="auto"/>
          </w:tcPr>
          <w:p w:rsidR="001A2871" w:rsidRPr="00A34388" w:rsidRDefault="001A2871" w:rsidP="00853209">
            <w:pPr>
              <w:keepNext/>
              <w:keepLines/>
              <w:rPr>
                <w:rFonts w:cs="Arial"/>
                <w:color w:val="002060"/>
                <w:sz w:val="16"/>
                <w:szCs w:val="16"/>
                <w:lang w:val="es-ES_tradnl"/>
              </w:rPr>
            </w:pPr>
            <w:r w:rsidRPr="00A34388">
              <w:rPr>
                <w:i/>
                <w:color w:val="002060"/>
                <w:sz w:val="16"/>
                <w:lang w:val="es-ES_tradnl"/>
              </w:rPr>
              <w:t xml:space="preserve">Referencia actualizada </w:t>
            </w:r>
            <w:r w:rsidRPr="00A34388">
              <w:rPr>
                <w:rFonts w:cs="Arial"/>
                <w:i/>
                <w:color w:val="002060"/>
                <w:sz w:val="16"/>
                <w:szCs w:val="16"/>
                <w:lang w:val="es-ES_tradnl"/>
              </w:rPr>
              <w:br/>
            </w:r>
            <w:r w:rsidRPr="00A34388">
              <w:rPr>
                <w:i/>
                <w:color w:val="002060"/>
                <w:sz w:val="16"/>
                <w:lang w:val="es-ES_tradnl"/>
              </w:rPr>
              <w:t>a fines de 2011:</w:t>
            </w:r>
            <w:r w:rsidRPr="00A34388">
              <w:rPr>
                <w:color w:val="002060"/>
                <w:sz w:val="16"/>
                <w:lang w:val="es-ES_tradnl"/>
              </w:rPr>
              <w:t xml:space="preserve">  0</w:t>
            </w:r>
          </w:p>
          <w:p w:rsidR="001A2871" w:rsidRPr="00A34388" w:rsidRDefault="001A2871" w:rsidP="00853209">
            <w:pPr>
              <w:keepNext/>
              <w:keepLines/>
              <w:ind w:left="1" w:hanging="1"/>
              <w:rPr>
                <w:rFonts w:cs="Arial"/>
                <w:i/>
                <w:sz w:val="8"/>
                <w:szCs w:val="8"/>
                <w:lang w:val="es-ES_tradnl"/>
              </w:rPr>
            </w:pPr>
          </w:p>
          <w:p w:rsidR="001A2871" w:rsidRPr="00A34388" w:rsidRDefault="001A2871" w:rsidP="00853209">
            <w:pPr>
              <w:keepNext/>
              <w:keepLines/>
              <w:rPr>
                <w:sz w:val="16"/>
                <w:lang w:val="es-ES_tradnl"/>
              </w:rPr>
            </w:pPr>
            <w:r w:rsidRPr="00A34388">
              <w:rPr>
                <w:sz w:val="16"/>
                <w:lang w:val="es-ES_tradnl"/>
              </w:rPr>
              <w:t xml:space="preserve">Referencia original </w:t>
            </w:r>
            <w:r w:rsidRPr="00A34388">
              <w:rPr>
                <w:sz w:val="16"/>
                <w:lang w:val="es-ES_tradnl"/>
              </w:rPr>
              <w:br/>
              <w:t>(Presup. por prog. 2012/13):  n.d.</w:t>
            </w:r>
          </w:p>
          <w:p w:rsidR="001A2871" w:rsidRPr="00A34388" w:rsidRDefault="001A2871" w:rsidP="00853209">
            <w:pPr>
              <w:keepNext/>
              <w:keepLines/>
              <w:ind w:left="1" w:hanging="1"/>
              <w:rPr>
                <w:rFonts w:cs="Arial"/>
                <w:sz w:val="16"/>
                <w:szCs w:val="16"/>
                <w:lang w:val="es-ES_tradnl"/>
              </w:rPr>
            </w:pPr>
          </w:p>
        </w:tc>
        <w:tc>
          <w:tcPr>
            <w:tcW w:w="836" w:type="pct"/>
            <w:gridSpan w:val="2"/>
            <w:tcBorders>
              <w:top w:val="nil"/>
              <w:bottom w:val="single" w:sz="4" w:space="0" w:color="auto"/>
            </w:tcBorders>
            <w:shd w:val="clear" w:color="auto" w:fill="auto"/>
            <w:tcMar>
              <w:top w:w="110" w:type="dxa"/>
            </w:tcMar>
          </w:tcPr>
          <w:p w:rsidR="001A2871" w:rsidRPr="00A34388" w:rsidRDefault="001A2871" w:rsidP="00853209">
            <w:pPr>
              <w:keepNext/>
              <w:keepLines/>
              <w:rPr>
                <w:rFonts w:cs="Arial"/>
                <w:sz w:val="16"/>
                <w:szCs w:val="16"/>
                <w:lang w:val="es-ES_tradnl"/>
              </w:rPr>
            </w:pPr>
            <w:r w:rsidRPr="00A34388">
              <w:rPr>
                <w:sz w:val="16"/>
                <w:lang w:val="es-ES_tradnl"/>
              </w:rPr>
              <w:t>10</w:t>
            </w:r>
          </w:p>
        </w:tc>
        <w:tc>
          <w:tcPr>
            <w:tcW w:w="1144" w:type="pct"/>
            <w:tcBorders>
              <w:top w:val="nil"/>
              <w:bottom w:val="single" w:sz="4" w:space="0" w:color="auto"/>
            </w:tcBorders>
            <w:shd w:val="clear" w:color="auto" w:fill="FFFFFF"/>
            <w:tcMar>
              <w:top w:w="110" w:type="dxa"/>
            </w:tcMar>
          </w:tcPr>
          <w:p w:rsidR="001A2871" w:rsidRPr="00A34388" w:rsidRDefault="001A2871" w:rsidP="00853209">
            <w:pPr>
              <w:keepNext/>
              <w:keepLines/>
              <w:rPr>
                <w:rFonts w:cs="Arial"/>
                <w:sz w:val="16"/>
                <w:szCs w:val="16"/>
                <w:lang w:val="es-ES_tradnl"/>
              </w:rPr>
            </w:pPr>
            <w:r w:rsidRPr="00A34388">
              <w:rPr>
                <w:sz w:val="16"/>
                <w:lang w:val="es-ES_tradnl"/>
              </w:rPr>
              <w:t>12</w:t>
            </w:r>
          </w:p>
        </w:tc>
        <w:tc>
          <w:tcPr>
            <w:tcW w:w="671" w:type="pct"/>
            <w:tcBorders>
              <w:top w:val="nil"/>
              <w:bottom w:val="single" w:sz="4" w:space="0" w:color="auto"/>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9508D" w:rsidTr="00853209">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1A2871" w:rsidRPr="00A34388" w:rsidRDefault="001A2871" w:rsidP="00853209">
            <w:pPr>
              <w:keepNext/>
              <w:keepLines/>
              <w:tabs>
                <w:tab w:val="left" w:pos="1452"/>
              </w:tabs>
              <w:spacing w:before="120" w:after="120"/>
              <w:ind w:left="1452" w:hanging="1452"/>
              <w:rPr>
                <w:rFonts w:cs="Arial"/>
                <w:b/>
                <w:bCs/>
                <w:sz w:val="16"/>
                <w:szCs w:val="16"/>
                <w:lang w:val="es-ES_tradnl"/>
              </w:rPr>
            </w:pPr>
            <w:r w:rsidRPr="00A34388">
              <w:rPr>
                <w:b/>
                <w:color w:val="000000"/>
                <w:sz w:val="16"/>
                <w:lang w:val="es-ES_tradnl"/>
              </w:rPr>
              <w:t>Resultado previsto:</w:t>
            </w:r>
            <w:r w:rsidRPr="00A34388">
              <w:rPr>
                <w:lang w:val="es-ES_tradnl"/>
              </w:rPr>
              <w:tab/>
            </w:r>
            <w:r w:rsidRPr="00332758">
              <w:rPr>
                <w:sz w:val="16"/>
                <w:lang w:val="es-ES_tradnl"/>
              </w:rPr>
              <w:t>Puntualidad de las actualizaciones de PATENTSCOPE en relación con las solicitudes PCT.</w:t>
            </w:r>
          </w:p>
        </w:tc>
      </w:tr>
      <w:tr w:rsidR="001A2871" w:rsidRPr="00A34388" w:rsidTr="00853209">
        <w:trPr>
          <w:cantSplit/>
        </w:trPr>
        <w:tc>
          <w:tcPr>
            <w:tcW w:w="1212" w:type="pct"/>
            <w:tcBorders>
              <w:top w:val="single" w:sz="4" w:space="0" w:color="auto"/>
              <w:left w:val="single" w:sz="4" w:space="0" w:color="auto"/>
              <w:bottom w:val="nil"/>
            </w:tcBorders>
            <w:shd w:val="clear" w:color="auto" w:fill="auto"/>
            <w:vAlign w:val="center"/>
          </w:tcPr>
          <w:p w:rsidR="001A2871" w:rsidRPr="00A34388" w:rsidRDefault="001A2871" w:rsidP="00853209">
            <w:pPr>
              <w:spacing w:after="120"/>
              <w:rPr>
                <w:rFonts w:cs="Arial"/>
                <w:color w:val="808080"/>
                <w:sz w:val="16"/>
                <w:szCs w:val="16"/>
                <w:lang w:val="es-ES_tradnl"/>
              </w:rPr>
            </w:pPr>
            <w:r w:rsidRPr="00332758">
              <w:rPr>
                <w:b/>
                <w:sz w:val="16"/>
                <w:lang w:val="es-ES_tradnl"/>
              </w:rPr>
              <w:t>Indicadores de rendimiento</w:t>
            </w:r>
          </w:p>
        </w:tc>
        <w:tc>
          <w:tcPr>
            <w:tcW w:w="1137" w:type="pct"/>
            <w:tcBorders>
              <w:top w:val="single" w:sz="4" w:space="0" w:color="auto"/>
              <w:bottom w:val="nil"/>
            </w:tcBorders>
            <w:shd w:val="clear" w:color="auto" w:fill="auto"/>
            <w:vAlign w:val="center"/>
          </w:tcPr>
          <w:p w:rsidR="001A2871" w:rsidRPr="00A34388" w:rsidRDefault="001A2871" w:rsidP="00853209">
            <w:pPr>
              <w:spacing w:after="120"/>
              <w:rPr>
                <w:rFonts w:cs="Arial"/>
                <w:b/>
                <w:bCs/>
                <w:color w:val="808080"/>
                <w:sz w:val="16"/>
                <w:szCs w:val="16"/>
                <w:lang w:val="es-ES_tradnl"/>
              </w:rPr>
            </w:pPr>
            <w:r w:rsidRPr="00332758">
              <w:rPr>
                <w:b/>
                <w:sz w:val="16"/>
                <w:lang w:val="es-ES_tradnl"/>
              </w:rPr>
              <w:t>Referencia</w:t>
            </w:r>
          </w:p>
        </w:tc>
        <w:tc>
          <w:tcPr>
            <w:tcW w:w="833" w:type="pct"/>
            <w:tcBorders>
              <w:top w:val="single" w:sz="4" w:space="0" w:color="auto"/>
              <w:bottom w:val="nil"/>
            </w:tcBorders>
            <w:shd w:val="clear" w:color="auto" w:fill="auto"/>
            <w:tcMar>
              <w:top w:w="110" w:type="dxa"/>
            </w:tcMar>
            <w:vAlign w:val="center"/>
          </w:tcPr>
          <w:p w:rsidR="001A2871" w:rsidRPr="00A34388" w:rsidRDefault="001A2871" w:rsidP="00853209">
            <w:pPr>
              <w:spacing w:after="120"/>
              <w:rPr>
                <w:rFonts w:cs="Arial"/>
                <w:b/>
                <w:color w:val="808080"/>
                <w:sz w:val="16"/>
                <w:szCs w:val="16"/>
                <w:lang w:val="es-ES_tradnl"/>
              </w:rPr>
            </w:pPr>
            <w:r w:rsidRPr="00332758">
              <w:rPr>
                <w:b/>
                <w:sz w:val="16"/>
                <w:lang w:val="es-ES_tradnl"/>
              </w:rPr>
              <w:t>Objetivos</w:t>
            </w:r>
          </w:p>
        </w:tc>
        <w:tc>
          <w:tcPr>
            <w:tcW w:w="1147" w:type="pct"/>
            <w:gridSpan w:val="2"/>
            <w:tcBorders>
              <w:top w:val="single" w:sz="4" w:space="0" w:color="auto"/>
              <w:bottom w:val="nil"/>
            </w:tcBorders>
            <w:shd w:val="clear" w:color="auto" w:fill="FFFFFF"/>
            <w:tcMar>
              <w:top w:w="110" w:type="dxa"/>
            </w:tcMar>
            <w:vAlign w:val="center"/>
          </w:tcPr>
          <w:p w:rsidR="001A2871" w:rsidRPr="00A34388" w:rsidRDefault="001A2871" w:rsidP="00853209">
            <w:pPr>
              <w:spacing w:after="120"/>
              <w:rPr>
                <w:rFonts w:cs="Arial"/>
                <w:color w:val="808080"/>
                <w:sz w:val="16"/>
                <w:szCs w:val="16"/>
                <w:lang w:val="es-ES_tradnl"/>
              </w:rPr>
            </w:pPr>
            <w:r w:rsidRPr="00332758">
              <w:rPr>
                <w:b/>
                <w:sz w:val="16"/>
                <w:lang w:val="es-ES_tradnl"/>
              </w:rPr>
              <w:t>Datos sobre el rendimiento</w:t>
            </w:r>
          </w:p>
        </w:tc>
        <w:tc>
          <w:tcPr>
            <w:tcW w:w="671" w:type="pct"/>
            <w:tcBorders>
              <w:top w:val="single" w:sz="4" w:space="0" w:color="auto"/>
              <w:bottom w:val="nil"/>
              <w:right w:val="single" w:sz="4" w:space="0" w:color="auto"/>
            </w:tcBorders>
            <w:shd w:val="clear" w:color="auto" w:fill="auto"/>
            <w:tcMar>
              <w:top w:w="110" w:type="dxa"/>
            </w:tcMar>
            <w:vAlign w:val="center"/>
          </w:tcPr>
          <w:p w:rsidR="001A2871" w:rsidRPr="00332758" w:rsidRDefault="001A2871" w:rsidP="00853209">
            <w:pPr>
              <w:keepNext/>
              <w:keepLines/>
              <w:spacing w:after="120"/>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1212" w:type="pct"/>
            <w:tcBorders>
              <w:top w:val="nil"/>
              <w:left w:val="single" w:sz="4" w:space="0" w:color="auto"/>
              <w:bottom w:val="nil"/>
            </w:tcBorders>
            <w:shd w:val="clear" w:color="auto" w:fill="auto"/>
          </w:tcPr>
          <w:p w:rsidR="001A2871" w:rsidRPr="00A34388" w:rsidRDefault="001A2871" w:rsidP="00853209">
            <w:pPr>
              <w:rPr>
                <w:rFonts w:cs="Arial"/>
                <w:sz w:val="16"/>
                <w:szCs w:val="16"/>
                <w:lang w:val="es-ES_tradnl"/>
              </w:rPr>
            </w:pPr>
            <w:r w:rsidRPr="00332758">
              <w:rPr>
                <w:sz w:val="16"/>
                <w:lang w:val="es-ES_tradnl"/>
              </w:rPr>
              <w:t>Plazo (en meses) de aplicación de cambios en PATENTSCOPE en relación con el Reglamento del PCT.</w:t>
            </w:r>
          </w:p>
        </w:tc>
        <w:tc>
          <w:tcPr>
            <w:tcW w:w="1137" w:type="pct"/>
            <w:tcBorders>
              <w:top w:val="nil"/>
              <w:bottom w:val="nil"/>
            </w:tcBorders>
            <w:shd w:val="clear" w:color="auto" w:fill="auto"/>
          </w:tcPr>
          <w:p w:rsidR="001A2871" w:rsidRPr="00A34388" w:rsidRDefault="001A2871" w:rsidP="00853209">
            <w:pPr>
              <w:rPr>
                <w:rFonts w:cs="Arial"/>
                <w:sz w:val="16"/>
                <w:szCs w:val="16"/>
                <w:lang w:val="es-ES_tradnl"/>
              </w:rPr>
            </w:pPr>
            <w:r w:rsidRPr="00A34388">
              <w:rPr>
                <w:sz w:val="16"/>
                <w:lang w:val="es-ES_tradnl"/>
              </w:rPr>
              <w:t>0</w:t>
            </w:r>
          </w:p>
        </w:tc>
        <w:tc>
          <w:tcPr>
            <w:tcW w:w="833" w:type="pct"/>
            <w:tcBorders>
              <w:top w:val="nil"/>
              <w:bottom w:val="nil"/>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0</w:t>
            </w:r>
          </w:p>
        </w:tc>
        <w:tc>
          <w:tcPr>
            <w:tcW w:w="1147" w:type="pct"/>
            <w:gridSpan w:val="2"/>
            <w:tcBorders>
              <w:top w:val="nil"/>
              <w:bottom w:val="nil"/>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0</w:t>
            </w:r>
          </w:p>
        </w:tc>
        <w:tc>
          <w:tcPr>
            <w:tcW w:w="671" w:type="pct"/>
            <w:tcBorders>
              <w:top w:val="nil"/>
              <w:bottom w:val="nil"/>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r w:rsidR="001A2871" w:rsidRPr="00A34388" w:rsidTr="00853209">
        <w:trPr>
          <w:cantSplit/>
        </w:trPr>
        <w:tc>
          <w:tcPr>
            <w:tcW w:w="1212" w:type="pct"/>
            <w:tcBorders>
              <w:top w:val="nil"/>
              <w:left w:val="single" w:sz="4" w:space="0" w:color="auto"/>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semanas por año en que la publicación no está disponible a las 8.00 de la noche hora de Ginebra en la fecha de publicación.</w:t>
            </w:r>
          </w:p>
          <w:p w:rsidR="001A2871" w:rsidRPr="00A34388" w:rsidRDefault="001A2871" w:rsidP="00853209">
            <w:pPr>
              <w:rPr>
                <w:rFonts w:cs="Arial"/>
                <w:sz w:val="16"/>
                <w:szCs w:val="16"/>
                <w:lang w:val="es-ES_tradnl"/>
              </w:rPr>
            </w:pPr>
          </w:p>
        </w:tc>
        <w:tc>
          <w:tcPr>
            <w:tcW w:w="1137" w:type="pct"/>
            <w:tcBorders>
              <w:top w:val="nil"/>
              <w:bottom w:val="single" w:sz="4" w:space="0" w:color="auto"/>
            </w:tcBorders>
            <w:shd w:val="clear" w:color="auto" w:fill="auto"/>
          </w:tcPr>
          <w:p w:rsidR="001A2871" w:rsidRPr="00A34388" w:rsidRDefault="001A2871" w:rsidP="00853209">
            <w:pPr>
              <w:rPr>
                <w:rFonts w:cs="Arial"/>
                <w:i/>
                <w:sz w:val="16"/>
                <w:szCs w:val="16"/>
                <w:lang w:val="es-ES_tradnl"/>
              </w:rPr>
            </w:pPr>
            <w:r w:rsidRPr="00A34388">
              <w:rPr>
                <w:sz w:val="16"/>
                <w:lang w:val="es-ES_tradnl"/>
              </w:rPr>
              <w:t>0</w:t>
            </w:r>
          </w:p>
        </w:tc>
        <w:tc>
          <w:tcPr>
            <w:tcW w:w="833" w:type="pct"/>
            <w:tcBorders>
              <w:top w:val="nil"/>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0</w:t>
            </w:r>
          </w:p>
        </w:tc>
        <w:tc>
          <w:tcPr>
            <w:tcW w:w="1147" w:type="pct"/>
            <w:gridSpan w:val="2"/>
            <w:tcBorders>
              <w:top w:val="nil"/>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1</w:t>
            </w:r>
          </w:p>
        </w:tc>
        <w:tc>
          <w:tcPr>
            <w:tcW w:w="671" w:type="pct"/>
            <w:tcBorders>
              <w:top w:val="nil"/>
              <w:bottom w:val="single" w:sz="4" w:space="0" w:color="auto"/>
              <w:right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r w:rsidRPr="00A34388">
              <w:rPr>
                <w:rStyle w:val="Style5"/>
                <w:rFonts w:ascii="Arial" w:hAnsi="Arial"/>
                <w:sz w:val="16"/>
                <w:lang w:val="es-ES_tradnl"/>
              </w:rPr>
              <w:t xml:space="preserve"> </w:t>
            </w:r>
          </w:p>
        </w:tc>
      </w:tr>
    </w:tbl>
    <w:p w:rsidR="001A2871" w:rsidRPr="00A34388" w:rsidRDefault="001A2871" w:rsidP="001A2871">
      <w:pPr>
        <w:rPr>
          <w:lang w:val="es-ES_tradnl"/>
        </w:rPr>
      </w:pPr>
    </w:p>
    <w:p w:rsidR="001A2871" w:rsidRPr="00A34388" w:rsidRDefault="001A2871" w:rsidP="001A2871">
      <w:pPr>
        <w:rPr>
          <w:rFonts w:cs="Arial"/>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keepNext/>
        <w:keepLines/>
        <w:rPr>
          <w:rFonts w:cs="Arial"/>
          <w:sz w:val="22"/>
          <w:szCs w:val="22"/>
          <w:lang w:val="es-ES_tradnl"/>
        </w:rPr>
      </w:pPr>
      <w:r w:rsidRPr="00332758">
        <w:rPr>
          <w:sz w:val="22"/>
          <w:lang w:val="es-ES_tradnl"/>
        </w:rPr>
        <w:lastRenderedPageBreak/>
        <w:t>PRESUPUESTO Y GASTOS REALES</w:t>
      </w:r>
    </w:p>
    <w:p w:rsidR="001A2871" w:rsidRPr="00A34388" w:rsidRDefault="001A2871" w:rsidP="001A2871">
      <w:pPr>
        <w:keepNext/>
        <w:keepLines/>
        <w:rPr>
          <w:rFonts w:cs="Arial"/>
          <w:sz w:val="22"/>
          <w:szCs w:val="22"/>
          <w:lang w:val="es-ES_tradnl"/>
        </w:rPr>
      </w:pPr>
    </w:p>
    <w:p w:rsidR="001A2871" w:rsidRPr="00A34388" w:rsidRDefault="001A2871" w:rsidP="001A2871">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(por resultado) </w:t>
      </w:r>
    </w:p>
    <w:p w:rsidR="001A2871" w:rsidRPr="00332758" w:rsidRDefault="001A2871" w:rsidP="001A2871">
      <w:pPr>
        <w:jc w:val="center"/>
        <w:rPr>
          <w:rFonts w:eastAsiaTheme="minorEastAsia" w:cs="Arial"/>
          <w:szCs w:val="20"/>
          <w:lang w:val="es-ES_tradnl"/>
        </w:rPr>
      </w:pPr>
      <w:r w:rsidRPr="00332758">
        <w:rPr>
          <w:rFonts w:eastAsiaTheme="minorEastAsia"/>
          <w:i/>
          <w:lang w:val="es-ES_tradnl"/>
        </w:rPr>
        <w:t>(en miles de francos suizos)</w:t>
      </w:r>
    </w:p>
    <w:p w:rsidR="001A2871" w:rsidRPr="00A34388" w:rsidRDefault="001A2871" w:rsidP="001A2871">
      <w:pPr>
        <w:keepNext/>
        <w:keepLines/>
        <w:rPr>
          <w:rFonts w:cs="Arial"/>
          <w:sz w:val="22"/>
          <w:szCs w:val="22"/>
          <w:lang w:val="es-ES_tradnl"/>
        </w:rPr>
      </w:pPr>
    </w:p>
    <w:tbl>
      <w:tblPr>
        <w:tblW w:w="0" w:type="auto"/>
        <w:tblInd w:w="103" w:type="dxa"/>
        <w:tblLook w:val="04A0" w:firstRow="1" w:lastRow="0" w:firstColumn="1" w:lastColumn="0" w:noHBand="0" w:noVBand="1"/>
      </w:tblPr>
      <w:tblGrid>
        <w:gridCol w:w="532"/>
        <w:gridCol w:w="4293"/>
        <w:gridCol w:w="1512"/>
        <w:gridCol w:w="1512"/>
        <w:gridCol w:w="1512"/>
      </w:tblGrid>
      <w:tr w:rsidR="001A2871" w:rsidRPr="00A34388" w:rsidTr="0085320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32"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IV.2</w:t>
            </w:r>
          </w:p>
        </w:tc>
        <w:tc>
          <w:tcPr>
            <w:tcW w:w="429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w:t>
            </w:r>
            <w:r w:rsidR="00C749A1">
              <w:rPr>
                <w:sz w:val="16"/>
                <w:lang w:val="es-ES_tradnl"/>
              </w:rPr>
              <w:t>.</w:t>
            </w:r>
            <w:r w:rsidRPr="00332758">
              <w:rPr>
                <w:sz w:val="16"/>
                <w:lang w:val="es-ES_tradnl"/>
              </w:rPr>
              <w:t>135</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w:t>
            </w:r>
            <w:r w:rsidR="00C749A1">
              <w:rPr>
                <w:sz w:val="16"/>
                <w:lang w:val="es-ES_tradnl"/>
              </w:rPr>
              <w:t>.</w:t>
            </w:r>
            <w:r w:rsidRPr="00332758">
              <w:rPr>
                <w:sz w:val="16"/>
                <w:lang w:val="es-ES_tradnl"/>
              </w:rPr>
              <w:t>238</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w:t>
            </w:r>
            <w:r w:rsidR="00C749A1">
              <w:rPr>
                <w:sz w:val="16"/>
                <w:lang w:val="es-ES_tradnl"/>
              </w:rPr>
              <w:t>.</w:t>
            </w:r>
            <w:r w:rsidRPr="00332758">
              <w:rPr>
                <w:sz w:val="16"/>
                <w:lang w:val="es-ES_tradnl"/>
              </w:rPr>
              <w:t>973</w:t>
            </w:r>
          </w:p>
        </w:tc>
      </w:tr>
      <w:tr w:rsidR="001A2871" w:rsidRPr="00A34388" w:rsidTr="00853209">
        <w:tc>
          <w:tcPr>
            <w:tcW w:w="532"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IV.3</w:t>
            </w:r>
          </w:p>
        </w:tc>
        <w:tc>
          <w:tcPr>
            <w:tcW w:w="4293"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Mayor difusión de colecciones digitalizadas sobre patentes de las oficinas nacionales/regionales de los Estados miembros de la OMPI.</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w:t>
            </w:r>
            <w:r w:rsidR="00C749A1">
              <w:rPr>
                <w:sz w:val="16"/>
                <w:lang w:val="es-ES_tradnl"/>
              </w:rPr>
              <w:t>.</w:t>
            </w:r>
            <w:r w:rsidRPr="00332758">
              <w:rPr>
                <w:sz w:val="16"/>
                <w:lang w:val="es-ES_tradnl"/>
              </w:rPr>
              <w:t>210</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w:t>
            </w:r>
            <w:r w:rsidR="00C749A1">
              <w:rPr>
                <w:sz w:val="16"/>
                <w:lang w:val="es-ES_tradnl"/>
              </w:rPr>
              <w:t>.</w:t>
            </w:r>
            <w:r w:rsidRPr="00332758">
              <w:rPr>
                <w:sz w:val="16"/>
                <w:lang w:val="es-ES_tradnl"/>
              </w:rPr>
              <w:t>346</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w:t>
            </w:r>
            <w:r w:rsidR="00C749A1">
              <w:rPr>
                <w:sz w:val="16"/>
                <w:lang w:val="es-ES_tradnl"/>
              </w:rPr>
              <w:t>.</w:t>
            </w:r>
            <w:r w:rsidRPr="00332758">
              <w:rPr>
                <w:sz w:val="16"/>
                <w:lang w:val="es-ES_tradnl"/>
              </w:rPr>
              <w:t>272</w:t>
            </w:r>
          </w:p>
        </w:tc>
      </w:tr>
      <w:tr w:rsidR="001A2871" w:rsidRPr="00A34388" w:rsidTr="00853209">
        <w:tc>
          <w:tcPr>
            <w:tcW w:w="532"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IV.4</w:t>
            </w:r>
          </w:p>
        </w:tc>
        <w:tc>
          <w:tcPr>
            <w:tcW w:w="4293"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Puntualidad de las actualizaciones de PATENTSCOPE en relación con las solicitudes PCT</w:t>
            </w:r>
          </w:p>
        </w:tc>
        <w:tc>
          <w:tcPr>
            <w:tcW w:w="1512"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2</w:t>
            </w:r>
            <w:r w:rsidR="00C749A1">
              <w:rPr>
                <w:sz w:val="16"/>
                <w:lang w:val="es-ES_tradnl"/>
              </w:rPr>
              <w:t>.</w:t>
            </w:r>
            <w:r w:rsidRPr="00332758">
              <w:rPr>
                <w:sz w:val="16"/>
                <w:lang w:val="es-ES_tradnl"/>
              </w:rPr>
              <w:t>159</w:t>
            </w:r>
          </w:p>
        </w:tc>
        <w:tc>
          <w:tcPr>
            <w:tcW w:w="1512"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732</w:t>
            </w:r>
          </w:p>
        </w:tc>
        <w:tc>
          <w:tcPr>
            <w:tcW w:w="1512"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938</w:t>
            </w:r>
          </w:p>
        </w:tc>
      </w:tr>
      <w:tr w:rsidR="001A2871" w:rsidRPr="00A34388" w:rsidTr="00853209">
        <w:tc>
          <w:tcPr>
            <w:tcW w:w="532"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293"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12" w:type="dxa"/>
            <w:tcBorders>
              <w:top w:val="nil"/>
              <w:left w:val="nil"/>
              <w:bottom w:val="single" w:sz="4" w:space="0" w:color="auto"/>
              <w:right w:val="nil"/>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4</w:t>
            </w:r>
            <w:r w:rsidR="00C749A1">
              <w:rPr>
                <w:b/>
                <w:sz w:val="16"/>
                <w:lang w:val="es-ES_tradnl"/>
              </w:rPr>
              <w:t>.</w:t>
            </w:r>
            <w:r w:rsidRPr="00332758">
              <w:rPr>
                <w:b/>
                <w:sz w:val="16"/>
                <w:lang w:val="es-ES_tradnl"/>
              </w:rPr>
              <w:t>503</w:t>
            </w:r>
          </w:p>
        </w:tc>
        <w:tc>
          <w:tcPr>
            <w:tcW w:w="1512"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4</w:t>
            </w:r>
            <w:r w:rsidR="00C749A1">
              <w:rPr>
                <w:b/>
                <w:sz w:val="16"/>
                <w:lang w:val="es-ES_tradnl"/>
              </w:rPr>
              <w:t>.</w:t>
            </w:r>
            <w:r w:rsidRPr="00332758">
              <w:rPr>
                <w:b/>
                <w:sz w:val="16"/>
                <w:lang w:val="es-ES_tradnl"/>
              </w:rPr>
              <w:t>316</w:t>
            </w:r>
          </w:p>
        </w:tc>
        <w:tc>
          <w:tcPr>
            <w:tcW w:w="1512"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4</w:t>
            </w:r>
            <w:r w:rsidR="00C749A1">
              <w:rPr>
                <w:b/>
                <w:sz w:val="16"/>
                <w:lang w:val="es-ES_tradnl"/>
              </w:rPr>
              <w:t>.</w:t>
            </w:r>
            <w:r w:rsidRPr="00332758">
              <w:rPr>
                <w:b/>
                <w:sz w:val="16"/>
                <w:lang w:val="es-ES_tradnl"/>
              </w:rPr>
              <w:t>183</w:t>
            </w:r>
          </w:p>
        </w:tc>
      </w:tr>
    </w:tbl>
    <w:p w:rsidR="001A2871" w:rsidRPr="00A34388" w:rsidRDefault="001A2871" w:rsidP="001A2871">
      <w:pPr>
        <w:rPr>
          <w:lang w:val="es-ES_tradnl"/>
        </w:rPr>
      </w:pPr>
    </w:p>
    <w:p w:rsidR="001A2871" w:rsidRPr="00A34388" w:rsidRDefault="001A2871" w:rsidP="001A2871">
      <w:pPr>
        <w:rPr>
          <w:rFonts w:eastAsiaTheme="minorEastAsia" w:cs="Arial"/>
          <w:color w:val="000000"/>
          <w:szCs w:val="20"/>
          <w:lang w:val="es-ES_tradnl"/>
        </w:rPr>
      </w:pPr>
    </w:p>
    <w:p w:rsidR="001A2871" w:rsidRPr="00A34388" w:rsidRDefault="001A2871" w:rsidP="001A2871">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w:t>
      </w:r>
      <w:r w:rsidR="00CB0549">
        <w:rPr>
          <w:rFonts w:eastAsiaTheme="minorEastAsia"/>
          <w:color w:val="000000"/>
          <w:lang w:val="es-ES_tradnl"/>
        </w:rPr>
        <w:t>(de personal y no relativos al personal)</w:t>
      </w:r>
      <w:r w:rsidRPr="00A34388">
        <w:rPr>
          <w:rFonts w:eastAsiaTheme="minorEastAsia"/>
          <w:color w:val="000000"/>
          <w:lang w:val="es-ES_tradnl"/>
        </w:rPr>
        <w:t xml:space="preserve"> </w:t>
      </w:r>
    </w:p>
    <w:p w:rsidR="001A2871" w:rsidRPr="00332758" w:rsidRDefault="001A2871" w:rsidP="001A2871">
      <w:pPr>
        <w:jc w:val="center"/>
        <w:rPr>
          <w:rFonts w:eastAsiaTheme="minorEastAsia" w:cs="Arial"/>
          <w:szCs w:val="20"/>
          <w:lang w:val="es-ES_tradnl"/>
        </w:rPr>
      </w:pPr>
      <w:r w:rsidRPr="00332758">
        <w:rPr>
          <w:rFonts w:eastAsiaTheme="minorEastAsia"/>
          <w:i/>
          <w:lang w:val="es-ES_tradnl"/>
        </w:rPr>
        <w:t>(en miles de francos suizos)</w:t>
      </w:r>
    </w:p>
    <w:p w:rsidR="001A2871" w:rsidRPr="00A34388" w:rsidRDefault="001A2871" w:rsidP="001A2871">
      <w:pPr>
        <w:rPr>
          <w:lang w:val="es-ES_tradnl"/>
        </w:rPr>
      </w:pPr>
    </w:p>
    <w:tbl>
      <w:tblPr>
        <w:tblW w:w="9371" w:type="dxa"/>
        <w:tblInd w:w="93" w:type="dxa"/>
        <w:tblLook w:val="04A0" w:firstRow="1" w:lastRow="0" w:firstColumn="1" w:lastColumn="0" w:noHBand="0" w:noVBand="1"/>
      </w:tblPr>
      <w:tblGrid>
        <w:gridCol w:w="2425"/>
        <w:gridCol w:w="1736"/>
        <w:gridCol w:w="1737"/>
        <w:gridCol w:w="1736"/>
        <w:gridCol w:w="1737"/>
      </w:tblGrid>
      <w:tr w:rsidR="001A2871" w:rsidRPr="00A34388" w:rsidTr="00853209">
        <w:trPr>
          <w:trHeight w:val="45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2.998</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3.061</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3.061</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1.505</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1.255</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1.121</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89%</w:t>
            </w:r>
          </w:p>
        </w:tc>
      </w:tr>
      <w:tr w:rsidR="001A2871" w:rsidRPr="00A34388" w:rsidTr="00853209">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4.503</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4.316</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4.183</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97%</w:t>
            </w:r>
          </w:p>
        </w:tc>
      </w:tr>
    </w:tbl>
    <w:p w:rsidR="001A2871" w:rsidRPr="00A34388" w:rsidRDefault="001A2871" w:rsidP="001A2871">
      <w:pPr>
        <w:rPr>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NOTAS:</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sz w:val="16"/>
          <w:szCs w:val="16"/>
          <w:lang w:val="es-ES_tradnl"/>
        </w:rPr>
      </w:pPr>
    </w:p>
    <w:p w:rsidR="001A2871" w:rsidRPr="00A34388" w:rsidRDefault="001A2871" w:rsidP="004C0FD5">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autoSpaceDE w:val="0"/>
        <w:autoSpaceDN w:val="0"/>
        <w:adjustRightInd w:val="0"/>
        <w:rPr>
          <w:rFonts w:cs="Arial"/>
          <w:sz w:val="19"/>
          <w:szCs w:val="19"/>
          <w:lang w:val="es-ES_tradnl"/>
        </w:rPr>
      </w:pPr>
    </w:p>
    <w:p w:rsidR="001A2871" w:rsidRPr="00A34388" w:rsidRDefault="001A2871" w:rsidP="001A2871">
      <w:pPr>
        <w:autoSpaceDE w:val="0"/>
        <w:autoSpaceDN w:val="0"/>
        <w:adjustRightInd w:val="0"/>
        <w:rPr>
          <w:rFonts w:cs="Arial"/>
          <w:sz w:val="19"/>
          <w:szCs w:val="19"/>
          <w:lang w:val="es-ES_tradnl"/>
        </w:rPr>
      </w:pPr>
    </w:p>
    <w:p w:rsidR="001A2871" w:rsidRPr="00332758" w:rsidRDefault="001A2871" w:rsidP="001A2871">
      <w:pPr>
        <w:tabs>
          <w:tab w:val="left" w:pos="709"/>
        </w:tabs>
        <w:autoSpaceDE w:val="0"/>
        <w:autoSpaceDN w:val="0"/>
        <w:adjustRightInd w:val="0"/>
        <w:rPr>
          <w:rFonts w:cs="Arial"/>
          <w:szCs w:val="20"/>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keepNext/>
        <w:tabs>
          <w:tab w:val="left" w:pos="709"/>
        </w:tabs>
        <w:autoSpaceDE w:val="0"/>
        <w:autoSpaceDN w:val="0"/>
        <w:jc w:val="both"/>
        <w:rPr>
          <w:szCs w:val="20"/>
          <w:lang w:val="es-ES_tradnl"/>
        </w:rPr>
      </w:pPr>
      <w:r w:rsidRPr="00332758">
        <w:rPr>
          <w:lang w:val="es-ES_tradnl"/>
        </w:rPr>
        <w:t>13.5.</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keepNext/>
        <w:autoSpaceDE w:val="0"/>
        <w:autoSpaceDN w:val="0"/>
        <w:jc w:val="both"/>
        <w:rPr>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332758">
        <w:rPr>
          <w:lang w:val="es-ES_tradnl"/>
        </w:rPr>
        <w:t>13.6.</w:t>
      </w:r>
      <w:r w:rsidRPr="00A34388">
        <w:rPr>
          <w:lang w:val="es-ES_tradnl"/>
        </w:rPr>
        <w:tab/>
      </w:r>
      <w:r w:rsidRPr="00332758">
        <w:rPr>
          <w:lang w:val="es-ES_tradnl"/>
        </w:rPr>
        <w:t xml:space="preserve">Los ajustes efectuados respecto de los distintos resultados son consecuencia de un reconocimiento más preciso de las actividades específicas relacionadas con cada uno de los resultados. </w:t>
      </w:r>
      <w:r w:rsidR="00537926" w:rsidRPr="00332758">
        <w:rPr>
          <w:lang w:val="es-ES_tradnl"/>
        </w:rPr>
        <w:t xml:space="preserve"> </w:t>
      </w:r>
      <w:r w:rsidRPr="00A34388">
        <w:rPr>
          <w:lang w:val="es-ES_tradnl"/>
        </w:rPr>
        <w:t>El aumento de los recursos relativos al resultado IV.2 (Mejora en el acceso y la utilización de la información y los conocimientos sobre P.I.) se debe a la reasignación de ciertas actividades del resultado IV.3 (Difusión de las colecciones sobre patentes) al resultado IV.4 (Puntualidad de las actualizaciones de PATENTSCOPE).</w:t>
      </w:r>
    </w:p>
    <w:p w:rsidR="001A2871" w:rsidRPr="00A34388" w:rsidRDefault="001A2871" w:rsidP="001A2871">
      <w:pPr>
        <w:autoSpaceDE w:val="0"/>
        <w:autoSpaceDN w:val="0"/>
        <w:adjustRightInd w:val="0"/>
        <w:jc w:val="both"/>
        <w:rPr>
          <w:rFonts w:cs="Arial"/>
          <w:szCs w:val="20"/>
          <w:lang w:val="es-ES_tradnl"/>
        </w:rPr>
      </w:pPr>
    </w:p>
    <w:p w:rsidR="004C0FD5" w:rsidRPr="00A34388" w:rsidRDefault="004C0FD5">
      <w:pPr>
        <w:rPr>
          <w:lang w:val="es-ES_tradnl"/>
        </w:rPr>
      </w:pPr>
      <w:r w:rsidRPr="00A34388">
        <w:rPr>
          <w:lang w:val="es-ES_tradnl"/>
        </w:rPr>
        <w:br w:type="page"/>
      </w:r>
    </w:p>
    <w:p w:rsidR="001A2871" w:rsidRPr="00A34388" w:rsidRDefault="001A2871" w:rsidP="001A2871">
      <w:pPr>
        <w:tabs>
          <w:tab w:val="left" w:pos="709"/>
        </w:tabs>
        <w:autoSpaceDE w:val="0"/>
        <w:autoSpaceDN w:val="0"/>
        <w:adjustRightInd w:val="0"/>
        <w:jc w:val="both"/>
        <w:rPr>
          <w:rFonts w:cs="Arial"/>
          <w:szCs w:val="20"/>
          <w:u w:val="single"/>
          <w:lang w:val="es-ES_tradnl"/>
        </w:rPr>
      </w:pPr>
      <w:r w:rsidRPr="00A34388">
        <w:rPr>
          <w:lang w:val="es-ES_tradnl"/>
        </w:rPr>
        <w:lastRenderedPageBreak/>
        <w:t>B.</w:t>
      </w:r>
      <w:r w:rsidRPr="00A34388">
        <w:rPr>
          <w:lang w:val="es-ES_tradnl"/>
        </w:rPr>
        <w:tab/>
      </w:r>
      <w:r w:rsidRPr="00A34388">
        <w:rPr>
          <w:u w:val="single"/>
          <w:lang w:val="es-ES_tradnl"/>
        </w:rPr>
        <w:t xml:space="preserve">Utilización del presupuesto </w:t>
      </w:r>
      <w:r w:rsidR="001B6AC7" w:rsidRPr="00A34388">
        <w:rPr>
          <w:u w:val="single"/>
          <w:lang w:val="es-ES_tradnl"/>
        </w:rPr>
        <w:t>en </w:t>
      </w:r>
      <w:r w:rsidRPr="00A34388">
        <w:rPr>
          <w:u w:val="single"/>
          <w:lang w:val="es-ES_tradnl"/>
        </w:rPr>
        <w:t>2012/13</w:t>
      </w:r>
    </w:p>
    <w:p w:rsidR="001A2871" w:rsidRPr="00A34388" w:rsidRDefault="001A2871" w:rsidP="001A2871">
      <w:pPr>
        <w:tabs>
          <w:tab w:val="left" w:pos="709"/>
        </w:tabs>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A34388">
        <w:rPr>
          <w:lang w:val="es-ES_tradnl"/>
        </w:rPr>
        <w:t>13.7.</w:t>
      </w:r>
      <w:r w:rsidRPr="00A34388">
        <w:rPr>
          <w:lang w:val="es-ES_tradnl"/>
        </w:rPr>
        <w:tab/>
        <w:t xml:space="preserve">La utilización del presupuesto no relativo al personal fue ligeramente inferior a lo previsto, principalmente debido a que se gastó menos de lo esperado en servidores de bases de datos, </w:t>
      </w:r>
      <w:r w:rsidR="00E56D8A">
        <w:rPr>
          <w:lang w:val="es-ES_tradnl"/>
        </w:rPr>
        <w:t xml:space="preserve">cuya adquisición se efectuó de forma centralizada en </w:t>
      </w:r>
      <w:r w:rsidRPr="00A34388">
        <w:rPr>
          <w:lang w:val="es-ES_tradnl"/>
        </w:rPr>
        <w:t xml:space="preserve">el </w:t>
      </w:r>
      <w:r w:rsidR="00E56D8A">
        <w:rPr>
          <w:lang w:val="es-ES_tradnl"/>
        </w:rPr>
        <w:t>marco del programa 25.</w:t>
      </w:r>
    </w:p>
    <w:p w:rsidR="001A2871" w:rsidRPr="00A34388" w:rsidRDefault="001A2871" w:rsidP="001A2871">
      <w:pPr>
        <w:rPr>
          <w:lang w:val="es-ES_tradnl"/>
        </w:rPr>
      </w:pPr>
      <w:r w:rsidRPr="00A34388">
        <w:rPr>
          <w:lang w:val="es-ES_tradnl"/>
        </w:rPr>
        <w:br w:type="page"/>
      </w:r>
    </w:p>
    <w:p w:rsidR="00391D6B" w:rsidRPr="003934C8" w:rsidRDefault="00391D6B" w:rsidP="00391D6B">
      <w:pPr>
        <w:pStyle w:val="Heading3"/>
        <w:rPr>
          <w:rFonts w:hint="eastAsia"/>
          <w:lang w:val="es-ES"/>
        </w:rPr>
      </w:pPr>
      <w:bookmarkStart w:id="50" w:name="_Toc394319064"/>
      <w:bookmarkStart w:id="51" w:name="_Toc395279670"/>
      <w:r w:rsidRPr="003934C8">
        <w:rPr>
          <w:lang w:val="es-ES"/>
        </w:rPr>
        <w:lastRenderedPageBreak/>
        <w:t>Programa 14</w:t>
      </w:r>
      <w:r w:rsidRPr="003934C8">
        <w:rPr>
          <w:lang w:val="es-ES"/>
        </w:rPr>
        <w:tab/>
        <w:t>Servicios de acceso a la información y a los conocimientos</w:t>
      </w:r>
      <w:bookmarkEnd w:id="50"/>
      <w:bookmarkEnd w:id="51"/>
    </w:p>
    <w:p w:rsidR="00391D6B" w:rsidRPr="00332758" w:rsidRDefault="00391D6B" w:rsidP="00391D6B">
      <w:pPr>
        <w:rPr>
          <w:lang w:val="es-ES_tradnl"/>
        </w:rPr>
      </w:pPr>
    </w:p>
    <w:p w:rsidR="00391D6B" w:rsidRPr="00E34A2F" w:rsidRDefault="00391D6B" w:rsidP="00391D6B">
      <w:pPr>
        <w:rPr>
          <w:b/>
          <w:sz w:val="22"/>
          <w:szCs w:val="22"/>
          <w:lang w:val="es-ES_tradnl"/>
        </w:rPr>
      </w:pPr>
      <w:bookmarkStart w:id="52" w:name="_Toc394319065"/>
      <w:bookmarkStart w:id="53" w:name="_Toc394914510"/>
      <w:r w:rsidRPr="00E34A2F">
        <w:rPr>
          <w:b/>
          <w:sz w:val="22"/>
          <w:szCs w:val="22"/>
          <w:lang w:val="es-ES_tradnl"/>
        </w:rPr>
        <w:t>Director del Programa</w:t>
      </w:r>
      <w:r w:rsidRPr="00E34A2F">
        <w:rPr>
          <w:b/>
          <w:sz w:val="22"/>
          <w:szCs w:val="22"/>
          <w:lang w:val="es-ES_tradnl"/>
        </w:rPr>
        <w:tab/>
        <w:t>Sr Y. Takagi</w:t>
      </w:r>
      <w:bookmarkEnd w:id="52"/>
      <w:bookmarkEnd w:id="53"/>
    </w:p>
    <w:p w:rsidR="001A2871" w:rsidRPr="00A34388" w:rsidRDefault="001A2871" w:rsidP="001A2871">
      <w:pPr>
        <w:ind w:left="2268" w:hanging="2268"/>
        <w:rPr>
          <w:sz w:val="22"/>
          <w:szCs w:val="22"/>
          <w:lang w:val="es-ES_tradnl"/>
        </w:rPr>
      </w:pPr>
    </w:p>
    <w:p w:rsidR="001A2871" w:rsidRPr="00A34388" w:rsidRDefault="001A2871" w:rsidP="001A2871">
      <w:pPr>
        <w:ind w:left="2268" w:hanging="2268"/>
        <w:rPr>
          <w:bCs/>
          <w:sz w:val="22"/>
          <w:szCs w:val="22"/>
          <w:lang w:val="es-ES_tradnl"/>
        </w:rPr>
      </w:pPr>
    </w:p>
    <w:p w:rsidR="001A2871" w:rsidRPr="00A34388" w:rsidRDefault="001A2871" w:rsidP="001A2871">
      <w:pPr>
        <w:ind w:left="2268" w:hanging="2268"/>
        <w:jc w:val="both"/>
        <w:rPr>
          <w:bCs/>
          <w:sz w:val="22"/>
          <w:szCs w:val="22"/>
          <w:lang w:val="es-ES_tradnl"/>
        </w:rPr>
      </w:pPr>
      <w:r w:rsidRPr="00A34388">
        <w:rPr>
          <w:sz w:val="22"/>
          <w:lang w:val="es-ES_tradnl"/>
        </w:rPr>
        <w:t>RESEÑA DE LOS AVANCES LOGRADOS EN EL BIENIO 2012/2013</w:t>
      </w:r>
    </w:p>
    <w:p w:rsidR="001A2871" w:rsidRPr="00A34388" w:rsidRDefault="001A2871" w:rsidP="001A2871">
      <w:pPr>
        <w:keepNext/>
        <w:keepLines/>
        <w:jc w:val="both"/>
        <w:rPr>
          <w:rFonts w:cs="Arial"/>
          <w:sz w:val="22"/>
          <w:szCs w:val="22"/>
          <w:lang w:val="es-ES_tradnl"/>
        </w:rPr>
      </w:pPr>
    </w:p>
    <w:p w:rsidR="001A2871" w:rsidRPr="00A34388" w:rsidRDefault="001A2871" w:rsidP="001A2871">
      <w:pPr>
        <w:pStyle w:val="Style1"/>
        <w:numPr>
          <w:ilvl w:val="0"/>
          <w:numId w:val="0"/>
        </w:numPr>
        <w:tabs>
          <w:tab w:val="left" w:pos="709"/>
        </w:tabs>
        <w:jc w:val="both"/>
        <w:rPr>
          <w:rFonts w:cs="Arial"/>
          <w:bCs/>
          <w:sz w:val="22"/>
          <w:szCs w:val="22"/>
          <w:lang w:val="es-ES_tradnl"/>
        </w:rPr>
      </w:pPr>
      <w:r w:rsidRPr="00A34388">
        <w:rPr>
          <w:lang w:val="es-ES_tradnl"/>
        </w:rPr>
        <w:t>14.1.</w:t>
      </w:r>
      <w:r w:rsidRPr="00A34388">
        <w:rPr>
          <w:lang w:val="es-ES_tradnl"/>
        </w:rPr>
        <w:tab/>
        <w:t>Gracias a los avances del bienio 2012/13, el número de Estados miembros que han creado centros de apoyo a la tecnología y la innovación (CATI) en sus países asciende actualmente a un total de 39.  Durante el bienio se llevaron a cabo 55 actividades de formación y ocho conferencias regionales para personal de CATI.</w:t>
      </w:r>
    </w:p>
    <w:p w:rsidR="001A2871" w:rsidRPr="00A34388" w:rsidRDefault="001A2871" w:rsidP="001A2871">
      <w:pPr>
        <w:pStyle w:val="Style1"/>
        <w:numPr>
          <w:ilvl w:val="0"/>
          <w:numId w:val="0"/>
        </w:numPr>
        <w:tabs>
          <w:tab w:val="left" w:pos="709"/>
        </w:tabs>
        <w:jc w:val="both"/>
        <w:rPr>
          <w:lang w:val="es-ES_tradnl"/>
        </w:rPr>
      </w:pPr>
    </w:p>
    <w:p w:rsidR="001A2871" w:rsidRPr="00A34388" w:rsidRDefault="001A2871" w:rsidP="001A2871">
      <w:pPr>
        <w:pStyle w:val="Style1"/>
        <w:numPr>
          <w:ilvl w:val="0"/>
          <w:numId w:val="0"/>
        </w:numPr>
        <w:tabs>
          <w:tab w:val="left" w:pos="709"/>
        </w:tabs>
        <w:jc w:val="both"/>
        <w:rPr>
          <w:lang w:val="es-ES_tradnl"/>
        </w:rPr>
      </w:pPr>
      <w:r w:rsidRPr="00A34388">
        <w:rPr>
          <w:lang w:val="es-ES_tradnl"/>
        </w:rPr>
        <w:t>14.2.</w:t>
      </w:r>
      <w:r w:rsidRPr="00A34388">
        <w:rPr>
          <w:lang w:val="es-ES_tradnl"/>
        </w:rPr>
        <w:tab/>
        <w:t xml:space="preserve">El programa se centró en el refuerzo de la sostenibilidad a largo plazo de las redes mediante un programa estructurado de creación de capacidad a escala local, que incluye actividades </w:t>
      </w:r>
      <w:r w:rsidRPr="00A34388">
        <w:rPr>
          <w:i/>
          <w:lang w:val="es-ES_tradnl"/>
        </w:rPr>
        <w:t>in situ</w:t>
      </w:r>
      <w:r w:rsidRPr="00A34388">
        <w:rPr>
          <w:lang w:val="es-ES_tradnl"/>
        </w:rPr>
        <w:t xml:space="preserve"> de formación y sensibilización, sesiones adicionales de formación de formadores y planificación de proyectos y la elaboración de nuevo material de capacitación. </w:t>
      </w:r>
    </w:p>
    <w:p w:rsidR="001A2871" w:rsidRPr="00A34388" w:rsidRDefault="001A2871" w:rsidP="001A2871">
      <w:pPr>
        <w:pStyle w:val="Style1"/>
        <w:numPr>
          <w:ilvl w:val="0"/>
          <w:numId w:val="0"/>
        </w:numPr>
        <w:tabs>
          <w:tab w:val="left" w:pos="709"/>
        </w:tabs>
        <w:jc w:val="both"/>
        <w:rPr>
          <w:lang w:val="es-ES_tradnl"/>
        </w:rPr>
      </w:pPr>
      <w:r w:rsidRPr="00A34388">
        <w:rPr>
          <w:lang w:val="es-ES_tradnl"/>
        </w:rPr>
        <w:t xml:space="preserve"> </w:t>
      </w:r>
    </w:p>
    <w:p w:rsidR="001A2871" w:rsidRPr="00A34388" w:rsidRDefault="001A2871" w:rsidP="001A2871">
      <w:pPr>
        <w:pStyle w:val="Style1"/>
        <w:numPr>
          <w:ilvl w:val="0"/>
          <w:numId w:val="0"/>
        </w:numPr>
        <w:tabs>
          <w:tab w:val="left" w:pos="709"/>
        </w:tabs>
        <w:jc w:val="both"/>
        <w:rPr>
          <w:lang w:val="es-ES_tradnl"/>
        </w:rPr>
      </w:pPr>
      <w:r w:rsidRPr="00A34388">
        <w:rPr>
          <w:lang w:val="es-ES_tradnl"/>
        </w:rPr>
        <w:t>14.3.</w:t>
      </w:r>
      <w:r w:rsidRPr="00A34388">
        <w:rPr>
          <w:lang w:val="es-ES_tradnl"/>
        </w:rPr>
        <w:tab/>
        <w:t>La creación de redes en Internet a través de la plataforma de gestión de conocimientos y redes sociales eTISC</w:t>
      </w:r>
      <w:r w:rsidRPr="00A34388">
        <w:rPr>
          <w:vertAlign w:val="superscript"/>
          <w:lang w:val="es-ES_tradnl"/>
        </w:rPr>
        <w:footnoteReference w:id="25"/>
      </w:r>
      <w:r w:rsidRPr="00A34388">
        <w:rPr>
          <w:lang w:val="es-ES_tradnl"/>
        </w:rPr>
        <w:t>, puesta en funcionamiento a finales de 2012, contribuyó a fomentar el intercambio de experiencias y prácticas óptima</w:t>
      </w:r>
      <w:r w:rsidR="00E56D8A">
        <w:rPr>
          <w:lang w:val="es-ES_tradnl"/>
        </w:rPr>
        <w:t>s</w:t>
      </w:r>
      <w:r w:rsidRPr="00A34388">
        <w:rPr>
          <w:lang w:val="es-ES_tradnl"/>
        </w:rPr>
        <w:t xml:space="preserve"> en Internet, con casi 700 usuarios registrados a finales de 2013.  Los seis primeros seminarios de Internet, que reproducían las presentaciones de formación </w:t>
      </w:r>
      <w:r w:rsidRPr="00A34388">
        <w:rPr>
          <w:i/>
          <w:lang w:val="es-ES_tradnl"/>
        </w:rPr>
        <w:t>in situ</w:t>
      </w:r>
      <w:r w:rsidRPr="00A34388">
        <w:rPr>
          <w:lang w:val="es-ES_tradnl"/>
        </w:rPr>
        <w:t xml:space="preserve"> e incluían sesiones de preguntas y respuestas en directo, comenzaron </w:t>
      </w:r>
      <w:r w:rsidR="00F218E5" w:rsidRPr="00A34388">
        <w:rPr>
          <w:lang w:val="es-ES_tradnl"/>
        </w:rPr>
        <w:t xml:space="preserve">a impartirse </w:t>
      </w:r>
      <w:r w:rsidRPr="00A34388">
        <w:rPr>
          <w:lang w:val="es-ES_tradnl"/>
        </w:rPr>
        <w:t xml:space="preserve">a mediados de 2013, y el programa se está ampliando rápidamente.  También en 2013 se puso en marcha un enfoque regional para el desarrollo de redes CATI en colaboración con organizaciones intergubernamentales de África (ARIPO y OAPI), Asia (ASEAN) y los países árabes (Organización de Cooperación Islámica). </w:t>
      </w:r>
    </w:p>
    <w:p w:rsidR="001A2871" w:rsidRPr="00A34388" w:rsidRDefault="001A2871" w:rsidP="001A2871">
      <w:pPr>
        <w:pStyle w:val="Style1"/>
        <w:numPr>
          <w:ilvl w:val="0"/>
          <w:numId w:val="0"/>
        </w:numPr>
        <w:tabs>
          <w:tab w:val="left" w:pos="709"/>
        </w:tabs>
        <w:jc w:val="both"/>
        <w:rPr>
          <w:lang w:val="es-ES_tradnl"/>
        </w:rPr>
      </w:pPr>
    </w:p>
    <w:p w:rsidR="001A2871" w:rsidRPr="00A34388" w:rsidRDefault="001A2871" w:rsidP="001A2871">
      <w:pPr>
        <w:pStyle w:val="Style1"/>
        <w:numPr>
          <w:ilvl w:val="0"/>
          <w:numId w:val="0"/>
        </w:numPr>
        <w:tabs>
          <w:tab w:val="left" w:pos="709"/>
        </w:tabs>
        <w:jc w:val="both"/>
        <w:rPr>
          <w:lang w:val="es-ES_tradnl"/>
        </w:rPr>
      </w:pPr>
      <w:r w:rsidRPr="00A34388">
        <w:rPr>
          <w:lang w:val="es-ES_tradnl"/>
        </w:rPr>
        <w:t>14.4.</w:t>
      </w:r>
      <w:r w:rsidRPr="00A34388">
        <w:rPr>
          <w:lang w:val="es-ES_tradnl"/>
        </w:rPr>
        <w:tab/>
        <w:t xml:space="preserve">A finales de 2012 se publicó una guía didáctica </w:t>
      </w:r>
      <w:r w:rsidR="00E56D8A" w:rsidRPr="00A34388">
        <w:rPr>
          <w:lang w:val="es-ES_tradnl"/>
        </w:rPr>
        <w:t xml:space="preserve">interactiva </w:t>
      </w:r>
      <w:r w:rsidRPr="00A34388">
        <w:rPr>
          <w:lang w:val="es-ES_tradnl"/>
        </w:rPr>
        <w:t xml:space="preserve">en formato electrónico sobre el uso y la explotación de la información sobre patentes.  </w:t>
      </w:r>
      <w:r w:rsidRPr="00332758">
        <w:rPr>
          <w:lang w:val="es-ES_tradnl"/>
        </w:rPr>
        <w:t>La guía está disponible tanto en CD-ROM como en Internet</w:t>
      </w:r>
      <w:r w:rsidRPr="00332758">
        <w:rPr>
          <w:rStyle w:val="FootnoteReference"/>
          <w:lang w:val="es-ES_tradnl"/>
        </w:rPr>
        <w:footnoteReference w:id="26"/>
      </w:r>
      <w:r w:rsidRPr="00332758">
        <w:rPr>
          <w:lang w:val="es-ES_tradnl"/>
        </w:rPr>
        <w:t xml:space="preserve"> y consta de tres apartados: Información básica sobre patentes, Búsqueda y recuperación de patentes, y Análisis de patentes.</w:t>
      </w:r>
      <w:r w:rsidRPr="00A34388">
        <w:rPr>
          <w:lang w:val="es-ES_tradnl"/>
        </w:rPr>
        <w:t xml:space="preserve">  Tras la versión inicial en inglés, a finales de 2013 se publicó una versión en francés</w:t>
      </w:r>
      <w:r w:rsidRPr="00A34388">
        <w:rPr>
          <w:vertAlign w:val="superscript"/>
          <w:lang w:val="es-ES_tradnl"/>
        </w:rPr>
        <w:footnoteReference w:id="27"/>
      </w:r>
      <w:r w:rsidRPr="00A34388">
        <w:rPr>
          <w:lang w:val="es-ES_tradnl"/>
        </w:rPr>
        <w:t xml:space="preserve">. </w:t>
      </w:r>
    </w:p>
    <w:p w:rsidR="001A2871" w:rsidRPr="00A34388" w:rsidRDefault="001A2871" w:rsidP="001A2871">
      <w:pPr>
        <w:pStyle w:val="Style1"/>
        <w:numPr>
          <w:ilvl w:val="0"/>
          <w:numId w:val="0"/>
        </w:numPr>
        <w:tabs>
          <w:tab w:val="left" w:pos="709"/>
        </w:tabs>
        <w:jc w:val="both"/>
        <w:rPr>
          <w:lang w:val="es-ES_tradnl"/>
        </w:rPr>
      </w:pPr>
    </w:p>
    <w:p w:rsidR="001A2871" w:rsidRPr="00A34388" w:rsidRDefault="001A2871" w:rsidP="001A2871">
      <w:pPr>
        <w:pStyle w:val="Style1"/>
        <w:numPr>
          <w:ilvl w:val="0"/>
          <w:numId w:val="0"/>
        </w:numPr>
        <w:tabs>
          <w:tab w:val="left" w:pos="709"/>
        </w:tabs>
        <w:jc w:val="both"/>
        <w:rPr>
          <w:lang w:val="es-ES_tradnl"/>
        </w:rPr>
      </w:pPr>
      <w:r w:rsidRPr="00A34388">
        <w:rPr>
          <w:lang w:val="es-ES_tradnl"/>
        </w:rPr>
        <w:t>14.5.</w:t>
      </w:r>
      <w:r w:rsidRPr="00A34388">
        <w:rPr>
          <w:lang w:val="es-ES_tradnl"/>
        </w:rPr>
        <w:tab/>
        <w:t xml:space="preserve">El volumen de contenido accesible de las publicaciones científicas y técnicas en el </w:t>
      </w:r>
      <w:r w:rsidR="00E56D8A" w:rsidRPr="00A34388">
        <w:rPr>
          <w:lang w:val="es-ES_tradnl"/>
        </w:rPr>
        <w:t xml:space="preserve">Programa </w:t>
      </w:r>
      <w:r w:rsidRPr="00A34388">
        <w:rPr>
          <w:lang w:val="es-ES_tradnl"/>
        </w:rPr>
        <w:t xml:space="preserve">de acceso a la investigación para el desarrollo y la innovación (aRDI) registró un aumento espectacular durante el bienio, pasando de 250 publicaciones en 2012 a 13.000 en publicaciones y 22.000 libros electrónicos en 2013, con más de 250 usuarios institucionales registrados.  También continuó incrementándose de forma constante, aunque a un ritmo más moderado, el número de usuarios registrados activos del </w:t>
      </w:r>
      <w:r w:rsidR="00E56D8A" w:rsidRPr="00A34388">
        <w:rPr>
          <w:lang w:val="es-ES_tradnl"/>
        </w:rPr>
        <w:t xml:space="preserve">Programa </w:t>
      </w:r>
      <w:r w:rsidRPr="00A34388">
        <w:rPr>
          <w:lang w:val="es-ES_tradnl"/>
        </w:rPr>
        <w:t xml:space="preserve">de acceso a la información especializada sobre patentes (ASPI), que da acceso a bases de datos comerciales especializadas en patentes, que llegó hasta los 20 usuarios institucionales activos.   </w:t>
      </w:r>
    </w:p>
    <w:p w:rsidR="001A2871" w:rsidRPr="00A34388" w:rsidRDefault="001A2871" w:rsidP="001A2871">
      <w:pPr>
        <w:tabs>
          <w:tab w:val="left" w:pos="709"/>
        </w:tabs>
        <w:jc w:val="both"/>
        <w:rPr>
          <w:rFonts w:cs="Arial"/>
          <w:sz w:val="22"/>
          <w:szCs w:val="22"/>
          <w:lang w:val="es-ES_tradnl"/>
        </w:rPr>
      </w:pPr>
    </w:p>
    <w:p w:rsidR="001A2871" w:rsidRPr="00A34388" w:rsidRDefault="001A2871" w:rsidP="001A2871">
      <w:pPr>
        <w:tabs>
          <w:tab w:val="left" w:pos="709"/>
        </w:tabs>
        <w:jc w:val="both"/>
        <w:rPr>
          <w:lang w:val="es-ES_tradnl"/>
        </w:rPr>
      </w:pPr>
      <w:r w:rsidRPr="00332758">
        <w:rPr>
          <w:lang w:val="es-ES_tradnl"/>
        </w:rPr>
        <w:t>14.6.</w:t>
      </w:r>
      <w:r w:rsidRPr="00A34388">
        <w:rPr>
          <w:lang w:val="es-ES_tradnl"/>
        </w:rPr>
        <w:tab/>
      </w:r>
      <w:r w:rsidRPr="00332758">
        <w:rPr>
          <w:lang w:val="es-ES_tradnl"/>
        </w:rPr>
        <w:t>Durante más de 30 años, la OMPI ha facilitado a los países en desarrollo y a los PMA dos servicios de información sobre patentes, a saber, los servicios de información en materia de patentes (WPIS) y el programa de cooperación internacional en el examen (antes llamado ICSEI).</w:t>
      </w:r>
      <w:r w:rsidRPr="00A34388">
        <w:rPr>
          <w:lang w:val="es-ES_tradnl"/>
        </w:rPr>
        <w:t xml:space="preserve">  </w:t>
      </w:r>
      <w:r w:rsidRPr="00332758">
        <w:rPr>
          <w:lang w:val="es-ES_tradnl"/>
        </w:rPr>
        <w:t>Estos servicios proporcionan informes de búsqueda de información tecnológica a petición de las instituciones del sector público y privado e informes de búsqueda y examen sobre solicitudes de patente pendientes a instancias de las oficinas de patentes en los países en desarrollo.</w:t>
      </w:r>
      <w:r w:rsidRPr="00A34388">
        <w:rPr>
          <w:lang w:val="es-ES_tradnl"/>
        </w:rPr>
        <w:t xml:space="preserve">  La demanda de informes de búsqueda de información tecnológica experimentó un descenso del 16,4% durante el bienio con respecto al bienio anterior, debido en parte a la creación de las redes nacionales de CATI, que de forma gradual acabarán por convertirse en el mecanismo de distribución de este tipo de informes.  Se recibió un total de 214 solicitudes relativas a búsqueda y examen para el servicio de cooperación internacional en el examen, lo que supone un incremento del 8,6% de la demanda.  El servicio de cooperación en el examen continuó organizando talleres de formación para examinadores de patentes de oficinas de patentes de países en desarrollo.  Se celebraron tres talleres subregionales sobre la utilización de los resultados del examen de patentes de otras fases de tramitación nacionales en Harare (julio de 2012), Yaundé (enero de 2013) y Riad (diciembre de 2013) para 25 participantes de oficinas de P.I. de habla inglesa y francesa y 12 participantes de diez países árabes, respectivamente.  Asimismo, se organizaron tres talleres nacionales </w:t>
      </w:r>
      <w:r w:rsidRPr="00A34388">
        <w:rPr>
          <w:lang w:val="es-ES_tradnl"/>
        </w:rPr>
        <w:lastRenderedPageBreak/>
        <w:t xml:space="preserve">para las oficinas de patentes de Camboya (tres participantes), Tailandia (35 participantes) y Viet Nam (60 participantes). </w:t>
      </w:r>
    </w:p>
    <w:p w:rsidR="001A2871" w:rsidRPr="00A34388" w:rsidRDefault="001A2871" w:rsidP="001A2871">
      <w:pPr>
        <w:tabs>
          <w:tab w:val="left" w:pos="709"/>
        </w:tabs>
        <w:jc w:val="both"/>
        <w:rPr>
          <w:lang w:val="es-ES_tradnl"/>
        </w:rPr>
      </w:pPr>
    </w:p>
    <w:p w:rsidR="001A2871" w:rsidRPr="00A34388" w:rsidRDefault="001A2871" w:rsidP="001A2871">
      <w:pPr>
        <w:keepNext/>
        <w:keepLines/>
        <w:tabs>
          <w:tab w:val="left" w:pos="709"/>
        </w:tabs>
        <w:jc w:val="both"/>
        <w:rPr>
          <w:rFonts w:eastAsia="MS Mincho" w:cs="ArialMT"/>
          <w:sz w:val="22"/>
          <w:szCs w:val="22"/>
          <w:lang w:val="es-ES_tradnl"/>
        </w:rPr>
      </w:pPr>
      <w:r w:rsidRPr="00A34388">
        <w:rPr>
          <w:lang w:val="es-ES_tradnl"/>
        </w:rPr>
        <w:t>14.7.</w:t>
      </w:r>
      <w:r w:rsidRPr="00A34388">
        <w:rPr>
          <w:lang w:val="es-ES_tradnl"/>
        </w:rPr>
        <w:tab/>
        <w:t>Los servicios de información en materia de patentes (WPIS)</w:t>
      </w:r>
      <w:r w:rsidR="007C7D55">
        <w:rPr>
          <w:lang w:val="es-ES_tradnl"/>
        </w:rPr>
        <w:t>, comenzados en 2011,</w:t>
      </w:r>
      <w:r w:rsidRPr="00A34388">
        <w:rPr>
          <w:lang w:val="es-ES_tradnl"/>
        </w:rPr>
        <w:t xml:space="preserve"> completaron durante el bienio cuatro informes sobre la actividad de patentamiento que ya se habían iniciado:  Reciclaje de vertidos electrónicos (E</w:t>
      </w:r>
      <w:r w:rsidRPr="00A34388">
        <w:rPr>
          <w:lang w:val="es-ES_tradnl"/>
        </w:rPr>
        <w:noBreakHyphen/>
        <w:t>waste)</w:t>
      </w:r>
      <w:r w:rsidRPr="00A34388">
        <w:rPr>
          <w:rStyle w:val="FootnoteReference"/>
          <w:lang w:val="es-ES_tradnl"/>
        </w:rPr>
        <w:footnoteReference w:id="28"/>
      </w:r>
      <w:r w:rsidRPr="00A34388">
        <w:rPr>
          <w:lang w:val="es-ES_tradnl"/>
        </w:rPr>
        <w:t xml:space="preserve"> conjuntamente con el Programa de las Naciones Unidas para el Medio Ambiente (PNUMA) y la Secretaría del Convenio de Basilea;  actividad de patentamiento relativa a los recursos genéticos animales;  tecnologías relativas al acelerador de partículas y sus usos industriales y médicos con la Organización Europea de Investigaciones Nucleares (CERN);  y dispositivos de asistencia y tecnologías conexas para personas con discapacidad visual y auditiva.  Se han actualizado dos informes de análisis de la actividad de patentamiento sobre el ritonavir y determinadas enfermedades desatendidas.  También se ha mejorado y actualizado el sitio web dedicado a tales informes mediante la adición de 51 informes sobre la actividad de patentamiento.  Asimismo, se han diseñado infografías para visualizar los principales hallazgos de ocho informes sobre la actividad de patentamiento.  El programa redactó en colaboración con un experto externo las guías metodológicas para la elaboración de dichos informes, cuya publicación está prevista en el segundo trimestre de 2014  Tales guías fueron examinadas en el marco de dos Talleres Regionales sobre Análisis de Patentes, celebrados en 2013 en </w:t>
      </w:r>
      <w:r w:rsidR="0065614B" w:rsidRPr="00A34388">
        <w:rPr>
          <w:lang w:val="es-ES_tradnl"/>
        </w:rPr>
        <w:t xml:space="preserve">el </w:t>
      </w:r>
      <w:r w:rsidRPr="00A34388">
        <w:rPr>
          <w:lang w:val="es-ES_tradnl"/>
        </w:rPr>
        <w:t xml:space="preserve">Brasil (Río de Janeiro) y </w:t>
      </w:r>
      <w:r w:rsidR="00640EF0" w:rsidRPr="00A34388">
        <w:rPr>
          <w:lang w:val="es-ES_tradnl"/>
        </w:rPr>
        <w:t>Filipinas</w:t>
      </w:r>
      <w:r w:rsidRPr="00A34388">
        <w:rPr>
          <w:lang w:val="es-ES_tradnl"/>
        </w:rPr>
        <w:t xml:space="preserve"> (Manila) en colaboración con el Instituto Nacional de Propiedad Industrial del Brasil (INPI) y la Oficina de Propiedad Intelectual de </w:t>
      </w:r>
      <w:r w:rsidR="00640EF0" w:rsidRPr="00A34388">
        <w:rPr>
          <w:lang w:val="es-ES_tradnl"/>
        </w:rPr>
        <w:t>Filipinas</w:t>
      </w:r>
      <w:r w:rsidRPr="00A34388">
        <w:rPr>
          <w:lang w:val="es-ES_tradnl"/>
        </w:rPr>
        <w:t xml:space="preserve"> (IPOPHL), respectivamente.  En 2013 se celebraron otros dos talleres nacionales sobre análisis de patentes en </w:t>
      </w:r>
      <w:r w:rsidR="00640EF0" w:rsidRPr="00A34388">
        <w:rPr>
          <w:lang w:val="es-ES_tradnl"/>
        </w:rPr>
        <w:t>Filipinas</w:t>
      </w:r>
      <w:r w:rsidRPr="00A34388">
        <w:rPr>
          <w:lang w:val="es-ES_tradnl"/>
        </w:rPr>
        <w:t xml:space="preserve"> (Cebú y Manila) con un total de 100 participantes de las Oficinas de Apoyo a la Innovación Tecnológica (OATI) de </w:t>
      </w:r>
      <w:r w:rsidR="00640EF0" w:rsidRPr="00A34388">
        <w:rPr>
          <w:lang w:val="es-ES_tradnl"/>
        </w:rPr>
        <w:t>Filipinas</w:t>
      </w:r>
      <w:r w:rsidRPr="00A34388">
        <w:rPr>
          <w:lang w:val="es-ES_tradnl"/>
        </w:rPr>
        <w:t>.</w:t>
      </w:r>
    </w:p>
    <w:p w:rsidR="001A2871" w:rsidRPr="00A34388" w:rsidRDefault="001A2871" w:rsidP="001A2871">
      <w:pPr>
        <w:ind w:left="2268" w:hanging="2268"/>
        <w:rPr>
          <w:bCs/>
          <w:sz w:val="22"/>
          <w:szCs w:val="22"/>
          <w:lang w:val="es-ES_tradnl"/>
        </w:rPr>
      </w:pPr>
    </w:p>
    <w:p w:rsidR="001A2871" w:rsidRPr="00A34388" w:rsidRDefault="001A2871" w:rsidP="001A2871">
      <w:pPr>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rPr>
          <w:sz w:val="22"/>
          <w:szCs w:val="22"/>
          <w:lang w:val="es-ES_tradnl"/>
        </w:rPr>
      </w:pPr>
    </w:p>
    <w:p w:rsidR="001A2871" w:rsidRPr="00A34388" w:rsidRDefault="001A2871" w:rsidP="001A2871">
      <w:pPr>
        <w:tabs>
          <w:tab w:val="left" w:pos="709"/>
        </w:tabs>
        <w:jc w:val="both"/>
        <w:rPr>
          <w:rFonts w:cs="Arial"/>
          <w:szCs w:val="20"/>
          <w:lang w:val="es-ES_tradnl"/>
        </w:rPr>
      </w:pPr>
      <w:r w:rsidRPr="00332758">
        <w:rPr>
          <w:lang w:val="es-ES_tradnl"/>
        </w:rPr>
        <w:t>14.8.</w:t>
      </w:r>
      <w:r w:rsidRPr="00A34388">
        <w:rPr>
          <w:lang w:val="es-ES_tradnl"/>
        </w:rPr>
        <w:tab/>
      </w:r>
      <w:r w:rsidRPr="00332758">
        <w:rPr>
          <w:lang w:val="es-ES_tradnl"/>
        </w:rPr>
        <w:t>El diseño, la planificación y el desarrollo de actividades en el marco del programa 14 se basaron en las recomendaciones pertinentes de la Agenda para el Desarrollo, en concreto las recomendaciones 1, 8, 19, 30 y 31.  Durante el período objeto de examen, buena parte de las actividades del programa se centraron en la puesta en marcha de dos proyectos de la Agenda para el Desarrollo, a saber:  Acceso a bases de datos especializadas y Creación de instrumentos de acceso a la información sobre patentes.</w:t>
      </w:r>
      <w:r w:rsidRPr="00A34388">
        <w:rPr>
          <w:lang w:val="es-ES_tradnl"/>
        </w:rPr>
        <w:t xml:space="preserve">  </w:t>
      </w:r>
      <w:r w:rsidRPr="00332758">
        <w:rPr>
          <w:lang w:val="es-ES_tradnl"/>
        </w:rPr>
        <w:t>Ambos proyectos finalizaron y se evaluaron durante 2012</w:t>
      </w:r>
      <w:r w:rsidR="00537926" w:rsidRPr="00332758">
        <w:rPr>
          <w:lang w:val="es-ES_tradnl"/>
        </w:rPr>
        <w:t xml:space="preserve">. </w:t>
      </w:r>
      <w:r w:rsidRPr="00A34388">
        <w:rPr>
          <w:lang w:val="es-ES_tradnl"/>
        </w:rPr>
        <w:t xml:space="preserve"> El CDIP revisó y tomó en consideración los proyectos de evaluación  y además aprobó la segunda fase de cada uno de los dos proyectos, que se finalizaron en 2013</w:t>
      </w:r>
      <w:r w:rsidR="00537926" w:rsidRPr="00A34388">
        <w:rPr>
          <w:lang w:val="es-ES_tradnl"/>
        </w:rPr>
        <w:t xml:space="preserve">. </w:t>
      </w:r>
      <w:r w:rsidRPr="00A34388">
        <w:rPr>
          <w:lang w:val="es-ES_tradnl"/>
        </w:rPr>
        <w:t xml:space="preserve"> </w:t>
      </w:r>
    </w:p>
    <w:p w:rsidR="001A2871" w:rsidRPr="00A34388" w:rsidRDefault="001A2871" w:rsidP="001A2871">
      <w:pPr>
        <w:rPr>
          <w:rFonts w:eastAsia="MS Mincho"/>
          <w:sz w:val="22"/>
          <w:szCs w:val="22"/>
          <w:lang w:val="es-ES_tradnl"/>
        </w:rPr>
      </w:pPr>
    </w:p>
    <w:p w:rsidR="001A2871" w:rsidRPr="00A34388" w:rsidRDefault="001A2871" w:rsidP="001A2871">
      <w:pPr>
        <w:ind w:left="2268" w:hanging="2268"/>
        <w:rPr>
          <w:sz w:val="22"/>
          <w:szCs w:val="22"/>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ind w:left="2268" w:hanging="2268"/>
        <w:rPr>
          <w:rFonts w:cs="Arial"/>
          <w:sz w:val="22"/>
          <w:szCs w:val="22"/>
          <w:lang w:val="es-ES_tradnl"/>
        </w:rPr>
      </w:pPr>
      <w:r w:rsidRPr="00332758">
        <w:rPr>
          <w:sz w:val="22"/>
          <w:lang w:val="es-ES_tradnl"/>
        </w:rPr>
        <w:lastRenderedPageBreak/>
        <w:t>DATOS SOBRE EL RENDIMIENTO</w:t>
      </w:r>
    </w:p>
    <w:p w:rsidR="001A2871" w:rsidRPr="00A34388" w:rsidRDefault="001A2871" w:rsidP="001A2871">
      <w:pPr>
        <w:ind w:left="2268" w:hanging="2268"/>
        <w:rPr>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5"/>
        <w:gridCol w:w="1710"/>
        <w:gridCol w:w="1636"/>
        <w:gridCol w:w="3180"/>
        <w:gridCol w:w="1276"/>
      </w:tblGrid>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1A2871" w:rsidRPr="00A34388" w:rsidTr="00853209">
        <w:trPr>
          <w:cantSplit/>
        </w:trPr>
        <w:tc>
          <w:tcPr>
            <w:tcW w:w="831"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74"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99"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redes nacionales de CATI puestas en marcha.</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rFonts w:cs="Arial"/>
                <w:color w:val="002060"/>
                <w:sz w:val="16"/>
                <w:szCs w:val="16"/>
                <w:lang w:val="es-ES_tradnl"/>
              </w:rPr>
              <w:br/>
            </w:r>
            <w:r w:rsidRPr="00A34388">
              <w:rPr>
                <w:color w:val="002060"/>
                <w:sz w:val="16"/>
                <w:lang w:val="es-ES_tradnl"/>
              </w:rPr>
              <w:t>20 redes CATI</w:t>
            </w:r>
            <w:r w:rsidRPr="00A34388">
              <w:rPr>
                <w:rStyle w:val="FootnoteReference"/>
                <w:color w:val="002060"/>
                <w:sz w:val="16"/>
                <w:lang w:val="es-ES_tradnl"/>
              </w:rPr>
              <w:footnoteReference w:id="29"/>
            </w:r>
            <w:r w:rsidRPr="00A34388">
              <w:rPr>
                <w:color w:val="002060"/>
                <w:sz w:val="16"/>
                <w:lang w:val="es-ES_tradnl"/>
              </w:rPr>
              <w:t xml:space="preserve"> África (7)</w:t>
            </w:r>
          </w:p>
          <w:p w:rsidR="001A2871" w:rsidRPr="00A34388" w:rsidRDefault="001A2871" w:rsidP="00853209">
            <w:pPr>
              <w:rPr>
                <w:rFonts w:cs="Arial"/>
                <w:color w:val="002060"/>
                <w:sz w:val="16"/>
                <w:szCs w:val="16"/>
                <w:lang w:val="es-ES_tradnl"/>
              </w:rPr>
            </w:pPr>
            <w:r w:rsidRPr="00A34388">
              <w:rPr>
                <w:color w:val="002060"/>
                <w:sz w:val="16"/>
                <w:lang w:val="es-ES_tradnl"/>
              </w:rPr>
              <w:t>región de los países árabes (4)</w:t>
            </w:r>
          </w:p>
          <w:p w:rsidR="001A2871" w:rsidRPr="00A34388" w:rsidRDefault="001A2871" w:rsidP="00853209">
            <w:pPr>
              <w:rPr>
                <w:rFonts w:cs="Arial"/>
                <w:color w:val="002060"/>
                <w:sz w:val="16"/>
                <w:szCs w:val="16"/>
                <w:lang w:val="es-ES_tradnl"/>
              </w:rPr>
            </w:pPr>
            <w:r w:rsidRPr="00332758">
              <w:rPr>
                <w:sz w:val="16"/>
                <w:lang w:val="es-ES_tradnl"/>
              </w:rPr>
              <w:t>Asia y el Pacífico (2)</w:t>
            </w:r>
          </w:p>
          <w:p w:rsidR="001A2871" w:rsidRPr="00A34388" w:rsidRDefault="001A2871" w:rsidP="00853209">
            <w:pPr>
              <w:rPr>
                <w:rFonts w:cs="Arial"/>
                <w:color w:val="002060"/>
                <w:sz w:val="16"/>
                <w:szCs w:val="16"/>
                <w:lang w:val="es-ES_tradnl"/>
              </w:rPr>
            </w:pPr>
            <w:r w:rsidRPr="00332758">
              <w:rPr>
                <w:sz w:val="16"/>
                <w:lang w:val="es-ES_tradnl"/>
              </w:rPr>
              <w:t>América Latina y el Caribe (5)</w:t>
            </w:r>
          </w:p>
          <w:p w:rsidR="001A2871" w:rsidRPr="00A34388" w:rsidRDefault="001A2871" w:rsidP="00853209">
            <w:pPr>
              <w:rPr>
                <w:rFonts w:cs="Arial"/>
                <w:color w:val="002060"/>
                <w:sz w:val="16"/>
                <w:szCs w:val="16"/>
                <w:lang w:val="es-ES_tradnl"/>
              </w:rPr>
            </w:pPr>
            <w:r w:rsidRPr="00A34388">
              <w:rPr>
                <w:color w:val="002060"/>
                <w:sz w:val="16"/>
                <w:lang w:val="es-ES_tradnl"/>
              </w:rPr>
              <w:t>determinados países de Europa y Asia (2)</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332758" w:rsidRDefault="001A2871" w:rsidP="00853209">
            <w:pPr>
              <w:rPr>
                <w:rFonts w:cs="Arial"/>
                <w:sz w:val="16"/>
                <w:szCs w:val="16"/>
                <w:lang w:val="es-ES_tradnl"/>
              </w:rPr>
            </w:pPr>
            <w:r w:rsidRPr="00332758">
              <w:rPr>
                <w:sz w:val="16"/>
                <w:lang w:val="es-ES_tradnl"/>
              </w:rPr>
              <w:t>12 redes nacionales de CATI puestas en marcha (primer trimestre de 2011):</w:t>
            </w:r>
          </w:p>
          <w:p w:rsidR="001A2871" w:rsidRPr="00A34388" w:rsidRDefault="001A2871" w:rsidP="00853209">
            <w:pPr>
              <w:rPr>
                <w:rFonts w:cs="Arial"/>
                <w:sz w:val="16"/>
                <w:szCs w:val="16"/>
                <w:lang w:val="es-ES_tradnl"/>
              </w:rPr>
            </w:pPr>
            <w:r w:rsidRPr="00332758">
              <w:rPr>
                <w:sz w:val="16"/>
                <w:lang w:val="es-ES_tradnl"/>
              </w:rPr>
              <w:t>África (4);  región de los países árabes (3);  Asia y el Pacífico (2);  América Latina y el Caribe (2);  y  determinados países de Europa y Asia (1).</w:t>
            </w:r>
          </w:p>
          <w:p w:rsidR="001A2871" w:rsidRPr="00A34388" w:rsidRDefault="001A2871" w:rsidP="00853209">
            <w:pPr>
              <w:rPr>
                <w:rFonts w:cs="Arial"/>
                <w:sz w:val="16"/>
                <w:szCs w:val="16"/>
                <w:lang w:val="es-ES_tradnl"/>
              </w:rPr>
            </w:pPr>
          </w:p>
        </w:tc>
        <w:tc>
          <w:tcPr>
            <w:tcW w:w="874"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Puesta en marcha de 22 redes CATI nacionales adicionales:  África (9)</w:t>
            </w:r>
          </w:p>
          <w:p w:rsidR="001A2871" w:rsidRPr="00A34388" w:rsidRDefault="001A2871" w:rsidP="00853209">
            <w:pPr>
              <w:rPr>
                <w:rFonts w:cs="Arial"/>
                <w:sz w:val="16"/>
                <w:szCs w:val="16"/>
                <w:lang w:val="es-ES_tradnl"/>
              </w:rPr>
            </w:pPr>
            <w:r w:rsidRPr="00A34388">
              <w:rPr>
                <w:sz w:val="16"/>
                <w:lang w:val="es-ES_tradnl"/>
              </w:rPr>
              <w:t>región de los países árabes (2)</w:t>
            </w:r>
          </w:p>
          <w:p w:rsidR="001A2871" w:rsidRPr="00A34388" w:rsidRDefault="001A2871" w:rsidP="00853209">
            <w:pPr>
              <w:rPr>
                <w:rFonts w:cs="Arial"/>
                <w:sz w:val="16"/>
                <w:szCs w:val="16"/>
                <w:lang w:val="es-ES_tradnl"/>
              </w:rPr>
            </w:pPr>
            <w:r w:rsidRPr="00332758">
              <w:rPr>
                <w:sz w:val="16"/>
                <w:lang w:val="es-ES_tradnl"/>
              </w:rPr>
              <w:t>Asia y el Pacífico (3)</w:t>
            </w:r>
          </w:p>
          <w:p w:rsidR="001A2871" w:rsidRPr="00A34388" w:rsidRDefault="001A2871" w:rsidP="00853209">
            <w:pPr>
              <w:rPr>
                <w:rFonts w:cs="Arial"/>
                <w:sz w:val="16"/>
                <w:szCs w:val="16"/>
                <w:lang w:val="es-ES_tradnl"/>
              </w:rPr>
            </w:pPr>
            <w:r w:rsidRPr="00332758">
              <w:rPr>
                <w:sz w:val="16"/>
                <w:lang w:val="es-ES_tradnl"/>
              </w:rPr>
              <w:t>América Latina y el Caribe (4)</w:t>
            </w:r>
          </w:p>
          <w:p w:rsidR="001A2871" w:rsidRPr="00A34388" w:rsidRDefault="001A2871" w:rsidP="00853209">
            <w:pPr>
              <w:rPr>
                <w:rFonts w:cs="Arial"/>
                <w:i/>
                <w:sz w:val="16"/>
                <w:szCs w:val="16"/>
                <w:lang w:val="es-ES_tradnl"/>
              </w:rPr>
            </w:pPr>
            <w:r w:rsidRPr="00A34388">
              <w:rPr>
                <w:sz w:val="16"/>
                <w:lang w:val="es-ES_tradnl"/>
              </w:rPr>
              <w:t>determinados países de Europa y</w:t>
            </w:r>
            <w:r w:rsidRPr="00A34388">
              <w:rPr>
                <w:rFonts w:cs="Arial"/>
                <w:sz w:val="16"/>
                <w:szCs w:val="16"/>
                <w:lang w:val="es-ES_tradnl"/>
              </w:rPr>
              <w:br/>
            </w:r>
            <w:r w:rsidRPr="00A34388">
              <w:rPr>
                <w:sz w:val="16"/>
                <w:lang w:val="es-ES_tradnl"/>
              </w:rPr>
              <w:t>Asia (4)</w:t>
            </w:r>
          </w:p>
        </w:tc>
        <w:tc>
          <w:tcPr>
            <w:tcW w:w="1699"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Puesta en marcha de 19 redes CATI adicionales en 2012/13:  África (12);  región de los países árabes (2);  América Latina y el Caribe (4);  y determinados países de Europa y Asia (1).</w:t>
            </w:r>
          </w:p>
          <w:p w:rsidR="001A2871" w:rsidRPr="00A34388" w:rsidRDefault="001A2871" w:rsidP="00853209">
            <w:pPr>
              <w:rPr>
                <w:rFonts w:cs="Arial"/>
                <w:sz w:val="16"/>
                <w:szCs w:val="16"/>
                <w:lang w:val="es-ES_tradnl"/>
              </w:rPr>
            </w:pPr>
          </w:p>
          <w:p w:rsidR="001A2871" w:rsidRPr="00A34388" w:rsidRDefault="001A2871" w:rsidP="00E56D8A">
            <w:pPr>
              <w:rPr>
                <w:rFonts w:cs="Arial"/>
                <w:sz w:val="16"/>
                <w:szCs w:val="16"/>
                <w:lang w:val="es-ES_tradnl"/>
              </w:rPr>
            </w:pPr>
            <w:r w:rsidRPr="00A34388">
              <w:rPr>
                <w:sz w:val="16"/>
                <w:lang w:val="es-ES_tradnl"/>
              </w:rPr>
              <w:t>Creación de 39 redes CATI:  África (19);  región de los países árabes (6);  Asia y el Pacífico (2);  América Latina y el Caribe (9);  y determinados países de Europa y Asia (3) (</w:t>
            </w:r>
            <w:r w:rsidR="00E56D8A">
              <w:rPr>
                <w:sz w:val="16"/>
                <w:lang w:val="es-ES_tradnl"/>
              </w:rPr>
              <w:t>total</w:t>
            </w:r>
            <w:r w:rsidRPr="00A34388">
              <w:rPr>
                <w:sz w:val="16"/>
                <w:lang w:val="es-ES_tradnl"/>
              </w:rPr>
              <w:t>).</w:t>
            </w:r>
          </w:p>
        </w:tc>
        <w:tc>
          <w:tcPr>
            <w:tcW w:w="682" w:type="pct"/>
            <w:shd w:val="clear" w:color="auto" w:fill="auto"/>
            <w:tcMar>
              <w:top w:w="110" w:type="dxa"/>
            </w:tcMar>
          </w:tcPr>
          <w:p w:rsidR="001A2871" w:rsidRPr="00332758" w:rsidRDefault="001A2871" w:rsidP="00853209">
            <w:pPr>
              <w:keepNext/>
              <w:keepLines/>
              <w:jc w:val="center"/>
              <w:rPr>
                <w:rFonts w:cs="Arial"/>
                <w:b/>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que utilizan los servicios de los CATI por trimestre y por país.</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rFonts w:cs="Arial"/>
                <w:color w:val="002060"/>
                <w:sz w:val="16"/>
                <w:szCs w:val="16"/>
                <w:lang w:val="es-ES_tradnl"/>
              </w:rPr>
              <w:br/>
            </w:r>
            <w:r w:rsidRPr="00A34388">
              <w:rPr>
                <w:color w:val="002060"/>
                <w:sz w:val="16"/>
                <w:lang w:val="es-ES_tradnl"/>
              </w:rPr>
              <w:t>Entre 200 y 630 usuarios diarios en promedio atendidos por los CATI.</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A34388" w:rsidRDefault="001A2871" w:rsidP="00853209">
            <w:pPr>
              <w:rPr>
                <w:rFonts w:cs="Arial"/>
                <w:sz w:val="16"/>
                <w:szCs w:val="16"/>
                <w:lang w:val="es-ES_tradnl"/>
              </w:rPr>
            </w:pPr>
            <w:r w:rsidRPr="00A34388">
              <w:rPr>
                <w:sz w:val="16"/>
                <w:lang w:val="es-ES_tradnl"/>
              </w:rPr>
              <w:t xml:space="preserve">Por determinar a fines de 2011. </w:t>
            </w:r>
          </w:p>
        </w:tc>
        <w:tc>
          <w:tcPr>
            <w:tcW w:w="874" w:type="pct"/>
            <w:shd w:val="clear" w:color="auto" w:fill="auto"/>
            <w:tcMar>
              <w:top w:w="110" w:type="dxa"/>
            </w:tcMar>
          </w:tcPr>
          <w:p w:rsidR="001A2871" w:rsidRPr="00A34388" w:rsidRDefault="001A2871" w:rsidP="00853209">
            <w:pPr>
              <w:rPr>
                <w:rFonts w:cs="Arial"/>
                <w:i/>
                <w:sz w:val="16"/>
                <w:szCs w:val="16"/>
                <w:lang w:val="es-ES_tradnl"/>
              </w:rPr>
            </w:pPr>
            <w:r w:rsidRPr="00332758">
              <w:rPr>
                <w:i/>
                <w:sz w:val="16"/>
                <w:lang w:val="es-ES_tradnl"/>
              </w:rPr>
              <w:t>Por determinar a fines de 2011.</w:t>
            </w:r>
          </w:p>
        </w:tc>
        <w:tc>
          <w:tcPr>
            <w:tcW w:w="1699"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Entre 532 y 1370 usuarios diarios en promedio atendidos por los CATI durante 2013.</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332758">
              <w:rPr>
                <w:sz w:val="16"/>
                <w:lang w:val="es-ES_tradnl"/>
              </w:rPr>
              <w:t>No mensurable</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usuarios satisfechos de los servicios de los CATI.</w:t>
            </w:r>
          </w:p>
        </w:tc>
        <w:tc>
          <w:tcPr>
            <w:tcW w:w="914" w:type="pct"/>
            <w:shd w:val="clear" w:color="auto" w:fill="auto"/>
          </w:tcPr>
          <w:p w:rsidR="001A2871" w:rsidRPr="00A34388" w:rsidRDefault="001A2871" w:rsidP="00853209">
            <w:pPr>
              <w:rPr>
                <w:rFonts w:cs="Arial"/>
                <w:sz w:val="16"/>
                <w:szCs w:val="16"/>
                <w:lang w:val="es-ES_tradnl"/>
              </w:rPr>
            </w:pPr>
            <w:r w:rsidRPr="00332758">
              <w:rPr>
                <w:sz w:val="16"/>
                <w:lang w:val="es-ES_tradnl"/>
              </w:rPr>
              <w:t>n.d.</w:t>
            </w:r>
          </w:p>
        </w:tc>
        <w:tc>
          <w:tcPr>
            <w:tcW w:w="874"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70%</w:t>
            </w:r>
          </w:p>
        </w:tc>
        <w:tc>
          <w:tcPr>
            <w:tcW w:w="1699"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Los CATI no facilitaron datos a tiempo para su publicación.</w:t>
            </w:r>
          </w:p>
        </w:tc>
        <w:tc>
          <w:tcPr>
            <w:tcW w:w="682" w:type="pct"/>
            <w:shd w:val="clear" w:color="auto" w:fill="auto"/>
            <w:tcMar>
              <w:top w:w="110" w:type="dxa"/>
            </w:tcMar>
          </w:tcPr>
          <w:p w:rsidR="001A2871" w:rsidRPr="00A34388" w:rsidRDefault="001A2871" w:rsidP="00853209">
            <w:pPr>
              <w:keepNext/>
              <w:keepLines/>
              <w:jc w:val="center"/>
              <w:rPr>
                <w:rFonts w:cs="Arial"/>
                <w:bCs/>
                <w:color w:val="FF0000"/>
                <w:sz w:val="16"/>
                <w:szCs w:val="16"/>
                <w:lang w:val="es-ES_tradnl"/>
              </w:rPr>
            </w:pPr>
            <w:r w:rsidRPr="00A34388">
              <w:rPr>
                <w:color w:val="FF0000"/>
                <w:sz w:val="16"/>
                <w:lang w:val="es-ES_tradnl"/>
              </w:rPr>
              <w:t>No</w:t>
            </w:r>
          </w:p>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logrado</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lastRenderedPageBreak/>
              <w:t>Número de usuarios de los servicios de información con valor añadido (servicio de búsqueda de la tecnología, informes sobre análisis de la actividad de patentamiento y cooperación internacional en el examen).</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rFonts w:cs="Arial"/>
                <w:color w:val="002060"/>
                <w:sz w:val="16"/>
                <w:szCs w:val="16"/>
                <w:lang w:val="es-ES_tradnl"/>
              </w:rPr>
              <w:br/>
            </w:r>
            <w:r w:rsidRPr="00A34388">
              <w:rPr>
                <w:color w:val="002060"/>
                <w:sz w:val="16"/>
                <w:lang w:val="es-ES_tradnl"/>
              </w:rPr>
              <w:t>Del servicio de cooperación internacional en el examen/servicios de la OMPI de información sobre patentes:</w:t>
            </w:r>
          </w:p>
          <w:p w:rsidR="001A2871" w:rsidRPr="00332758" w:rsidRDefault="001A2871" w:rsidP="00853209">
            <w:pPr>
              <w:rPr>
                <w:rFonts w:cs="Arial"/>
                <w:sz w:val="16"/>
                <w:szCs w:val="16"/>
                <w:lang w:val="es-ES_tradnl"/>
              </w:rPr>
            </w:pPr>
            <w:r w:rsidRPr="00332758">
              <w:rPr>
                <w:sz w:val="16"/>
                <w:lang w:val="es-ES_tradnl"/>
              </w:rPr>
              <w:t>284 solicitudes de búsqueda (2011) de 16 países, comprendidas 107 solicitudes de examen por conducto de la cooperación internacional en el examen.</w:t>
            </w:r>
          </w:p>
          <w:p w:rsidR="001A2871" w:rsidRPr="00A34388" w:rsidRDefault="001A2871" w:rsidP="00853209">
            <w:pPr>
              <w:rPr>
                <w:rFonts w:cs="Arial"/>
                <w:color w:val="002060"/>
                <w:sz w:val="8"/>
                <w:szCs w:val="8"/>
                <w:lang w:val="es-ES_tradnl"/>
              </w:rPr>
            </w:pPr>
          </w:p>
          <w:p w:rsidR="001A2871" w:rsidRPr="00A34388" w:rsidRDefault="001A2871" w:rsidP="00853209">
            <w:pPr>
              <w:rPr>
                <w:rFonts w:cs="Arial"/>
                <w:color w:val="002060"/>
                <w:sz w:val="16"/>
                <w:szCs w:val="16"/>
                <w:lang w:val="es-ES_tradnl"/>
              </w:rPr>
            </w:pPr>
            <w:r w:rsidRPr="00332758">
              <w:rPr>
                <w:sz w:val="16"/>
                <w:lang w:val="es-ES_tradnl"/>
              </w:rPr>
              <w:t>De los informes sobre análisis de la actividad de patentamiento:</w:t>
            </w:r>
          </w:p>
          <w:p w:rsidR="001A2871" w:rsidRPr="00A34388" w:rsidRDefault="001A2871" w:rsidP="00853209">
            <w:pPr>
              <w:rPr>
                <w:rFonts w:cs="Arial"/>
                <w:i/>
                <w:sz w:val="16"/>
                <w:szCs w:val="16"/>
                <w:lang w:val="es-ES_tradnl"/>
              </w:rPr>
            </w:pPr>
            <w:r w:rsidRPr="00A34388">
              <w:rPr>
                <w:color w:val="002060"/>
                <w:sz w:val="16"/>
                <w:lang w:val="es-ES_tradnl"/>
              </w:rPr>
              <w:t xml:space="preserve">Colaboradores:  unos 20; </w:t>
            </w:r>
            <w:r w:rsidR="00267DA6" w:rsidRPr="00A34388">
              <w:rPr>
                <w:color w:val="002060"/>
                <w:sz w:val="16"/>
                <w:lang w:val="es-ES_tradnl"/>
              </w:rPr>
              <w:t xml:space="preserve"> </w:t>
            </w:r>
            <w:r w:rsidRPr="00A34388">
              <w:rPr>
                <w:color w:val="002060"/>
                <w:sz w:val="16"/>
                <w:lang w:val="es-ES_tradnl"/>
              </w:rPr>
              <w:t xml:space="preserve">número de visitas únicas a la página: </w:t>
            </w:r>
            <w:r w:rsidR="007E4D96" w:rsidRPr="00A34388">
              <w:rPr>
                <w:color w:val="002060"/>
                <w:sz w:val="16"/>
                <w:lang w:val="es-ES_tradnl"/>
              </w:rPr>
              <w:t xml:space="preserve"> </w:t>
            </w:r>
            <w:r w:rsidRPr="00A34388">
              <w:rPr>
                <w:color w:val="002060"/>
                <w:sz w:val="16"/>
                <w:lang w:val="es-ES_tradnl"/>
              </w:rPr>
              <w:t xml:space="preserve">2.000;  número de descargas: </w:t>
            </w:r>
            <w:r w:rsidR="007E4D96" w:rsidRPr="00A34388">
              <w:rPr>
                <w:color w:val="002060"/>
                <w:sz w:val="16"/>
                <w:lang w:val="es-ES_tradnl"/>
              </w:rPr>
              <w:t xml:space="preserve"> </w:t>
            </w:r>
            <w:r w:rsidRPr="00A34388">
              <w:rPr>
                <w:color w:val="002060"/>
                <w:sz w:val="16"/>
                <w:lang w:val="es-ES_tradnl"/>
              </w:rPr>
              <w:t>1.500</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A34388" w:rsidRDefault="001A2871" w:rsidP="00853209">
            <w:pPr>
              <w:rPr>
                <w:rFonts w:cs="Arial"/>
                <w:sz w:val="16"/>
                <w:szCs w:val="16"/>
                <w:lang w:val="es-ES_tradnl"/>
              </w:rPr>
            </w:pPr>
            <w:r w:rsidRPr="00332758">
              <w:rPr>
                <w:sz w:val="16"/>
                <w:lang w:val="es-ES_tradnl"/>
              </w:rPr>
              <w:t>Por determinar a fines de 2011.</w:t>
            </w:r>
          </w:p>
        </w:tc>
        <w:tc>
          <w:tcPr>
            <w:tcW w:w="874" w:type="pct"/>
            <w:shd w:val="clear" w:color="auto" w:fill="auto"/>
            <w:tcMar>
              <w:top w:w="110" w:type="dxa"/>
            </w:tcMar>
          </w:tcPr>
          <w:p w:rsidR="001A2871" w:rsidRPr="00A34388" w:rsidRDefault="002B591B" w:rsidP="002B591B">
            <w:pPr>
              <w:rPr>
                <w:rFonts w:cs="Arial"/>
                <w:i/>
                <w:sz w:val="16"/>
                <w:szCs w:val="16"/>
                <w:lang w:val="es-ES_tradnl"/>
              </w:rPr>
            </w:pPr>
            <w:r w:rsidRPr="00332758">
              <w:rPr>
                <w:i/>
                <w:sz w:val="16"/>
                <w:lang w:val="es-ES_tradnl"/>
              </w:rPr>
              <w:t xml:space="preserve">Por </w:t>
            </w:r>
            <w:r w:rsidR="001A2871" w:rsidRPr="00332758">
              <w:rPr>
                <w:i/>
                <w:sz w:val="16"/>
                <w:lang w:val="es-ES_tradnl"/>
              </w:rPr>
              <w:t>determinar a fines de 2011.</w:t>
            </w:r>
          </w:p>
        </w:tc>
        <w:tc>
          <w:tcPr>
            <w:tcW w:w="1699"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Del servicio de cooperación internacional en el examen/servicios de la OMPI de información sobre patentes:  en 2012/13 se recibieron 435 solicitudes de búsqueda de 19 países, incluidas 214 solicitudes de informes de examen por conducto de la cooperación internacional en el examen.</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De los informes sobre análisis de la actividad de patentamiento:</w:t>
            </w:r>
            <w:r w:rsidRPr="00A34388">
              <w:rPr>
                <w:sz w:val="16"/>
                <w:lang w:val="es-ES_tradnl"/>
              </w:rPr>
              <w:t xml:space="preserve">  </w:t>
            </w:r>
          </w:p>
          <w:p w:rsidR="001A2871" w:rsidRPr="00A34388" w:rsidRDefault="001A2871" w:rsidP="00853209">
            <w:pPr>
              <w:rPr>
                <w:rFonts w:cs="Arial"/>
                <w:sz w:val="16"/>
                <w:szCs w:val="16"/>
                <w:lang w:val="es-ES_tradnl"/>
              </w:rPr>
            </w:pPr>
            <w:r w:rsidRPr="00A34388">
              <w:rPr>
                <w:sz w:val="16"/>
                <w:lang w:val="es-ES_tradnl"/>
              </w:rPr>
              <w:t xml:space="preserve">Colaboradores: </w:t>
            </w:r>
            <w:r w:rsidR="007E4D96" w:rsidRPr="00A34388">
              <w:rPr>
                <w:sz w:val="16"/>
                <w:lang w:val="es-ES_tradnl"/>
              </w:rPr>
              <w:t xml:space="preserve"> </w:t>
            </w:r>
            <w:r w:rsidRPr="00A34388">
              <w:rPr>
                <w:sz w:val="16"/>
                <w:lang w:val="es-ES_tradnl"/>
              </w:rPr>
              <w:t>unos 20</w:t>
            </w:r>
          </w:p>
          <w:p w:rsidR="001A2871" w:rsidRPr="00A34388" w:rsidRDefault="001A2871" w:rsidP="001A2871">
            <w:pPr>
              <w:pStyle w:val="ListParagraph"/>
              <w:numPr>
                <w:ilvl w:val="0"/>
                <w:numId w:val="40"/>
              </w:numPr>
              <w:rPr>
                <w:rFonts w:cs="Arial"/>
                <w:sz w:val="16"/>
                <w:szCs w:val="16"/>
                <w:lang w:val="es-ES_tradnl"/>
              </w:rPr>
            </w:pPr>
            <w:r w:rsidRPr="00A34388">
              <w:rPr>
                <w:sz w:val="16"/>
                <w:lang w:val="es-ES_tradnl"/>
              </w:rPr>
              <w:t xml:space="preserve">número de visitas únicas a la página: </w:t>
            </w:r>
            <w:r w:rsidR="007E4D96" w:rsidRPr="00A34388">
              <w:rPr>
                <w:sz w:val="16"/>
                <w:lang w:val="es-ES_tradnl"/>
              </w:rPr>
              <w:t xml:space="preserve"> </w:t>
            </w:r>
            <w:r w:rsidRPr="00A34388">
              <w:rPr>
                <w:sz w:val="16"/>
                <w:lang w:val="es-ES_tradnl"/>
              </w:rPr>
              <w:t xml:space="preserve">19.401 </w:t>
            </w:r>
          </w:p>
          <w:p w:rsidR="001A2871" w:rsidRPr="00A34388" w:rsidRDefault="001A2871" w:rsidP="001A2871">
            <w:pPr>
              <w:pStyle w:val="ListParagraph"/>
              <w:numPr>
                <w:ilvl w:val="0"/>
                <w:numId w:val="40"/>
              </w:numPr>
              <w:rPr>
                <w:rFonts w:cs="Arial"/>
                <w:sz w:val="16"/>
                <w:szCs w:val="16"/>
                <w:lang w:val="es-ES_tradnl"/>
              </w:rPr>
            </w:pPr>
            <w:r w:rsidRPr="00A34388">
              <w:rPr>
                <w:sz w:val="16"/>
                <w:lang w:val="es-ES_tradnl"/>
              </w:rPr>
              <w:t xml:space="preserve">número de descargas: </w:t>
            </w:r>
            <w:r w:rsidR="007E4D96" w:rsidRPr="00A34388">
              <w:rPr>
                <w:sz w:val="16"/>
                <w:lang w:val="es-ES_tradnl"/>
              </w:rPr>
              <w:t xml:space="preserve"> </w:t>
            </w:r>
            <w:r w:rsidRPr="00A34388">
              <w:rPr>
                <w:sz w:val="16"/>
                <w:lang w:val="es-ES_tradnl"/>
              </w:rPr>
              <w:t xml:space="preserve">26.487 (PDF) </w:t>
            </w:r>
          </w:p>
          <w:p w:rsidR="001A2871" w:rsidRPr="00A34388" w:rsidRDefault="001A2871" w:rsidP="001A2871">
            <w:pPr>
              <w:pStyle w:val="ListParagraph"/>
              <w:numPr>
                <w:ilvl w:val="0"/>
                <w:numId w:val="40"/>
              </w:numPr>
              <w:rPr>
                <w:rFonts w:cs="Arial"/>
                <w:sz w:val="16"/>
                <w:szCs w:val="16"/>
                <w:lang w:val="es-ES_tradnl"/>
              </w:rPr>
            </w:pPr>
            <w:r w:rsidRPr="00A34388">
              <w:rPr>
                <w:sz w:val="16"/>
                <w:lang w:val="es-ES_tradnl"/>
              </w:rPr>
              <w:t>El informe de análisis de la actividad de patentamiento relativo a E-waste publicado el 12 de diciembre de 2013 recibió 1.000 visitas en dos semanas.</w:t>
            </w:r>
          </w:p>
        </w:tc>
        <w:tc>
          <w:tcPr>
            <w:tcW w:w="682" w:type="pct"/>
            <w:shd w:val="clear" w:color="auto" w:fill="auto"/>
            <w:tcMar>
              <w:top w:w="110" w:type="dxa"/>
            </w:tcMar>
          </w:tcPr>
          <w:p w:rsidR="001A2871" w:rsidRPr="00A34388" w:rsidRDefault="001A2871" w:rsidP="00853209">
            <w:pPr>
              <w:keepNext/>
              <w:keepLines/>
              <w:jc w:val="center"/>
              <w:rPr>
                <w:rFonts w:cs="Arial"/>
                <w:bCs/>
                <w:color w:val="404040" w:themeColor="text1" w:themeTint="BF"/>
                <w:sz w:val="16"/>
                <w:szCs w:val="16"/>
                <w:lang w:val="es-ES_tradnl"/>
              </w:rPr>
            </w:pPr>
            <w:r w:rsidRPr="00A34388">
              <w:rPr>
                <w:color w:val="404040" w:themeColor="text1" w:themeTint="BF"/>
                <w:sz w:val="16"/>
                <w:lang w:val="es-ES_tradnl"/>
              </w:rPr>
              <w:t xml:space="preserve">No mensurable </w:t>
            </w:r>
          </w:p>
          <w:p w:rsidR="001A2871" w:rsidRPr="00A34388" w:rsidRDefault="001A2871" w:rsidP="00853209">
            <w:pPr>
              <w:keepNext/>
              <w:keepLines/>
              <w:jc w:val="center"/>
              <w:rPr>
                <w:rFonts w:cs="Arial"/>
                <w:bCs/>
                <w:color w:val="404040" w:themeColor="text1" w:themeTint="BF"/>
                <w:sz w:val="16"/>
                <w:szCs w:val="16"/>
                <w:lang w:val="es-ES_tradnl"/>
              </w:rPr>
            </w:pPr>
          </w:p>
          <w:p w:rsidR="001A2871" w:rsidRPr="00A34388" w:rsidRDefault="001A2871" w:rsidP="00853209">
            <w:pPr>
              <w:keepNext/>
              <w:keepLines/>
              <w:jc w:val="center"/>
              <w:rPr>
                <w:rFonts w:cs="Arial"/>
                <w:bCs/>
                <w:color w:val="404040" w:themeColor="text1" w:themeTint="BF"/>
                <w:sz w:val="16"/>
                <w:szCs w:val="16"/>
                <w:lang w:val="es-ES_tradnl"/>
              </w:rPr>
            </w:pPr>
          </w:p>
          <w:p w:rsidR="001A2871" w:rsidRPr="00332758" w:rsidRDefault="001A2871" w:rsidP="00853209">
            <w:pPr>
              <w:keepNext/>
              <w:keepLines/>
              <w:jc w:val="center"/>
              <w:rPr>
                <w:rFonts w:cs="Arial"/>
                <w:bCs/>
                <w:sz w:val="16"/>
                <w:szCs w:val="16"/>
                <w:lang w:val="es-ES_tradnl"/>
              </w:rPr>
            </w:pPr>
            <w:r w:rsidRPr="00A34388">
              <w:rPr>
                <w:color w:val="404040" w:themeColor="text1" w:themeTint="BF"/>
                <w:sz w:val="16"/>
                <w:lang w:val="es-ES_tradnl"/>
              </w:rPr>
              <w:t>No mensurable</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Porcentaje de usuarios satisfechos de los servicios de información con valor añadido (servicio de búsqueda de la tecnología, informes sobre análisis de la actividad de patentamiento y cooperación internacional en el examen).</w:t>
            </w:r>
          </w:p>
        </w:tc>
        <w:tc>
          <w:tcPr>
            <w:tcW w:w="914" w:type="pct"/>
            <w:shd w:val="clear" w:color="auto" w:fill="auto"/>
          </w:tcPr>
          <w:p w:rsidR="001A2871" w:rsidRPr="00A34388" w:rsidRDefault="001A2871" w:rsidP="00853209">
            <w:pPr>
              <w:rPr>
                <w:rFonts w:cs="Arial"/>
                <w:color w:val="002060"/>
                <w:sz w:val="16"/>
                <w:szCs w:val="16"/>
                <w:lang w:val="es-ES_tradnl"/>
              </w:rPr>
            </w:pPr>
            <w:r w:rsidRPr="00A34388">
              <w:rPr>
                <w:i/>
                <w:color w:val="002060"/>
                <w:sz w:val="16"/>
                <w:lang w:val="es-ES_tradnl"/>
              </w:rPr>
              <w:t>Referencia actualizada a fines de 2011:</w:t>
            </w:r>
            <w:r w:rsidRPr="00A34388">
              <w:rPr>
                <w:rFonts w:cs="Arial"/>
                <w:color w:val="002060"/>
                <w:sz w:val="16"/>
                <w:szCs w:val="16"/>
                <w:lang w:val="es-ES_tradnl"/>
              </w:rPr>
              <w:br/>
            </w:r>
            <w:r w:rsidRPr="00A34388">
              <w:rPr>
                <w:color w:val="002060"/>
                <w:sz w:val="16"/>
                <w:lang w:val="es-ES_tradnl"/>
              </w:rPr>
              <w:t xml:space="preserve">Del servicio de cooperación internacional en el examen/servicios de la OMPI de información sobre patentes: </w:t>
            </w:r>
            <w:r w:rsidR="007E4D96" w:rsidRPr="00A34388">
              <w:rPr>
                <w:color w:val="002060"/>
                <w:sz w:val="16"/>
                <w:lang w:val="es-ES_tradnl"/>
              </w:rPr>
              <w:t xml:space="preserve"> </w:t>
            </w:r>
            <w:r w:rsidRPr="00A34388">
              <w:rPr>
                <w:color w:val="002060"/>
                <w:sz w:val="16"/>
                <w:lang w:val="es-ES_tradnl"/>
              </w:rPr>
              <w:t>70%</w:t>
            </w:r>
          </w:p>
          <w:p w:rsidR="001A2871" w:rsidRPr="00A34388" w:rsidRDefault="001A2871" w:rsidP="00853209">
            <w:pPr>
              <w:rPr>
                <w:rFonts w:cs="Arial"/>
                <w:color w:val="002060"/>
                <w:sz w:val="16"/>
                <w:szCs w:val="16"/>
                <w:lang w:val="es-ES_tradnl"/>
              </w:rPr>
            </w:pPr>
            <w:r w:rsidRPr="00A34388">
              <w:rPr>
                <w:color w:val="002060"/>
                <w:sz w:val="16"/>
                <w:lang w:val="es-ES_tradnl"/>
              </w:rPr>
              <w:t>De los informes de análisis de la actividad de patentamiento:</w:t>
            </w:r>
          </w:p>
          <w:p w:rsidR="001A2871" w:rsidRPr="00332758" w:rsidRDefault="001A2871" w:rsidP="00853209">
            <w:pPr>
              <w:rPr>
                <w:rFonts w:cs="Arial"/>
                <w:sz w:val="16"/>
                <w:szCs w:val="16"/>
                <w:lang w:val="es-ES_tradnl"/>
              </w:rPr>
            </w:pPr>
            <w:r w:rsidRPr="00332758">
              <w:rPr>
                <w:sz w:val="16"/>
                <w:lang w:val="es-ES_tradnl"/>
              </w:rPr>
              <w:t>De los informes sobre análisis de la actividad de patentamiento:  70%</w:t>
            </w:r>
          </w:p>
          <w:p w:rsidR="001A2871" w:rsidRPr="00332758" w:rsidRDefault="001A2871" w:rsidP="00853209">
            <w:pPr>
              <w:rPr>
                <w:rFonts w:cs="Arial"/>
                <w:i/>
                <w:sz w:val="16"/>
                <w:szCs w:val="16"/>
                <w:lang w:val="es-ES_tradnl"/>
              </w:rPr>
            </w:pPr>
            <w:r w:rsidRPr="00332758">
              <w:rPr>
                <w:i/>
                <w:sz w:val="16"/>
                <w:lang w:val="es-ES_tradnl"/>
              </w:rPr>
              <w:t>Usuarios de segundo nivel: 50%</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w:t>
            </w:r>
          </w:p>
          <w:p w:rsidR="001A2871" w:rsidRPr="00A34388" w:rsidRDefault="001A2871" w:rsidP="00853209">
            <w:pPr>
              <w:rPr>
                <w:rFonts w:cs="Arial"/>
                <w:sz w:val="16"/>
                <w:szCs w:val="16"/>
                <w:lang w:val="es-ES_tradnl"/>
              </w:rPr>
            </w:pPr>
            <w:r w:rsidRPr="00A34388">
              <w:rPr>
                <w:i/>
                <w:sz w:val="16"/>
                <w:lang w:val="es-ES_tradnl"/>
              </w:rPr>
              <w:t>(Presup. por prog. 2012/13):</w:t>
            </w:r>
          </w:p>
          <w:p w:rsidR="001A2871" w:rsidRPr="00A34388" w:rsidRDefault="001A2871" w:rsidP="00853209">
            <w:pPr>
              <w:rPr>
                <w:rFonts w:cs="Arial"/>
                <w:sz w:val="16"/>
                <w:szCs w:val="16"/>
                <w:lang w:val="es-ES_tradnl"/>
              </w:rPr>
            </w:pPr>
            <w:r w:rsidRPr="00332758">
              <w:rPr>
                <w:sz w:val="16"/>
                <w:lang w:val="es-ES_tradnl"/>
              </w:rPr>
              <w:t>n.d.</w:t>
            </w:r>
          </w:p>
        </w:tc>
        <w:tc>
          <w:tcPr>
            <w:tcW w:w="874" w:type="pct"/>
            <w:shd w:val="clear" w:color="auto" w:fill="auto"/>
            <w:tcMar>
              <w:top w:w="110" w:type="dxa"/>
            </w:tcMar>
          </w:tcPr>
          <w:p w:rsidR="001A2871" w:rsidRPr="00A34388" w:rsidRDefault="001A2871" w:rsidP="00853209">
            <w:pPr>
              <w:rPr>
                <w:rFonts w:cs="Arial"/>
                <w:i/>
                <w:sz w:val="16"/>
                <w:szCs w:val="16"/>
                <w:lang w:val="es-ES_tradnl"/>
              </w:rPr>
            </w:pPr>
            <w:r w:rsidRPr="00A34388">
              <w:rPr>
                <w:sz w:val="16"/>
                <w:lang w:val="es-ES_tradnl"/>
              </w:rPr>
              <w:t>70%</w:t>
            </w:r>
          </w:p>
        </w:tc>
        <w:tc>
          <w:tcPr>
            <w:tcW w:w="1699"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No se llevaron a cabo encuestas relativas al servicio de cooperación internacional en el examen y</w:t>
            </w:r>
            <w:r w:rsidR="00E56D8A">
              <w:rPr>
                <w:sz w:val="16"/>
                <w:lang w:val="es-ES_tradnl"/>
              </w:rPr>
              <w:t xml:space="preserve"> a</w:t>
            </w:r>
            <w:r w:rsidRPr="00A34388">
              <w:rPr>
                <w:sz w:val="16"/>
                <w:lang w:val="es-ES_tradnl"/>
              </w:rPr>
              <w:t xml:space="preserve"> los servicios de la OMPI de información sobre patentes.  En la actualidad se está negociando con las oficinas donantes cómo evaluar y recuperar los comentarios de usuarios sobre </w:t>
            </w:r>
            <w:r w:rsidR="00A00147" w:rsidRPr="00A34388">
              <w:rPr>
                <w:sz w:val="16"/>
                <w:lang w:val="es-ES_tradnl"/>
              </w:rPr>
              <w:t xml:space="preserve">la labor </w:t>
            </w:r>
            <w:r w:rsidRPr="00A34388">
              <w:rPr>
                <w:sz w:val="16"/>
                <w:lang w:val="es-ES_tradnl"/>
              </w:rPr>
              <w:t>realizad</w:t>
            </w:r>
            <w:r w:rsidR="00A00147" w:rsidRPr="00A34388">
              <w:rPr>
                <w:sz w:val="16"/>
                <w:lang w:val="es-ES_tradnl"/>
              </w:rPr>
              <w:t>a</w:t>
            </w:r>
            <w:r w:rsidRPr="00A34388">
              <w:rPr>
                <w:sz w:val="16"/>
                <w:lang w:val="es-ES_tradnl"/>
              </w:rPr>
              <w:t>.</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En marzo de 2014 se realizó una encuesta de satisfacción sobre los informes de análisis de la actividad de patentamiento, con 39 respuestas (3 usuarios de primer nivel;  36 usuarios de segundo nivel).  Los resultados indican que aproximadamente el 70% de los usuarios estaban satisfechos con la calidad de los informes:</w:t>
            </w:r>
          </w:p>
          <w:p w:rsidR="001A2871" w:rsidRPr="00A34388" w:rsidRDefault="001A2871" w:rsidP="001A2871">
            <w:pPr>
              <w:pStyle w:val="ListParagraph"/>
              <w:numPr>
                <w:ilvl w:val="0"/>
                <w:numId w:val="41"/>
              </w:numPr>
              <w:rPr>
                <w:rFonts w:cs="Arial"/>
                <w:sz w:val="16"/>
                <w:szCs w:val="16"/>
                <w:lang w:val="es-ES_tradnl"/>
              </w:rPr>
            </w:pPr>
            <w:r w:rsidRPr="00A34388">
              <w:rPr>
                <w:sz w:val="16"/>
                <w:lang w:val="es-ES_tradnl"/>
              </w:rPr>
              <w:t>el 78% consideraba excelente o muy buena la presentación de los aspectos técnicos</w:t>
            </w:r>
          </w:p>
          <w:p w:rsidR="001A2871" w:rsidRPr="00A34388" w:rsidRDefault="001A2871" w:rsidP="001A2871">
            <w:pPr>
              <w:pStyle w:val="ListParagraph"/>
              <w:numPr>
                <w:ilvl w:val="0"/>
                <w:numId w:val="41"/>
              </w:numPr>
              <w:rPr>
                <w:rFonts w:cs="Arial"/>
                <w:sz w:val="16"/>
                <w:szCs w:val="16"/>
                <w:lang w:val="es-ES_tradnl"/>
              </w:rPr>
            </w:pPr>
            <w:r w:rsidRPr="00A34388">
              <w:rPr>
                <w:sz w:val="16"/>
                <w:lang w:val="es-ES_tradnl"/>
              </w:rPr>
              <w:t xml:space="preserve">el 69% consideraba excelente o muy buena la presentación de los resultados </w:t>
            </w:r>
          </w:p>
          <w:p w:rsidR="001A2871" w:rsidRPr="00A34388" w:rsidRDefault="001A2871" w:rsidP="001A2871">
            <w:pPr>
              <w:pStyle w:val="ListParagraph"/>
              <w:numPr>
                <w:ilvl w:val="0"/>
                <w:numId w:val="41"/>
              </w:numPr>
              <w:rPr>
                <w:rFonts w:cs="Arial"/>
                <w:lang w:val="es-ES_tradnl"/>
              </w:rPr>
            </w:pPr>
            <w:r w:rsidRPr="00A34388">
              <w:rPr>
                <w:sz w:val="16"/>
                <w:lang w:val="es-ES_tradnl"/>
              </w:rPr>
              <w:t>el 69% consideraba que los informes estaban muy estrechamente relacionados o estrechamente relacionado</w:t>
            </w:r>
            <w:r w:rsidR="00E56D8A">
              <w:rPr>
                <w:sz w:val="16"/>
                <w:lang w:val="es-ES_tradnl"/>
              </w:rPr>
              <w:t>s</w:t>
            </w:r>
            <w:r w:rsidRPr="00A34388">
              <w:rPr>
                <w:sz w:val="16"/>
                <w:lang w:val="es-ES_tradnl"/>
              </w:rPr>
              <w:t xml:space="preserve"> con su trabajo</w:t>
            </w:r>
          </w:p>
        </w:tc>
        <w:tc>
          <w:tcPr>
            <w:tcW w:w="682" w:type="pct"/>
            <w:shd w:val="clear" w:color="auto" w:fill="auto"/>
            <w:tcMar>
              <w:top w:w="110" w:type="dxa"/>
            </w:tcMar>
          </w:tcPr>
          <w:p w:rsidR="001A2871" w:rsidRPr="00A34388" w:rsidRDefault="001A2871" w:rsidP="00853209">
            <w:pPr>
              <w:keepNext/>
              <w:keepLines/>
              <w:jc w:val="center"/>
              <w:rPr>
                <w:rFonts w:cs="Arial"/>
                <w:bCs/>
                <w:color w:val="FF0000"/>
                <w:sz w:val="16"/>
                <w:szCs w:val="16"/>
                <w:lang w:val="es-ES_tradnl"/>
              </w:rPr>
            </w:pPr>
            <w:r w:rsidRPr="00A34388">
              <w:rPr>
                <w:color w:val="FF0000"/>
                <w:sz w:val="16"/>
                <w:lang w:val="es-ES_tradnl"/>
              </w:rPr>
              <w:t xml:space="preserve">No </w:t>
            </w:r>
          </w:p>
          <w:p w:rsidR="001A2871" w:rsidRPr="00332758" w:rsidRDefault="001A2871" w:rsidP="00853209">
            <w:pPr>
              <w:keepNext/>
              <w:keepLines/>
              <w:jc w:val="center"/>
              <w:rPr>
                <w:rFonts w:cs="Arial"/>
                <w:bCs/>
                <w:sz w:val="16"/>
                <w:szCs w:val="16"/>
                <w:lang w:val="es-ES_tradnl"/>
              </w:rPr>
            </w:pPr>
            <w:r w:rsidRPr="00A34388">
              <w:rPr>
                <w:color w:val="FF0000"/>
                <w:sz w:val="16"/>
                <w:lang w:val="es-ES_tradnl"/>
              </w:rPr>
              <w:t>logrado</w:t>
            </w:r>
          </w:p>
          <w:p w:rsidR="001A2871" w:rsidRPr="00A34388" w:rsidRDefault="001A2871" w:rsidP="00853209">
            <w:pPr>
              <w:keepNext/>
              <w:keepLines/>
              <w:jc w:val="center"/>
              <w:rPr>
                <w:rFonts w:cs="Arial"/>
                <w:bCs/>
                <w:sz w:val="16"/>
                <w:szCs w:val="16"/>
                <w:lang w:val="es-ES_tradnl"/>
              </w:rPr>
            </w:pPr>
          </w:p>
          <w:p w:rsidR="001A2871" w:rsidRPr="00A34388" w:rsidRDefault="001A2871" w:rsidP="00853209">
            <w:pPr>
              <w:keepNext/>
              <w:keepLines/>
              <w:jc w:val="center"/>
              <w:rPr>
                <w:rFonts w:cs="Arial"/>
                <w:bCs/>
                <w:sz w:val="16"/>
                <w:szCs w:val="16"/>
                <w:lang w:val="es-ES_tradnl"/>
              </w:rPr>
            </w:pPr>
          </w:p>
          <w:p w:rsidR="001A2871" w:rsidRPr="00A34388" w:rsidRDefault="001A2871" w:rsidP="00853209">
            <w:pPr>
              <w:keepNext/>
              <w:keepLines/>
              <w:jc w:val="center"/>
              <w:rPr>
                <w:rFonts w:cs="Arial"/>
                <w:bCs/>
                <w:sz w:val="16"/>
                <w:szCs w:val="16"/>
                <w:lang w:val="es-ES_tradnl"/>
              </w:rPr>
            </w:pPr>
          </w:p>
          <w:p w:rsidR="001A2871" w:rsidRPr="00A34388" w:rsidRDefault="001A2871" w:rsidP="00853209">
            <w:pPr>
              <w:keepNext/>
              <w:keepLines/>
              <w:jc w:val="center"/>
              <w:rPr>
                <w:rFonts w:cs="Arial"/>
                <w:bCs/>
                <w:sz w:val="16"/>
                <w:szCs w:val="16"/>
                <w:lang w:val="es-ES_tradnl"/>
              </w:rPr>
            </w:pPr>
          </w:p>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r w:rsidR="001A2871" w:rsidRPr="00A34388" w:rsidTr="00853209">
        <w:trPr>
          <w:cantSplit/>
        </w:trPr>
        <w:tc>
          <w:tcPr>
            <w:tcW w:w="83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usuarios inscritos en aRDI y ASPI.</w:t>
            </w:r>
          </w:p>
        </w:tc>
        <w:tc>
          <w:tcPr>
            <w:tcW w:w="914" w:type="pct"/>
            <w:shd w:val="clear" w:color="auto" w:fill="auto"/>
          </w:tcPr>
          <w:p w:rsidR="001A2871" w:rsidRPr="00A34388" w:rsidRDefault="001A2871" w:rsidP="00853209">
            <w:pPr>
              <w:rPr>
                <w:rFonts w:cs="Arial"/>
                <w:sz w:val="16"/>
                <w:szCs w:val="16"/>
                <w:lang w:val="es-ES_tradnl"/>
              </w:rPr>
            </w:pPr>
            <w:r w:rsidRPr="00332758">
              <w:rPr>
                <w:sz w:val="16"/>
                <w:lang w:val="es-ES_tradnl"/>
              </w:rPr>
              <w:t>ARDI: 24.</w:t>
            </w:r>
            <w:r w:rsidRPr="00A34388">
              <w:rPr>
                <w:sz w:val="16"/>
                <w:lang w:val="es-ES_tradnl"/>
              </w:rPr>
              <w:t xml:space="preserve"> </w:t>
            </w:r>
          </w:p>
          <w:p w:rsidR="001A2871" w:rsidRPr="00A34388" w:rsidRDefault="001A2871" w:rsidP="00853209">
            <w:pPr>
              <w:rPr>
                <w:rFonts w:cs="Arial"/>
                <w:sz w:val="16"/>
                <w:szCs w:val="16"/>
                <w:lang w:val="es-ES_tradnl"/>
              </w:rPr>
            </w:pPr>
            <w:r w:rsidRPr="00332758">
              <w:rPr>
                <w:sz w:val="16"/>
                <w:lang w:val="es-ES_tradnl"/>
              </w:rPr>
              <w:t>ASPI:  6.</w:t>
            </w:r>
          </w:p>
          <w:p w:rsidR="001A2871" w:rsidRPr="00A34388" w:rsidRDefault="001A2871" w:rsidP="00853209">
            <w:pPr>
              <w:rPr>
                <w:rFonts w:cs="Arial"/>
                <w:sz w:val="16"/>
                <w:szCs w:val="16"/>
                <w:lang w:val="es-ES_tradnl"/>
              </w:rPr>
            </w:pPr>
          </w:p>
        </w:tc>
        <w:tc>
          <w:tcPr>
            <w:tcW w:w="874"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 xml:space="preserve">aRDI: </w:t>
            </w:r>
            <w:r w:rsidR="007E4D96" w:rsidRPr="00A34388">
              <w:rPr>
                <w:sz w:val="16"/>
                <w:lang w:val="es-ES_tradnl"/>
              </w:rPr>
              <w:t xml:space="preserve"> </w:t>
            </w:r>
            <w:r w:rsidRPr="00A34388">
              <w:rPr>
                <w:sz w:val="16"/>
                <w:lang w:val="es-ES_tradnl"/>
              </w:rPr>
              <w:t>50 antes del final de 2013, ASPI:</w:t>
            </w:r>
            <w:r w:rsidR="007E4D96" w:rsidRPr="00A34388">
              <w:rPr>
                <w:sz w:val="16"/>
                <w:lang w:val="es-ES_tradnl"/>
              </w:rPr>
              <w:t xml:space="preserve"> </w:t>
            </w:r>
            <w:r w:rsidRPr="00A34388">
              <w:rPr>
                <w:sz w:val="16"/>
                <w:lang w:val="es-ES_tradnl"/>
              </w:rPr>
              <w:t xml:space="preserve"> 20 antes del final de 2013</w:t>
            </w:r>
          </w:p>
          <w:p w:rsidR="001A2871" w:rsidRPr="00A34388" w:rsidRDefault="001A2871" w:rsidP="00853209">
            <w:pPr>
              <w:rPr>
                <w:rFonts w:cs="Arial"/>
                <w:i/>
                <w:sz w:val="16"/>
                <w:szCs w:val="16"/>
                <w:lang w:val="es-ES_tradnl"/>
              </w:rPr>
            </w:pPr>
          </w:p>
        </w:tc>
        <w:tc>
          <w:tcPr>
            <w:tcW w:w="1699"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aRDI (207 usuarios activos)</w:t>
            </w:r>
          </w:p>
          <w:p w:rsidR="001A2871" w:rsidRPr="00A34388" w:rsidRDefault="001A2871" w:rsidP="00853209">
            <w:pPr>
              <w:rPr>
                <w:rFonts w:cs="Arial"/>
                <w:sz w:val="16"/>
                <w:szCs w:val="16"/>
                <w:lang w:val="es-ES_tradnl"/>
              </w:rPr>
            </w:pPr>
            <w:r w:rsidRPr="00A34388">
              <w:rPr>
                <w:sz w:val="16"/>
                <w:lang w:val="es-ES_tradnl"/>
              </w:rPr>
              <w:t>ASPI (20 usuarios activos)</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rStyle w:val="Style5"/>
                <w:rFonts w:ascii="Arial" w:hAnsi="Arial"/>
                <w:color w:val="10862C"/>
                <w:sz w:val="16"/>
                <w:lang w:val="es-ES_tradnl"/>
              </w:rPr>
              <w:t>Plenamente</w:t>
            </w:r>
            <w:r w:rsidRPr="00A34388">
              <w:rPr>
                <w:rStyle w:val="Style5"/>
                <w:rFonts w:ascii="Arial" w:hAnsi="Arial" w:cs="Arial"/>
                <w:color w:val="10862C"/>
                <w:sz w:val="16"/>
                <w:szCs w:val="16"/>
                <w:lang w:val="es-ES_tradnl"/>
              </w:rPr>
              <w:br/>
            </w:r>
            <w:r w:rsidRPr="00A34388">
              <w:rPr>
                <w:rStyle w:val="Style5"/>
                <w:rFonts w:ascii="Arial" w:hAnsi="Arial"/>
                <w:color w:val="10862C"/>
                <w:sz w:val="16"/>
                <w:lang w:val="es-ES_tradnl"/>
              </w:rPr>
              <w:t>logrado</w:t>
            </w:r>
          </w:p>
        </w:tc>
      </w:tr>
    </w:tbl>
    <w:p w:rsidR="001A2871" w:rsidRPr="00A34388" w:rsidRDefault="001A2871" w:rsidP="001A2871">
      <w:pPr>
        <w:rPr>
          <w:lang w:val="es-ES_tradnl"/>
        </w:rPr>
      </w:pPr>
    </w:p>
    <w:p w:rsidR="001A2871" w:rsidRPr="00A34388" w:rsidRDefault="001A2871" w:rsidP="001A2871">
      <w:pPr>
        <w:rPr>
          <w:rFonts w:cs="Arial"/>
          <w:lang w:val="es-ES_tradnl"/>
        </w:rPr>
      </w:pPr>
    </w:p>
    <w:p w:rsidR="001A2871" w:rsidRPr="00A34388" w:rsidRDefault="001A2871" w:rsidP="001A2871">
      <w:pPr>
        <w:rPr>
          <w:rFonts w:cs="Arial"/>
          <w:lang w:val="es-ES_tradnl"/>
        </w:rPr>
      </w:pPr>
    </w:p>
    <w:p w:rsidR="001A2871" w:rsidRPr="00A34388" w:rsidRDefault="001A2871" w:rsidP="001A2871">
      <w:pPr>
        <w:rPr>
          <w:rFonts w:cs="Arial"/>
          <w:sz w:val="22"/>
          <w:szCs w:val="22"/>
          <w:lang w:val="es-ES_tradnl"/>
        </w:rPr>
      </w:pPr>
      <w:r w:rsidRPr="00A34388">
        <w:rPr>
          <w:lang w:val="es-ES_tradnl"/>
        </w:rPr>
        <w:br w:type="page"/>
      </w:r>
    </w:p>
    <w:p w:rsidR="001A2871" w:rsidRPr="00A34388" w:rsidRDefault="001A2871" w:rsidP="001A2871">
      <w:pPr>
        <w:keepNext/>
        <w:keepLines/>
        <w:rPr>
          <w:rFonts w:cs="Arial"/>
          <w:sz w:val="22"/>
          <w:szCs w:val="22"/>
          <w:lang w:val="es-ES_tradnl"/>
        </w:rPr>
      </w:pPr>
      <w:r w:rsidRPr="00332758">
        <w:rPr>
          <w:sz w:val="22"/>
          <w:lang w:val="es-ES_tradnl"/>
        </w:rPr>
        <w:lastRenderedPageBreak/>
        <w:t>PRESUPUESTO Y GASTOS REALES</w:t>
      </w:r>
    </w:p>
    <w:p w:rsidR="001A2871" w:rsidRPr="00A34388" w:rsidRDefault="001A2871" w:rsidP="001A2871">
      <w:pPr>
        <w:keepNext/>
        <w:keepLines/>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keepNext/>
        <w:keepLines/>
        <w:rPr>
          <w:rFonts w:cs="Arial"/>
          <w:sz w:val="22"/>
          <w:szCs w:val="22"/>
          <w:lang w:val="es-ES_tradnl"/>
        </w:rPr>
      </w:pPr>
    </w:p>
    <w:tbl>
      <w:tblPr>
        <w:tblW w:w="0" w:type="auto"/>
        <w:tblInd w:w="103" w:type="dxa"/>
        <w:tblLook w:val="04A0" w:firstRow="1" w:lastRow="0" w:firstColumn="1" w:lastColumn="0" w:noHBand="0" w:noVBand="1"/>
      </w:tblPr>
      <w:tblGrid>
        <w:gridCol w:w="537"/>
        <w:gridCol w:w="4146"/>
        <w:gridCol w:w="1559"/>
        <w:gridCol w:w="1559"/>
        <w:gridCol w:w="1560"/>
      </w:tblGrid>
      <w:tr w:rsidR="001A2871" w:rsidRPr="00A34388" w:rsidTr="00853209">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3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IV.2</w:t>
            </w:r>
          </w:p>
        </w:tc>
        <w:tc>
          <w:tcPr>
            <w:tcW w:w="4146"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7.038</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7.855</w:t>
            </w:r>
          </w:p>
        </w:tc>
        <w:tc>
          <w:tcPr>
            <w:tcW w:w="1560"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7.755</w:t>
            </w:r>
          </w:p>
        </w:tc>
      </w:tr>
      <w:tr w:rsidR="001A2871" w:rsidRPr="00A34388" w:rsidTr="00853209">
        <w:tc>
          <w:tcPr>
            <w:tcW w:w="53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146"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7.038</w:t>
            </w:r>
          </w:p>
        </w:tc>
        <w:tc>
          <w:tcPr>
            <w:tcW w:w="1559"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7.855</w:t>
            </w:r>
          </w:p>
        </w:tc>
        <w:tc>
          <w:tcPr>
            <w:tcW w:w="1560"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7.755</w:t>
            </w:r>
          </w:p>
        </w:tc>
      </w:tr>
    </w:tbl>
    <w:p w:rsidR="001A2871" w:rsidRPr="00A34388" w:rsidRDefault="001A2871" w:rsidP="001A2871">
      <w:pPr>
        <w:rPr>
          <w:rFonts w:cs="Arial"/>
          <w:sz w:val="22"/>
          <w:szCs w:val="22"/>
          <w:lang w:val="es-ES_tradnl"/>
        </w:rPr>
      </w:pPr>
    </w:p>
    <w:p w:rsidR="001A2871" w:rsidRPr="00A34388" w:rsidRDefault="001A2871" w:rsidP="001A2871">
      <w:pPr>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rPr>
          <w:rFonts w:cs="Arial"/>
          <w:sz w:val="22"/>
          <w:szCs w:val="22"/>
          <w:lang w:val="es-ES_tradnl"/>
        </w:rPr>
      </w:pPr>
    </w:p>
    <w:tbl>
      <w:tblPr>
        <w:tblW w:w="9371" w:type="dxa"/>
        <w:tblInd w:w="93" w:type="dxa"/>
        <w:tblLook w:val="04A0" w:firstRow="1" w:lastRow="0" w:firstColumn="1" w:lastColumn="0" w:noHBand="0" w:noVBand="1"/>
      </w:tblPr>
      <w:tblGrid>
        <w:gridCol w:w="2709"/>
        <w:gridCol w:w="1665"/>
        <w:gridCol w:w="1666"/>
        <w:gridCol w:w="1665"/>
        <w:gridCol w:w="1666"/>
      </w:tblGrid>
      <w:tr w:rsidR="001A2871" w:rsidRPr="00A34388" w:rsidTr="00853209">
        <w:trPr>
          <w:trHeight w:val="440"/>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1665"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66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665"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Gastos en 2012/13</w:t>
            </w:r>
          </w:p>
        </w:tc>
        <w:tc>
          <w:tcPr>
            <w:tcW w:w="166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de personal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5.650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6.585</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6.585</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 Recursos no relativos al personal </w:t>
            </w:r>
          </w:p>
        </w:tc>
        <w:tc>
          <w:tcPr>
            <w:tcW w:w="1665"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1.388</w:t>
            </w:r>
          </w:p>
        </w:tc>
        <w:tc>
          <w:tcPr>
            <w:tcW w:w="166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1.270</w:t>
            </w:r>
          </w:p>
        </w:tc>
        <w:tc>
          <w:tcPr>
            <w:tcW w:w="1665"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1.170</w:t>
            </w:r>
          </w:p>
        </w:tc>
        <w:tc>
          <w:tcPr>
            <w:tcW w:w="1666"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92%</w:t>
            </w:r>
          </w:p>
        </w:tc>
      </w:tr>
      <w:tr w:rsidR="001A2871" w:rsidRPr="00A34388" w:rsidTr="00853209">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665"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7.038</w:t>
            </w:r>
          </w:p>
        </w:tc>
        <w:tc>
          <w:tcPr>
            <w:tcW w:w="166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7.855</w:t>
            </w:r>
          </w:p>
        </w:tc>
        <w:tc>
          <w:tcPr>
            <w:tcW w:w="1665"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7.755</w:t>
            </w:r>
          </w:p>
        </w:tc>
        <w:tc>
          <w:tcPr>
            <w:tcW w:w="1666"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99%</w:t>
            </w:r>
          </w:p>
        </w:tc>
      </w:tr>
    </w:tbl>
    <w:p w:rsidR="001A2871" w:rsidRPr="00A34388" w:rsidRDefault="001A2871" w:rsidP="001A2871">
      <w:pPr>
        <w:autoSpaceDE w:val="0"/>
        <w:autoSpaceDN w:val="0"/>
        <w:rPr>
          <w:sz w:val="16"/>
          <w:szCs w:val="16"/>
          <w:lang w:val="es-ES_tradnl"/>
        </w:rPr>
      </w:pPr>
    </w:p>
    <w:p w:rsidR="001A2871" w:rsidRPr="00A34388" w:rsidRDefault="001A2871" w:rsidP="001A2871">
      <w:pPr>
        <w:autoSpaceDE w:val="0"/>
        <w:autoSpaceDN w:val="0"/>
        <w:rPr>
          <w:sz w:val="16"/>
          <w:szCs w:val="16"/>
          <w:lang w:val="es-ES_tradnl"/>
        </w:rPr>
      </w:pPr>
      <w:r w:rsidRPr="00332758">
        <w:rPr>
          <w:sz w:val="16"/>
          <w:lang w:val="es-ES_tradnl"/>
        </w:rPr>
        <w:t>NOTAS:</w:t>
      </w:r>
    </w:p>
    <w:p w:rsidR="001A2871" w:rsidRPr="00A34388" w:rsidRDefault="001A2871" w:rsidP="001A2871">
      <w:pPr>
        <w:autoSpaceDE w:val="0"/>
        <w:autoSpaceDN w:val="0"/>
        <w:rPr>
          <w:sz w:val="16"/>
          <w:szCs w:val="16"/>
          <w:lang w:val="es-ES_tradnl"/>
        </w:rPr>
      </w:pPr>
    </w:p>
    <w:p w:rsidR="001A2871" w:rsidRPr="00A34388" w:rsidRDefault="001A2871" w:rsidP="001A2871">
      <w:pPr>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autoSpaceDE w:val="0"/>
        <w:autoSpaceDN w:val="0"/>
        <w:rPr>
          <w:sz w:val="16"/>
          <w:szCs w:val="16"/>
          <w:lang w:val="es-ES_tradnl"/>
        </w:rPr>
      </w:pPr>
    </w:p>
    <w:p w:rsidR="001A2871" w:rsidRPr="00A34388" w:rsidRDefault="001A2871" w:rsidP="004C0FD5">
      <w:pPr>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autoSpaceDE w:val="0"/>
        <w:autoSpaceDN w:val="0"/>
        <w:rPr>
          <w:szCs w:val="20"/>
          <w:lang w:val="es-ES_tradnl"/>
        </w:rPr>
      </w:pPr>
    </w:p>
    <w:p w:rsidR="001A2871" w:rsidRPr="00BF0114" w:rsidRDefault="001A2871" w:rsidP="001A2871">
      <w:pPr>
        <w:tabs>
          <w:tab w:val="left" w:pos="709"/>
        </w:tabs>
        <w:autoSpaceDE w:val="0"/>
        <w:autoSpaceDN w:val="0"/>
        <w:adjustRightInd w:val="0"/>
        <w:rPr>
          <w:rFonts w:cs="Arial"/>
          <w:szCs w:val="20"/>
          <w:u w:val="single"/>
          <w:lang w:val="es-ES_tradnl"/>
        </w:rPr>
      </w:pPr>
      <w:r w:rsidRPr="00BF0114">
        <w:rPr>
          <w:lang w:val="es-ES_tradnl"/>
        </w:rPr>
        <w:t>A.</w:t>
      </w:r>
      <w:r w:rsidRPr="00BF0114">
        <w:rPr>
          <w:lang w:val="es-ES_tradnl"/>
        </w:rPr>
        <w:tab/>
      </w:r>
      <w:r w:rsidRPr="00BF0114">
        <w:rPr>
          <w:u w:val="single"/>
          <w:lang w:val="es-ES_tradnl"/>
        </w:rPr>
        <w:t>Presupuesto 2012/13 después de las transferencias</w:t>
      </w:r>
    </w:p>
    <w:p w:rsidR="001A2871" w:rsidRPr="00A34388" w:rsidRDefault="001A2871" w:rsidP="001A2871">
      <w:pPr>
        <w:autoSpaceDE w:val="0"/>
        <w:autoSpaceDN w:val="0"/>
        <w:adjustRightInd w:val="0"/>
        <w:rPr>
          <w:rFonts w:cs="Arial"/>
          <w:szCs w:val="20"/>
          <w:lang w:val="es-ES_tradnl"/>
        </w:rPr>
      </w:pPr>
    </w:p>
    <w:p w:rsidR="001A2871" w:rsidRPr="00A34388" w:rsidRDefault="001A2871" w:rsidP="001A2871">
      <w:pPr>
        <w:keepNext/>
        <w:keepLines/>
        <w:tabs>
          <w:tab w:val="left" w:pos="709"/>
        </w:tabs>
        <w:jc w:val="both"/>
        <w:rPr>
          <w:rFonts w:eastAsia="Batang" w:cs="Arial"/>
          <w:szCs w:val="20"/>
          <w:lang w:val="es-ES_tradnl"/>
        </w:rPr>
      </w:pPr>
      <w:r w:rsidRPr="00A34388">
        <w:rPr>
          <w:lang w:val="es-ES_tradnl"/>
        </w:rPr>
        <w:t>14.9.</w:t>
      </w:r>
      <w:r w:rsidRPr="00A34388">
        <w:rPr>
          <w:lang w:val="es-ES_tradnl"/>
        </w:rPr>
        <w:tab/>
        <w:t>El presupuesto después d</w:t>
      </w:r>
      <w:r w:rsidR="009F4808" w:rsidRPr="00A34388">
        <w:rPr>
          <w:lang w:val="es-ES_tradnl"/>
        </w:rPr>
        <w:t xml:space="preserve">e las transferencias refleja:  </w:t>
      </w:r>
      <w:r w:rsidRPr="00A34388">
        <w:rPr>
          <w:lang w:val="es-ES_tradnl"/>
        </w:rPr>
        <w:t>i) un incremento de los recursos de personal debido a la redistribución interna llevada a cabo con la finalidad de apoyar la labor relacionada con los seminarios y talleres sobre el acceso a la información y los conocimientos sobre P.I., el contenido de las publicaciones en papel y en Internet</w:t>
      </w:r>
      <w:r w:rsidR="00A741D2" w:rsidRPr="00A34388">
        <w:rPr>
          <w:lang w:val="es-ES_tradnl"/>
        </w:rPr>
        <w:t>,</w:t>
      </w:r>
      <w:r w:rsidRPr="00A34388">
        <w:rPr>
          <w:lang w:val="es-ES_tradnl"/>
        </w:rPr>
        <w:t xml:space="preserve"> y el acceso a estas</w:t>
      </w:r>
      <w:r w:rsidR="006F0C07" w:rsidRPr="00A34388">
        <w:rPr>
          <w:lang w:val="es-ES_tradnl"/>
        </w:rPr>
        <w:t>,</w:t>
      </w:r>
      <w:r w:rsidRPr="00A34388">
        <w:rPr>
          <w:lang w:val="es-ES_tradnl"/>
        </w:rPr>
        <w:t xml:space="preserve"> y los CA</w:t>
      </w:r>
      <w:r w:rsidR="009F4808" w:rsidRPr="00A34388">
        <w:rPr>
          <w:lang w:val="es-ES_tradnl"/>
        </w:rPr>
        <w:t xml:space="preserve">TI en los Estados miembros;  y </w:t>
      </w:r>
      <w:r w:rsidRPr="00A34388">
        <w:rPr>
          <w:lang w:val="es-ES_tradnl"/>
        </w:rPr>
        <w:t xml:space="preserve">ii) la regularización de varios empleados temporeros con muchos años de servicio </w:t>
      </w:r>
      <w:r w:rsidR="001D043A" w:rsidRPr="00A34388">
        <w:rPr>
          <w:lang w:val="es-ES_tradnl"/>
        </w:rPr>
        <w:t xml:space="preserve">y que realizaban </w:t>
      </w:r>
      <w:r w:rsidRPr="00A34388">
        <w:rPr>
          <w:lang w:val="es-ES_tradnl"/>
        </w:rPr>
        <w:t xml:space="preserve">funciones </w:t>
      </w:r>
      <w:r w:rsidR="006F0C07" w:rsidRPr="00A34388">
        <w:rPr>
          <w:lang w:val="es-ES_tradnl"/>
        </w:rPr>
        <w:t xml:space="preserve">de naturaleza </w:t>
      </w:r>
      <w:r w:rsidR="001D043A" w:rsidRPr="00A34388">
        <w:rPr>
          <w:lang w:val="es-ES_tradnl"/>
        </w:rPr>
        <w:t xml:space="preserve">permanente en el marco del </w:t>
      </w:r>
      <w:r w:rsidRPr="00A34388">
        <w:rPr>
          <w:lang w:val="es-ES_tradnl"/>
        </w:rPr>
        <w:t xml:space="preserve">programa.  </w:t>
      </w:r>
    </w:p>
    <w:p w:rsidR="001A2871" w:rsidRPr="00A34388" w:rsidRDefault="001A2871" w:rsidP="001D043A">
      <w:pPr>
        <w:tabs>
          <w:tab w:val="left" w:pos="709"/>
        </w:tabs>
        <w:autoSpaceDE w:val="0"/>
        <w:autoSpaceDN w:val="0"/>
        <w:jc w:val="both"/>
        <w:rPr>
          <w:rFonts w:cs="Arial"/>
          <w:szCs w:val="20"/>
          <w:lang w:val="es-ES_tradnl"/>
        </w:rPr>
      </w:pPr>
    </w:p>
    <w:p w:rsidR="001A2871" w:rsidRPr="00A34388" w:rsidRDefault="001A2871" w:rsidP="001A2871">
      <w:pPr>
        <w:keepNext/>
        <w:tabs>
          <w:tab w:val="left" w:pos="709"/>
        </w:tabs>
        <w:autoSpaceDE w:val="0"/>
        <w:autoSpaceDN w:val="0"/>
        <w:jc w:val="both"/>
        <w:rPr>
          <w:szCs w:val="20"/>
          <w:lang w:val="es-ES_tradnl"/>
        </w:rPr>
      </w:pPr>
      <w:r w:rsidRPr="00332758">
        <w:rPr>
          <w:lang w:val="es-ES_tradnl"/>
        </w:rPr>
        <w:t>14.10.</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cs="Arial"/>
          <w:szCs w:val="20"/>
          <w:u w:val="single"/>
          <w:lang w:val="es-ES_tradnl"/>
        </w:rPr>
      </w:pPr>
      <w:r w:rsidRPr="00A34388">
        <w:rPr>
          <w:lang w:val="es-ES_tradnl"/>
        </w:rPr>
        <w:t>B.</w:t>
      </w:r>
      <w:r w:rsidRPr="00A34388">
        <w:rPr>
          <w:lang w:val="es-ES_tradnl"/>
        </w:rPr>
        <w:tab/>
      </w:r>
      <w:r w:rsidR="001B6AC7" w:rsidRPr="00A34388">
        <w:rPr>
          <w:u w:val="single"/>
          <w:lang w:val="es-ES_tradnl"/>
        </w:rPr>
        <w:t xml:space="preserve">Utilización del presupuesto </w:t>
      </w:r>
      <w:r w:rsidR="008635F3" w:rsidRPr="00A34388">
        <w:rPr>
          <w:u w:val="single"/>
          <w:lang w:val="es-ES_tradnl"/>
        </w:rPr>
        <w:t>en </w:t>
      </w:r>
      <w:r w:rsidR="001B6AC7" w:rsidRPr="00A34388">
        <w:rPr>
          <w:u w:val="single"/>
          <w:lang w:val="es-ES_tradnl"/>
        </w:rPr>
        <w:t>2012/13</w:t>
      </w:r>
    </w:p>
    <w:p w:rsidR="001A2871" w:rsidRPr="00A34388" w:rsidRDefault="001A2871" w:rsidP="001A2871">
      <w:pPr>
        <w:autoSpaceDE w:val="0"/>
        <w:autoSpaceDN w:val="0"/>
        <w:adjustRightInd w:val="0"/>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cs="Arial"/>
          <w:szCs w:val="20"/>
          <w:lang w:val="es-ES_tradnl"/>
        </w:rPr>
      </w:pPr>
      <w:r w:rsidRPr="00A34388">
        <w:rPr>
          <w:lang w:val="es-ES_tradnl"/>
        </w:rPr>
        <w:t>14.11.</w:t>
      </w:r>
      <w:r w:rsidRPr="00A34388">
        <w:rPr>
          <w:lang w:val="es-ES_tradnl"/>
        </w:rPr>
        <w:tab/>
        <w:t>La utilización del presupuesto, del 92%</w:t>
      </w:r>
      <w:r w:rsidR="006628FD" w:rsidRPr="00A34388">
        <w:rPr>
          <w:lang w:val="es-ES_tradnl"/>
        </w:rPr>
        <w:t>,</w:t>
      </w:r>
      <w:r w:rsidRPr="00A34388">
        <w:rPr>
          <w:lang w:val="es-ES_tradnl"/>
        </w:rPr>
        <w:t xml:space="preserve"> refleja un nivel de gastos ligeramente inferior al previsto como consecuencia de:  i) la tardía aprobación de la segunda fase del proyecto de la Agenda para el Desarrollo relativo al acceso a información pública sobre patentes, que no tuvo lugar hasta la décima sesión del CDIP en noviembre de 2012; </w:t>
      </w:r>
      <w:r w:rsidR="00267DA6" w:rsidRPr="00A34388">
        <w:rPr>
          <w:lang w:val="es-ES_tradnl"/>
        </w:rPr>
        <w:t xml:space="preserve"> </w:t>
      </w:r>
      <w:r w:rsidRPr="00A34388">
        <w:rPr>
          <w:lang w:val="es-ES_tradnl"/>
        </w:rPr>
        <w:t xml:space="preserve">y ii) el ahorro de costos de viajes y servicios contractuales de ese mismo proyecto. </w:t>
      </w:r>
    </w:p>
    <w:p w:rsidR="00391D6B" w:rsidRPr="003934C8" w:rsidRDefault="001A2871" w:rsidP="00391D6B">
      <w:pPr>
        <w:pStyle w:val="Heading3"/>
        <w:rPr>
          <w:rFonts w:hint="eastAsia"/>
          <w:lang w:val="es-ES"/>
        </w:rPr>
      </w:pPr>
      <w:r w:rsidRPr="00A34388">
        <w:rPr>
          <w:lang w:val="es-ES_tradnl"/>
        </w:rPr>
        <w:br w:type="page"/>
      </w:r>
      <w:bookmarkStart w:id="54" w:name="_Toc394319066"/>
      <w:bookmarkStart w:id="55" w:name="_Toc395279671"/>
      <w:r w:rsidR="00391D6B" w:rsidRPr="003934C8">
        <w:rPr>
          <w:lang w:val="es-ES"/>
        </w:rPr>
        <w:lastRenderedPageBreak/>
        <w:t>Programa 15</w:t>
      </w:r>
      <w:r w:rsidR="00391D6B" w:rsidRPr="003934C8">
        <w:rPr>
          <w:lang w:val="es-ES"/>
        </w:rPr>
        <w:tab/>
        <w:t>Soluciones operativas para las oficinas de P.I.</w:t>
      </w:r>
      <w:bookmarkEnd w:id="54"/>
      <w:bookmarkEnd w:id="55"/>
    </w:p>
    <w:p w:rsidR="00391D6B" w:rsidRPr="00332758" w:rsidRDefault="00391D6B" w:rsidP="00391D6B">
      <w:pPr>
        <w:ind w:left="2268" w:hanging="2268"/>
        <w:rPr>
          <w:sz w:val="22"/>
          <w:szCs w:val="22"/>
          <w:lang w:val="es-ES_tradnl"/>
        </w:rPr>
      </w:pPr>
    </w:p>
    <w:p w:rsidR="00391D6B" w:rsidRPr="00332758" w:rsidRDefault="00391D6B" w:rsidP="00391D6B">
      <w:pPr>
        <w:ind w:left="2694" w:hanging="2694"/>
        <w:rPr>
          <w:rFonts w:cs="Arial"/>
          <w:b/>
          <w:sz w:val="22"/>
          <w:szCs w:val="22"/>
          <w:lang w:val="es-ES_tradnl"/>
        </w:rPr>
      </w:pPr>
      <w:r w:rsidRPr="00332758">
        <w:rPr>
          <w:b/>
          <w:sz w:val="22"/>
          <w:lang w:val="es-ES_tradnl"/>
        </w:rPr>
        <w:t>Director del Programa</w:t>
      </w:r>
      <w:r w:rsidRPr="00A34388">
        <w:rPr>
          <w:lang w:val="es-ES_tradnl"/>
        </w:rPr>
        <w:tab/>
      </w:r>
      <w:r w:rsidRPr="00332758">
        <w:rPr>
          <w:b/>
          <w:sz w:val="22"/>
          <w:lang w:val="es-ES_tradnl"/>
        </w:rPr>
        <w:t>Sr Y. Takagi</w:t>
      </w:r>
    </w:p>
    <w:p w:rsidR="001A2871" w:rsidRDefault="001A2871" w:rsidP="00391D6B">
      <w:pPr>
        <w:rPr>
          <w:lang w:val="es-ES_tradnl"/>
        </w:rPr>
      </w:pPr>
    </w:p>
    <w:p w:rsidR="008372FC" w:rsidRPr="00A34388" w:rsidRDefault="008372FC" w:rsidP="001A2871">
      <w:pPr>
        <w:ind w:left="2268" w:hanging="2268"/>
        <w:rPr>
          <w:bCs/>
          <w:sz w:val="22"/>
          <w:szCs w:val="22"/>
          <w:lang w:val="es-ES_tradnl"/>
        </w:rPr>
      </w:pPr>
    </w:p>
    <w:p w:rsidR="001A2871" w:rsidRPr="00A34388" w:rsidRDefault="003E3F45" w:rsidP="001A2871">
      <w:pPr>
        <w:ind w:left="2268" w:hanging="2268"/>
        <w:rPr>
          <w:sz w:val="22"/>
          <w:szCs w:val="22"/>
          <w:lang w:val="es-ES_tradnl"/>
        </w:rPr>
      </w:pPr>
      <w:r>
        <w:rPr>
          <w:sz w:val="22"/>
          <w:lang w:val="es-ES_tradnl"/>
        </w:rPr>
        <w:t>AVANCES LOGRADOS EN EL BIENIO 2012/13</w:t>
      </w:r>
    </w:p>
    <w:p w:rsidR="001A2871" w:rsidRPr="00A34388" w:rsidRDefault="001A2871" w:rsidP="001A2871">
      <w:pPr>
        <w:rPr>
          <w:sz w:val="22"/>
          <w:szCs w:val="22"/>
          <w:lang w:val="es-ES_tradnl"/>
        </w:rPr>
      </w:pPr>
    </w:p>
    <w:p w:rsidR="00D41354" w:rsidRPr="00A34388" w:rsidRDefault="001A2871" w:rsidP="001A2871">
      <w:pPr>
        <w:tabs>
          <w:tab w:val="left" w:pos="709"/>
        </w:tabs>
        <w:jc w:val="both"/>
        <w:rPr>
          <w:color w:val="000000"/>
          <w:lang w:val="es-ES_tradnl"/>
        </w:rPr>
      </w:pPr>
      <w:r w:rsidRPr="00A34388">
        <w:rPr>
          <w:color w:val="000000"/>
          <w:lang w:val="es-ES_tradnl"/>
        </w:rPr>
        <w:t>15.1.</w:t>
      </w:r>
      <w:r w:rsidRPr="00A34388">
        <w:rPr>
          <w:lang w:val="es-ES_tradnl"/>
        </w:rPr>
        <w:tab/>
      </w:r>
      <w:r w:rsidRPr="00A34388">
        <w:rPr>
          <w:color w:val="000000"/>
          <w:lang w:val="es-ES_tradnl"/>
        </w:rPr>
        <w:t xml:space="preserve">Durante el bienio se confirmó un cambio de las condiciones estructurales con arreglo a las cuales funcionaba el programa, en particular para atender la creciente demanda, no solo de </w:t>
      </w:r>
      <w:r w:rsidR="00E56D8A">
        <w:rPr>
          <w:color w:val="000000"/>
          <w:lang w:val="es-ES_tradnl"/>
        </w:rPr>
        <w:t xml:space="preserve">los </w:t>
      </w:r>
      <w:r w:rsidRPr="00A34388">
        <w:rPr>
          <w:color w:val="000000"/>
          <w:lang w:val="es-ES_tradnl"/>
        </w:rPr>
        <w:t xml:space="preserve">sistemas </w:t>
      </w:r>
      <w:r w:rsidR="00E56D8A" w:rsidRPr="00A34388">
        <w:rPr>
          <w:color w:val="000000"/>
          <w:lang w:val="es-ES_tradnl"/>
        </w:rPr>
        <w:t xml:space="preserve">básicos </w:t>
      </w:r>
      <w:r w:rsidRPr="00A34388">
        <w:rPr>
          <w:color w:val="000000"/>
          <w:lang w:val="es-ES_tradnl"/>
        </w:rPr>
        <w:t xml:space="preserve">de administración de P.I. proporcionados por la OMPI, sino también de </w:t>
      </w:r>
      <w:r w:rsidR="00E56D8A">
        <w:rPr>
          <w:color w:val="000000"/>
          <w:lang w:val="es-ES_tradnl"/>
        </w:rPr>
        <w:t xml:space="preserve">otros </w:t>
      </w:r>
      <w:r w:rsidRPr="00A34388">
        <w:rPr>
          <w:color w:val="000000"/>
          <w:lang w:val="es-ES_tradnl"/>
        </w:rPr>
        <w:t>sistemas proporcionados por la OMPI</w:t>
      </w:r>
      <w:r w:rsidR="00E56D8A">
        <w:rPr>
          <w:color w:val="000000"/>
          <w:lang w:val="es-ES_tradnl"/>
        </w:rPr>
        <w:t>,</w:t>
      </w:r>
      <w:r w:rsidRPr="00A34388">
        <w:rPr>
          <w:color w:val="000000"/>
          <w:lang w:val="es-ES_tradnl"/>
        </w:rPr>
        <w:t xml:space="preserve"> más complejos, todos los cuales proporcionan a las oficinas de P.I. tanto soluciones comerciales como las herramientas y plataformas técnicas de asistencia que les permiten administrar de forma eficiente y económica las aplicaciones de P.I.  El modelo de despliegue y asistencia que el programa utilizaba hasta entonces se había establecido con un equipo de la OMPI más pequeño y para atender a un número menor de oficinas con necesidades menos avanzadas.  </w:t>
      </w:r>
      <w:r w:rsidR="00D41354" w:rsidRPr="00A34388">
        <w:rPr>
          <w:color w:val="000000"/>
          <w:lang w:val="es-ES_tradnl"/>
        </w:rPr>
        <w:t xml:space="preserve">Durante el bienio 2012/13, se detectaron una creciente demanda de sistemas de administración de P.I. proporcionados por la OMPI y una mayor complejidad de las necesidades de los usuarios.  Con el fin de atender estas necesidades y proporcionar un entorno propicio a la comunidad de usuarios de la OMPI, se definió una nueva estrategia de asistencia centrada en una mayor sistematización de los procedimientos de asistencia informática, una mayor asunción de los sistemas como propios por parte de sus usuarios, la transferencia de conocimientos en las esferas nacional y regional, </w:t>
      </w:r>
      <w:r w:rsidR="00D41354" w:rsidRPr="00A34388">
        <w:rPr>
          <w:lang w:val="es-ES_tradnl"/>
        </w:rPr>
        <w:t xml:space="preserve">y una mayor aportación a las prioridades de </w:t>
      </w:r>
      <w:r w:rsidR="007F2148" w:rsidRPr="00A34388">
        <w:rPr>
          <w:lang w:val="es-ES_tradnl"/>
        </w:rPr>
        <w:t>desarrollo</w:t>
      </w:r>
      <w:r w:rsidR="00D41354" w:rsidRPr="00A34388">
        <w:rPr>
          <w:lang w:val="es-ES_tradnl"/>
        </w:rPr>
        <w:t xml:space="preserve"> de los sistemas por parte de la comunidad de usuarios,</w:t>
      </w:r>
      <w:r w:rsidR="00D41354" w:rsidRPr="00A34388">
        <w:rPr>
          <w:color w:val="000000"/>
          <w:lang w:val="es-ES_tradnl"/>
        </w:rPr>
        <w:t xml:space="preserve"> teniendo siempre en cuenta las necesidades y capacidades concretas de cada oficina.  El proceso de cambio de la estrategia de asistencia no ha terminado y seguirá poniéndose en práctica en el bienio 2014/15. </w:t>
      </w:r>
    </w:p>
    <w:p w:rsidR="00D41354" w:rsidRPr="00A34388" w:rsidRDefault="00D41354" w:rsidP="001A2871">
      <w:pPr>
        <w:tabs>
          <w:tab w:val="left" w:pos="709"/>
        </w:tabs>
        <w:jc w:val="both"/>
        <w:rPr>
          <w:color w:val="000000"/>
          <w:lang w:val="es-ES_tradnl"/>
        </w:rPr>
      </w:pPr>
    </w:p>
    <w:p w:rsidR="001A2871" w:rsidRPr="00A34388" w:rsidRDefault="001A2871" w:rsidP="001A2871">
      <w:pPr>
        <w:tabs>
          <w:tab w:val="left" w:pos="709"/>
        </w:tabs>
        <w:jc w:val="both"/>
        <w:rPr>
          <w:bCs/>
          <w:szCs w:val="20"/>
          <w:lang w:val="es-ES_tradnl"/>
        </w:rPr>
      </w:pPr>
      <w:r w:rsidRPr="00A34388">
        <w:rPr>
          <w:lang w:val="es-ES_tradnl"/>
        </w:rPr>
        <w:t>15.2.</w:t>
      </w:r>
      <w:r w:rsidRPr="00A34388">
        <w:rPr>
          <w:lang w:val="es-ES_tradnl"/>
        </w:rPr>
        <w:tab/>
        <w:t xml:space="preserve">El programa comenzó a desarrollar los nuevos módulos adaptables a los sistemas de administración de P.I. proporcionados por la OMPI propuestos para las actividades principales de las oficinas de P.I., a saber, WIPO File, un sistema mediante el que solicitantes y agentes pueden presentar por Internet </w:t>
      </w:r>
      <w:r w:rsidR="00E56D8A">
        <w:rPr>
          <w:lang w:val="es-ES_tradnl"/>
        </w:rPr>
        <w:t xml:space="preserve">las </w:t>
      </w:r>
      <w:r w:rsidRPr="00A34388">
        <w:rPr>
          <w:lang w:val="es-ES_tradnl"/>
        </w:rPr>
        <w:t xml:space="preserve">solicitudes de P.I. y la documentación justificativa, y el servidor de publicaciones de la OMPI, que ayuda a las oficinas a ofrecer acceso en Internet a documentos publicados y facilita el intercambio de datos y documentos publicados. </w:t>
      </w:r>
    </w:p>
    <w:p w:rsidR="001A2871" w:rsidRPr="00A34388" w:rsidRDefault="001A2871" w:rsidP="001A2871">
      <w:pPr>
        <w:tabs>
          <w:tab w:val="left" w:pos="709"/>
        </w:tabs>
        <w:jc w:val="both"/>
        <w:rPr>
          <w:bCs/>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15.3.</w:t>
      </w:r>
      <w:r w:rsidRPr="00A34388">
        <w:rPr>
          <w:lang w:val="es-ES_tradnl"/>
        </w:rPr>
        <w:tab/>
        <w:t>El programa actualizó los siguientes sistemas de administración de P.I. proporcionados por la OMPI:</w:t>
      </w:r>
    </w:p>
    <w:p w:rsidR="001A2871" w:rsidRPr="00A34388" w:rsidRDefault="001A2871" w:rsidP="001A2871">
      <w:pPr>
        <w:tabs>
          <w:tab w:val="left" w:pos="709"/>
        </w:tabs>
        <w:jc w:val="both"/>
        <w:rPr>
          <w:bCs/>
          <w:szCs w:val="20"/>
          <w:lang w:val="es-ES_tradnl"/>
        </w:rPr>
      </w:pPr>
    </w:p>
    <w:p w:rsidR="001A2871" w:rsidRPr="00A34388" w:rsidRDefault="001A2871" w:rsidP="001A2871">
      <w:pPr>
        <w:pStyle w:val="ListParagraph"/>
        <w:numPr>
          <w:ilvl w:val="0"/>
          <w:numId w:val="43"/>
        </w:numPr>
        <w:ind w:left="1134" w:hanging="425"/>
        <w:jc w:val="both"/>
        <w:rPr>
          <w:lang w:val="es-ES_tradnl"/>
        </w:rPr>
      </w:pPr>
      <w:r w:rsidRPr="00A34388">
        <w:rPr>
          <w:lang w:val="es-ES_tradnl"/>
        </w:rPr>
        <w:t xml:space="preserve">El Sistema de Automatización de la Propiedad Industrial (IPAS), que sirve de apoyo para todos los principales procesos de trabajo de una oficina de P.I., desde el registro de los datos sobre P.I. hasta la publicación:  el desarrollo continuo permitió una mejora sustancial puesta en marcha en 2012 y el Sistema de Gestión Electrónica de Documentos (EDMS) se integró con éxito en el IPAS. </w:t>
      </w:r>
    </w:p>
    <w:p w:rsidR="001A2871" w:rsidRPr="00A34388" w:rsidRDefault="001A2871" w:rsidP="001A2871">
      <w:pPr>
        <w:ind w:left="1134" w:hanging="425"/>
        <w:jc w:val="both"/>
        <w:rPr>
          <w:bCs/>
          <w:szCs w:val="20"/>
          <w:lang w:val="es-ES_tradnl"/>
        </w:rPr>
      </w:pPr>
    </w:p>
    <w:p w:rsidR="001A2871" w:rsidRPr="00A34388" w:rsidRDefault="001A2871" w:rsidP="001A2871">
      <w:pPr>
        <w:pStyle w:val="ListParagraph"/>
        <w:numPr>
          <w:ilvl w:val="0"/>
          <w:numId w:val="43"/>
        </w:numPr>
        <w:ind w:left="1134" w:hanging="425"/>
        <w:jc w:val="both"/>
        <w:rPr>
          <w:bCs/>
          <w:lang w:val="es-ES_tradnl"/>
        </w:rPr>
      </w:pPr>
      <w:r w:rsidRPr="00A34388">
        <w:rPr>
          <w:lang w:val="es-ES_tradnl"/>
        </w:rPr>
        <w:t xml:space="preserve">Los Servicios de Acceso Digital a los Documentos de Prioridad de la OMPI (DAS), que permiten que las oficinas de P.I. participantes intercambien de forma segura documentos de prioridad y similares:  a mediados de 2012 se puso en funcionamiento una nueva versión del sistema, que aplica un procedimiento simplificado de intercambio de documentos de prioridad entre las oficinas participantes, para permitir el intercambio seguro de documentos de prioridad relativos a patentes, modelos de utilidad, dibujos y modelos industriales y marcas, así como otras mejoras acordadas por el Grupo de </w:t>
      </w:r>
      <w:r w:rsidR="006F0C07" w:rsidRPr="00A34388">
        <w:rPr>
          <w:lang w:val="es-ES_tradnl"/>
        </w:rPr>
        <w:t>T</w:t>
      </w:r>
      <w:r w:rsidRPr="00A34388">
        <w:rPr>
          <w:lang w:val="es-ES_tradnl"/>
        </w:rPr>
        <w:t>rabajo sobre el servicio de acceso digital a los documentos de prioridad en 2011.</w:t>
      </w:r>
    </w:p>
    <w:p w:rsidR="001A2871" w:rsidRPr="00A34388" w:rsidRDefault="001A2871" w:rsidP="001A2871">
      <w:pPr>
        <w:ind w:left="1134" w:hanging="425"/>
        <w:jc w:val="both"/>
        <w:rPr>
          <w:bCs/>
          <w:szCs w:val="20"/>
          <w:lang w:val="es-ES_tradnl"/>
        </w:rPr>
      </w:pPr>
    </w:p>
    <w:p w:rsidR="001A2871" w:rsidRPr="00A34388" w:rsidRDefault="001A2871" w:rsidP="001A2871">
      <w:pPr>
        <w:pStyle w:val="ListParagraph"/>
        <w:numPr>
          <w:ilvl w:val="0"/>
          <w:numId w:val="43"/>
        </w:numPr>
        <w:ind w:left="1134" w:hanging="425"/>
        <w:jc w:val="both"/>
        <w:rPr>
          <w:bCs/>
          <w:lang w:val="es-ES_tradnl"/>
        </w:rPr>
      </w:pPr>
      <w:r w:rsidRPr="00A34388">
        <w:rPr>
          <w:lang w:val="es-ES_tradnl"/>
        </w:rPr>
        <w:t>El Acceso Centralizado a la Búsqueda y el Examen de la OMPI (CASE), que permite el intercambio seguro de documentos de búsqueda y examen para facilitar el reparto de trabajo entre oficinas de patentes:  a mediados de 2012 se llevó a cabo una actualización a gran escala, en la que se añadió la función de búsqueda por familia de patentes y el acceso remoto a las bibliotecas digitales de las oficinas de P.I., facilitando el acceso a sus documentos por Internet.</w:t>
      </w:r>
    </w:p>
    <w:p w:rsidR="001A2871" w:rsidRPr="00A34388" w:rsidRDefault="001A2871" w:rsidP="001A2871">
      <w:pPr>
        <w:jc w:val="both"/>
        <w:rPr>
          <w:bCs/>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15.4.</w:t>
      </w:r>
      <w:r w:rsidRPr="00A34388">
        <w:rPr>
          <w:lang w:val="es-ES_tradnl"/>
        </w:rPr>
        <w:tab/>
        <w:t xml:space="preserve">Con la asistencia de la Oficina Japonesa de Patentes (JPO), se organizaron dos actividades de formación de gran importancia centradas en el intercambio de conocimientos y experiencias en el ámbito de la modernización de oficinas.  El primer taller estaba dirigido a la región africana y se elaboró con la colaboración de la Organización Regional Africana de la Propiedad Intelectual (ARIPO) para mejorar la </w:t>
      </w:r>
      <w:r w:rsidRPr="00A34388">
        <w:rPr>
          <w:snapToGrid w:val="0"/>
          <w:lang w:val="es-ES_tradnl"/>
        </w:rPr>
        <w:t xml:space="preserve">capacidad y las aptitudes técnicas de los coordinadores de IPAS de los Estados miembros de ARIPO, </w:t>
      </w:r>
      <w:r w:rsidRPr="00A34388">
        <w:rPr>
          <w:lang w:val="es-ES_tradnl"/>
        </w:rPr>
        <w:lastRenderedPageBreak/>
        <w:t>mejorar sus conocimientos de la arquitectura del sistema, crear una red de apoyo regional para el sistema</w:t>
      </w:r>
      <w:r w:rsidRPr="00A34388">
        <w:rPr>
          <w:snapToGrid w:val="0"/>
          <w:lang w:val="es-ES_tradnl"/>
        </w:rPr>
        <w:t xml:space="preserve"> e intercambiar conocimientos y experiencia sobre asistencia técnica y resolución de </w:t>
      </w:r>
      <w:r w:rsidR="00E56D8A">
        <w:rPr>
          <w:snapToGrid w:val="0"/>
          <w:lang w:val="es-ES_tradnl"/>
        </w:rPr>
        <w:t xml:space="preserve">los </w:t>
      </w:r>
      <w:r w:rsidRPr="00A34388">
        <w:rPr>
          <w:snapToGrid w:val="0"/>
          <w:lang w:val="es-ES_tradnl"/>
        </w:rPr>
        <w:t xml:space="preserve">problemas de IPAS en la región.  El segundo taller estaba dirigido a los Estados miembros de la Asociación de Naciones del Asia Sudoriental (ASEAN) y se elaboró conjuntamente </w:t>
      </w:r>
      <w:r w:rsidRPr="00A34388">
        <w:rPr>
          <w:lang w:val="es-ES_tradnl"/>
        </w:rPr>
        <w:t xml:space="preserve">con la Oficina de Propiedad Intelectual de </w:t>
      </w:r>
      <w:r w:rsidR="00640EF0" w:rsidRPr="00A34388">
        <w:rPr>
          <w:lang w:val="es-ES_tradnl"/>
        </w:rPr>
        <w:t>Filipinas</w:t>
      </w:r>
      <w:r w:rsidRPr="00A34388">
        <w:rPr>
          <w:lang w:val="es-ES_tradnl"/>
        </w:rPr>
        <w:t xml:space="preserve"> (IPOPHL).  Su objetivo era el intercambio de conocimientos y experiencias entre los Estados miembros de ASEAN, el aumento de la sensibilización sobre iniciativas de trabajo compartido, la promoción de redes regionales y la facilitación de la hoja de ruta en el ámbito de las tecnologías de la información.  La evaluación de ambas actividades confirmó su valor añadido en términos de creación de capacidad.</w:t>
      </w:r>
    </w:p>
    <w:p w:rsidR="001A2871" w:rsidRPr="00A34388" w:rsidRDefault="001A2871" w:rsidP="001A2871">
      <w:pPr>
        <w:tabs>
          <w:tab w:val="left" w:pos="709"/>
        </w:tabs>
        <w:jc w:val="both"/>
        <w:rPr>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15.5.</w:t>
      </w:r>
      <w:r w:rsidRPr="00A34388">
        <w:rPr>
          <w:lang w:val="es-ES_tradnl"/>
        </w:rPr>
        <w:tab/>
        <w:t>También se organizó un taller técnico en la sede de la OMPI en Ginebra para administradores de IPAS y del sistema de digitalización WIPOScan procedentes de varias regiones, con el fin de mejorar la aceptación de los sistemas por parte de sus usuarios</w:t>
      </w:r>
      <w:r w:rsidR="006F0C07" w:rsidRPr="00A34388">
        <w:rPr>
          <w:lang w:val="es-ES_tradnl"/>
        </w:rPr>
        <w:t>.</w:t>
      </w:r>
      <w:r w:rsidRPr="00A34388">
        <w:rPr>
          <w:lang w:val="es-ES_tradnl"/>
        </w:rPr>
        <w:t xml:space="preserve"> </w:t>
      </w:r>
    </w:p>
    <w:p w:rsidR="001A2871" w:rsidRPr="00A34388" w:rsidRDefault="001A2871" w:rsidP="001A2871">
      <w:pPr>
        <w:tabs>
          <w:tab w:val="left" w:pos="709"/>
        </w:tabs>
        <w:jc w:val="both"/>
        <w:rPr>
          <w:bCs/>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15.6.</w:t>
      </w:r>
      <w:r w:rsidRPr="00A34388">
        <w:rPr>
          <w:lang w:val="es-ES_tradnl"/>
        </w:rPr>
        <w:tab/>
        <w:t xml:space="preserve">El gráfico siguiente proporciona un panorama general del nivel de uso de los sistemas de administración de P.I. proporcionados por la OMPI durante los últimos cinco años. </w:t>
      </w:r>
      <w:r w:rsidR="00537926" w:rsidRPr="00A34388">
        <w:rPr>
          <w:lang w:val="es-ES_tradnl"/>
        </w:rPr>
        <w:t xml:space="preserve"> </w:t>
      </w:r>
      <w:r w:rsidRPr="00A34388">
        <w:rPr>
          <w:lang w:val="es-ES_tradnl"/>
        </w:rPr>
        <w:t>Muestra un evidente incremento del uso entre los bienios 2010/11 y 2012/13.</w:t>
      </w:r>
    </w:p>
    <w:p w:rsidR="001A2871" w:rsidRPr="00A34388" w:rsidRDefault="001A2871" w:rsidP="001A2871">
      <w:pPr>
        <w:rPr>
          <w:bCs/>
          <w:szCs w:val="20"/>
          <w:lang w:val="es-ES_tradnl"/>
        </w:rPr>
      </w:pPr>
    </w:p>
    <w:p w:rsidR="001A2871" w:rsidRPr="00A34388" w:rsidRDefault="001A2871" w:rsidP="001A2871">
      <w:pPr>
        <w:ind w:left="2268" w:hanging="2268"/>
        <w:rPr>
          <w:bCs/>
          <w:sz w:val="22"/>
          <w:szCs w:val="22"/>
          <w:lang w:val="es-ES_tradnl"/>
        </w:rPr>
      </w:pPr>
      <w:r w:rsidRPr="00A34388">
        <w:rPr>
          <w:noProof/>
        </w:rPr>
        <w:drawing>
          <wp:inline distT="0" distB="0" distL="0" distR="0" wp14:anchorId="149E9F0C" wp14:editId="24484E87">
            <wp:extent cx="5760083" cy="33638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F2CCD.30EE86D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760083" cy="3363889"/>
                    </a:xfrm>
                    <a:prstGeom prst="rect">
                      <a:avLst/>
                    </a:prstGeom>
                    <a:noFill/>
                    <a:ln>
                      <a:noFill/>
                    </a:ln>
                  </pic:spPr>
                </pic:pic>
              </a:graphicData>
            </a:graphic>
          </wp:inline>
        </w:drawing>
      </w:r>
    </w:p>
    <w:p w:rsidR="001A2871" w:rsidRPr="00A34388" w:rsidRDefault="001A2871" w:rsidP="001A2871">
      <w:pPr>
        <w:ind w:left="2268" w:hanging="2268"/>
        <w:rPr>
          <w:bCs/>
          <w:sz w:val="22"/>
          <w:szCs w:val="22"/>
          <w:lang w:val="es-ES_tradnl"/>
        </w:rPr>
      </w:pPr>
    </w:p>
    <w:p w:rsidR="001A2871" w:rsidRPr="00A34388" w:rsidRDefault="001A2871" w:rsidP="001A2871">
      <w:pPr>
        <w:tabs>
          <w:tab w:val="left" w:pos="709"/>
        </w:tabs>
        <w:jc w:val="both"/>
        <w:rPr>
          <w:bCs/>
          <w:szCs w:val="20"/>
          <w:lang w:val="es-ES_tradnl"/>
        </w:rPr>
      </w:pPr>
      <w:r w:rsidRPr="00A34388">
        <w:rPr>
          <w:lang w:val="es-ES_tradnl"/>
        </w:rPr>
        <w:t>15.7.</w:t>
      </w:r>
      <w:r w:rsidRPr="00A34388">
        <w:rPr>
          <w:lang w:val="es-ES_tradnl"/>
        </w:rPr>
        <w:tab/>
        <w:t>Unas 64 oficinas de P.I. utilizaban sistemas de administración de P.I. proporcionados por la OMPI al cierre del bienio 2012/13 (que incluyen el IPAS, el Sistema de Gestión de la P.I. en Árabe de la OMPI (AIPMS), el sistema de gestión electrónica de documentos, WIPOScan y el módulo de Madrid)</w:t>
      </w:r>
    </w:p>
    <w:p w:rsidR="001A2871" w:rsidRPr="00A34388" w:rsidRDefault="001A2871" w:rsidP="001A2871">
      <w:pPr>
        <w:tabs>
          <w:tab w:val="left" w:pos="709"/>
        </w:tabs>
        <w:jc w:val="both"/>
        <w:rPr>
          <w:bCs/>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15.8.</w:t>
      </w:r>
      <w:r w:rsidRPr="00A34388">
        <w:rPr>
          <w:lang w:val="es-ES_tradnl"/>
        </w:rPr>
        <w:tab/>
        <w:t xml:space="preserve">Además, siete oficinas de P.I. usaban el Acceso Centralizado a la Búsqueda y el Examen (CASE) y 11 oficinas de P.I. empleaban los Servicios de Acceso Digital a los Documentos de Prioridad (DAS). </w:t>
      </w:r>
    </w:p>
    <w:p w:rsidR="001A2871" w:rsidRPr="00A34388" w:rsidRDefault="001A2871" w:rsidP="001A2871">
      <w:pPr>
        <w:tabs>
          <w:tab w:val="left" w:pos="709"/>
        </w:tabs>
        <w:jc w:val="both"/>
        <w:rPr>
          <w:bCs/>
          <w:szCs w:val="20"/>
          <w:lang w:val="es-ES_tradnl"/>
        </w:rPr>
      </w:pPr>
    </w:p>
    <w:p w:rsidR="001A2871" w:rsidRPr="00A34388" w:rsidRDefault="001A2871" w:rsidP="001A2871">
      <w:pPr>
        <w:tabs>
          <w:tab w:val="left" w:pos="709"/>
        </w:tabs>
        <w:jc w:val="both"/>
        <w:rPr>
          <w:bCs/>
          <w:szCs w:val="20"/>
          <w:lang w:val="es-ES_tradnl"/>
        </w:rPr>
      </w:pPr>
      <w:r w:rsidRPr="00A34388">
        <w:rPr>
          <w:lang w:val="es-ES_tradnl"/>
        </w:rPr>
        <w:t>15.9.</w:t>
      </w:r>
      <w:r w:rsidRPr="00A34388">
        <w:rPr>
          <w:lang w:val="es-ES_tradnl"/>
        </w:rPr>
        <w:tab/>
        <w:t xml:space="preserve">El programa reforzó la colaboración y la asociación mediante la firma durante el bienio de 17 nuevos acuerdos de cooperación para el desarrollo de los servicios que prestan las oficinas de P.I. </w:t>
      </w:r>
    </w:p>
    <w:p w:rsidR="001A2871" w:rsidRPr="00A34388" w:rsidRDefault="001A2871" w:rsidP="00253396">
      <w:pPr>
        <w:rPr>
          <w:rFonts w:cs="Arial"/>
          <w:bCs/>
          <w:sz w:val="22"/>
          <w:szCs w:val="22"/>
          <w:lang w:val="es-ES_tradnl"/>
        </w:rPr>
      </w:pPr>
    </w:p>
    <w:p w:rsidR="001A2871" w:rsidRPr="00A34388" w:rsidRDefault="001A2871" w:rsidP="001A2871">
      <w:pPr>
        <w:ind w:left="2268" w:hanging="2268"/>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rPr>
          <w:sz w:val="22"/>
          <w:szCs w:val="22"/>
          <w:lang w:val="es-ES_tradnl"/>
        </w:rPr>
      </w:pPr>
    </w:p>
    <w:p w:rsidR="001A2871" w:rsidRPr="00A34388" w:rsidRDefault="001A2871" w:rsidP="001A2871">
      <w:pPr>
        <w:tabs>
          <w:tab w:val="left" w:pos="709"/>
        </w:tabs>
        <w:jc w:val="both"/>
        <w:rPr>
          <w:rFonts w:cs="Arial"/>
          <w:bCs/>
          <w:szCs w:val="20"/>
          <w:lang w:val="es-ES_tradnl"/>
        </w:rPr>
      </w:pPr>
      <w:r w:rsidRPr="00332758">
        <w:rPr>
          <w:lang w:val="es-ES_tradnl"/>
        </w:rPr>
        <w:t>15.10.</w:t>
      </w:r>
      <w:r w:rsidRPr="00A34388">
        <w:rPr>
          <w:lang w:val="es-ES_tradnl"/>
        </w:rPr>
        <w:tab/>
      </w:r>
      <w:r w:rsidRPr="00332758">
        <w:rPr>
          <w:lang w:val="es-ES_tradnl"/>
        </w:rPr>
        <w:t>El diseño, la planificación y el desarrollo de las actividades emprendidas por el programa 15 tuvieron en cuenta y se guiaron por las recomendaciones pertinentes de la Agenda para el Desarrollo, en particular las recomendaciones 1, 2 y 10.  Además, el programa acometió la ejecución del proyecto de la Agenda para el Desarrollo sobre instituciones de P.I. eficaces y el proyecto sobre la propiedad intelectual, las tecnologías de la información y la comunicación, la brecha digital y el acceso a los conocimientos.</w:t>
      </w:r>
      <w:r w:rsidRPr="00A34388">
        <w:rPr>
          <w:lang w:val="es-ES_tradnl"/>
        </w:rPr>
        <w:t xml:space="preserve">  </w:t>
      </w:r>
      <w:r w:rsidRPr="00332758">
        <w:rPr>
          <w:lang w:val="es-ES_tradnl"/>
        </w:rPr>
        <w:t>Ambos proyectos concluyeron a finales de 2011 y fueron evaluados en 2012.</w:t>
      </w:r>
      <w:r w:rsidRPr="00A34388">
        <w:rPr>
          <w:lang w:val="es-ES_tradnl"/>
        </w:rPr>
        <w:t xml:space="preserve"> </w:t>
      </w:r>
      <w:r w:rsidRPr="00332758">
        <w:rPr>
          <w:lang w:val="es-ES_tradnl"/>
        </w:rPr>
        <w:t>El CDIP sometió a debate los informes de evaluación correspondientes.</w:t>
      </w:r>
      <w:r w:rsidRPr="00A34388">
        <w:rPr>
          <w:lang w:val="es-ES_tradnl"/>
        </w:rPr>
        <w:t xml:space="preserve">  </w:t>
      </w:r>
    </w:p>
    <w:p w:rsidR="001A2871" w:rsidRPr="00A34388" w:rsidRDefault="001A2871" w:rsidP="001A2871">
      <w:pPr>
        <w:tabs>
          <w:tab w:val="left" w:pos="709"/>
        </w:tabs>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15.11.</w:t>
      </w:r>
      <w:r w:rsidRPr="00A34388">
        <w:rPr>
          <w:lang w:val="es-ES_tradnl"/>
        </w:rPr>
        <w:tab/>
        <w:t xml:space="preserve">Además, con miras a mejorar la infraestructura técnica y de conocimientos de las oficinas de P.I. y de otras instituciones de P.I. para prestar mejores servicios a los sectores interesados, el programa siguió proporcionando asistencia técnica a las oficinas de P.I. de los países en desarrollo y de los PMA con el fin de mejorar sus sistemas </w:t>
      </w:r>
      <w:r w:rsidR="00E56D8A">
        <w:rPr>
          <w:lang w:val="es-ES_tradnl"/>
        </w:rPr>
        <w:t xml:space="preserve">de </w:t>
      </w:r>
      <w:r w:rsidRPr="00A34388">
        <w:rPr>
          <w:lang w:val="es-ES_tradnl"/>
        </w:rPr>
        <w:t xml:space="preserve">TIC </w:t>
      </w:r>
      <w:r w:rsidR="00E56D8A">
        <w:rPr>
          <w:lang w:val="es-ES_tradnl"/>
        </w:rPr>
        <w:t xml:space="preserve">para la </w:t>
      </w:r>
      <w:r w:rsidRPr="00A34388">
        <w:rPr>
          <w:lang w:val="es-ES_tradnl"/>
        </w:rPr>
        <w:t>recepción, administración, examen, registro y publicación de títulos de P.I.</w:t>
      </w:r>
    </w:p>
    <w:p w:rsidR="001A2871" w:rsidRPr="00A34388" w:rsidRDefault="001A2871" w:rsidP="001A2871">
      <w:pPr>
        <w:rPr>
          <w:rFonts w:cs="Arial"/>
          <w:sz w:val="22"/>
          <w:szCs w:val="22"/>
          <w:lang w:val="es-ES_tradnl"/>
        </w:rPr>
      </w:pPr>
    </w:p>
    <w:p w:rsidR="001A2871" w:rsidRPr="00A34388" w:rsidRDefault="001A2871" w:rsidP="001A2871">
      <w:pPr>
        <w:rPr>
          <w:rFonts w:cs="Arial"/>
          <w:sz w:val="22"/>
          <w:szCs w:val="22"/>
          <w:lang w:val="es-ES_tradnl"/>
        </w:rPr>
      </w:pP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2"/>
        <w:gridCol w:w="1731"/>
        <w:gridCol w:w="1482"/>
        <w:gridCol w:w="3206"/>
        <w:gridCol w:w="1536"/>
      </w:tblGrid>
      <w:tr w:rsidR="001A2871" w:rsidRPr="00A9508D" w:rsidTr="00853209">
        <w:trPr>
          <w:cantSplit/>
          <w:trHeight w:val="136"/>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r>
      <w:tr w:rsidR="001A2871" w:rsidRPr="00A34388" w:rsidTr="00853209">
        <w:trPr>
          <w:cantSplit/>
          <w:trHeight w:val="136"/>
        </w:trPr>
        <w:tc>
          <w:tcPr>
            <w:tcW w:w="74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25"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792"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13"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821"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Height w:val="136"/>
        </w:trPr>
        <w:tc>
          <w:tcPr>
            <w:tcW w:w="74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que disponen de sistemas de administración de P.I. totalmente automatizados proporcionados por la OMPI, en comparación con las que disponen de sistemas automatizados parcialmente.</w:t>
            </w:r>
            <w:r w:rsidRPr="00A34388">
              <w:rPr>
                <w:sz w:val="16"/>
                <w:lang w:val="es-ES_tradnl"/>
              </w:rPr>
              <w:t xml:space="preserve"> </w:t>
            </w:r>
          </w:p>
          <w:p w:rsidR="001A2871" w:rsidRPr="00A34388" w:rsidRDefault="001A2871" w:rsidP="00853209">
            <w:pPr>
              <w:rPr>
                <w:rFonts w:cs="Arial"/>
                <w:sz w:val="16"/>
                <w:szCs w:val="16"/>
                <w:lang w:val="es-ES_tradnl"/>
              </w:rPr>
            </w:pPr>
          </w:p>
        </w:tc>
        <w:tc>
          <w:tcPr>
            <w:tcW w:w="925" w:type="pct"/>
            <w:shd w:val="clear" w:color="auto" w:fill="auto"/>
          </w:tcPr>
          <w:p w:rsidR="001A2871" w:rsidRPr="007F44BE" w:rsidRDefault="001A2871" w:rsidP="00853209">
            <w:pPr>
              <w:rPr>
                <w:rFonts w:cs="Arial"/>
                <w:i/>
                <w:color w:val="002060"/>
                <w:sz w:val="16"/>
                <w:szCs w:val="16"/>
                <w:lang w:val="es-ES_tradnl"/>
              </w:rPr>
            </w:pPr>
            <w:r w:rsidRPr="007F44BE">
              <w:rPr>
                <w:i/>
                <w:color w:val="002060"/>
                <w:sz w:val="16"/>
                <w:lang w:val="es-ES_tradnl"/>
              </w:rPr>
              <w:t xml:space="preserve">Referencia actualizada a fines de 2011:  </w:t>
            </w:r>
            <w:r w:rsidRPr="007F44BE">
              <w:rPr>
                <w:color w:val="002060"/>
                <w:sz w:val="16"/>
                <w:lang w:val="es-ES_tradnl"/>
              </w:rPr>
              <w:t>181.900</w:t>
            </w:r>
          </w:p>
          <w:p w:rsidR="001A2871" w:rsidRPr="007F44BE" w:rsidRDefault="001A2871" w:rsidP="00853209">
            <w:pPr>
              <w:rPr>
                <w:rFonts w:cs="Arial"/>
                <w:color w:val="002060"/>
                <w:sz w:val="16"/>
                <w:szCs w:val="16"/>
                <w:lang w:val="es-ES_tradnl"/>
              </w:rPr>
            </w:pPr>
            <w:r w:rsidRPr="007F44BE">
              <w:rPr>
                <w:color w:val="002060"/>
                <w:sz w:val="16"/>
                <w:lang w:val="es-ES_tradnl"/>
              </w:rPr>
              <w:t xml:space="preserve">Número de oficinas con sistemas de administración de P.I. totalmente automatizados a </w:t>
            </w:r>
            <w:r w:rsidR="006F0C07" w:rsidRPr="007F44BE">
              <w:rPr>
                <w:color w:val="002060"/>
                <w:sz w:val="16"/>
                <w:lang w:val="es-ES_tradnl"/>
              </w:rPr>
              <w:t xml:space="preserve">fines </w:t>
            </w:r>
            <w:r w:rsidR="00E56D8A" w:rsidRPr="007F44BE">
              <w:rPr>
                <w:color w:val="002060"/>
                <w:sz w:val="16"/>
                <w:lang w:val="es-ES_tradnl"/>
              </w:rPr>
              <w:t>de 2011:  33.</w:t>
            </w:r>
          </w:p>
          <w:p w:rsidR="001A2871" w:rsidRPr="007F44BE" w:rsidRDefault="001A2871" w:rsidP="00853209">
            <w:pPr>
              <w:rPr>
                <w:rFonts w:cs="Arial"/>
                <w:color w:val="002060"/>
                <w:sz w:val="16"/>
                <w:szCs w:val="16"/>
                <w:lang w:val="es-ES_tradnl"/>
              </w:rPr>
            </w:pPr>
            <w:r w:rsidRPr="007F44BE">
              <w:rPr>
                <w:color w:val="002060"/>
                <w:sz w:val="16"/>
                <w:lang w:val="es-ES_tradnl"/>
              </w:rPr>
              <w:t xml:space="preserve">Número de oficinas con sistemas de administración de P.I. automatizados parcialmente a </w:t>
            </w:r>
            <w:r w:rsidR="006F0C07" w:rsidRPr="007F44BE">
              <w:rPr>
                <w:color w:val="002060"/>
                <w:sz w:val="16"/>
                <w:lang w:val="es-ES_tradnl"/>
              </w:rPr>
              <w:t xml:space="preserve">fines </w:t>
            </w:r>
            <w:r w:rsidRPr="007F44BE">
              <w:rPr>
                <w:color w:val="002060"/>
                <w:sz w:val="16"/>
                <w:lang w:val="es-ES_tradnl"/>
              </w:rPr>
              <w:t>de 2011:  25</w:t>
            </w:r>
            <w:r w:rsidR="00E56D8A" w:rsidRPr="007F44BE">
              <w:rPr>
                <w:color w:val="002060"/>
                <w:sz w:val="16"/>
                <w:lang w:val="es-ES_tradnl"/>
              </w:rPr>
              <w:t>.</w:t>
            </w:r>
          </w:p>
          <w:p w:rsidR="001A2871" w:rsidRPr="007F44BE" w:rsidRDefault="001A2871" w:rsidP="00853209">
            <w:pPr>
              <w:rPr>
                <w:rFonts w:cs="Arial"/>
                <w:color w:val="002060"/>
                <w:sz w:val="16"/>
                <w:szCs w:val="16"/>
                <w:lang w:val="es-ES_tradnl"/>
              </w:rPr>
            </w:pPr>
            <w:r w:rsidRPr="007F44BE">
              <w:rPr>
                <w:color w:val="002060"/>
                <w:sz w:val="16"/>
                <w:lang w:val="es-ES_tradnl"/>
              </w:rPr>
              <w:t>Total:  58 oficinas utilizan sistemas de administración de P.I. proporcionados por la OMPI (fines de 2011).</w:t>
            </w:r>
          </w:p>
          <w:p w:rsidR="001A2871" w:rsidRPr="00A34388" w:rsidRDefault="001A2871" w:rsidP="00853209">
            <w:pPr>
              <w:rPr>
                <w:rFonts w:cs="Arial"/>
                <w:i/>
                <w:sz w:val="16"/>
                <w:szCs w:val="16"/>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p>
          <w:p w:rsidR="001A2871" w:rsidRPr="00A34388" w:rsidRDefault="001A2871" w:rsidP="00853209">
            <w:pPr>
              <w:rPr>
                <w:rFonts w:cs="Arial"/>
                <w:sz w:val="16"/>
                <w:szCs w:val="16"/>
                <w:lang w:val="es-ES_tradnl"/>
              </w:rPr>
            </w:pPr>
            <w:r w:rsidRPr="00332758">
              <w:rPr>
                <w:sz w:val="16"/>
                <w:lang w:val="es-ES_tradnl"/>
              </w:rPr>
              <w:t>38 oficinas con sistemas totalmente automatizados.</w:t>
            </w:r>
            <w:r w:rsidRPr="00A34388">
              <w:rPr>
                <w:sz w:val="16"/>
                <w:lang w:val="es-ES_tradnl"/>
              </w:rPr>
              <w:t xml:space="preserve">  </w:t>
            </w:r>
            <w:r w:rsidRPr="00332758">
              <w:rPr>
                <w:sz w:val="16"/>
                <w:lang w:val="es-ES_tradnl"/>
              </w:rPr>
              <w:t>Un total de 58 oficinas utilizan sistemas de administración de P.I. proporcionados por la OMPI.</w:t>
            </w:r>
          </w:p>
        </w:tc>
        <w:tc>
          <w:tcPr>
            <w:tcW w:w="792" w:type="pct"/>
            <w:shd w:val="clear" w:color="auto" w:fill="auto"/>
            <w:tcMar>
              <w:top w:w="110" w:type="dxa"/>
            </w:tcMar>
          </w:tcPr>
          <w:p w:rsidR="001A2871" w:rsidRPr="00A34388" w:rsidRDefault="001A2871" w:rsidP="00853209">
            <w:pPr>
              <w:rPr>
                <w:rFonts w:cs="Arial"/>
                <w:i/>
                <w:sz w:val="16"/>
                <w:szCs w:val="16"/>
                <w:lang w:val="es-ES_tradnl"/>
              </w:rPr>
            </w:pPr>
            <w:r w:rsidRPr="00A34388">
              <w:rPr>
                <w:sz w:val="16"/>
                <w:lang w:val="es-ES_tradnl"/>
              </w:rPr>
              <w:t>50/80</w:t>
            </w:r>
            <w:r w:rsidRPr="00A34388">
              <w:rPr>
                <w:rStyle w:val="FootnoteReference"/>
                <w:sz w:val="16"/>
                <w:lang w:val="es-ES_tradnl"/>
              </w:rPr>
              <w:footnoteReference w:id="30"/>
            </w:r>
          </w:p>
        </w:tc>
        <w:tc>
          <w:tcPr>
            <w:tcW w:w="1713"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Número de oficinas con sistemas totalmente automatizados a finales del bienio 2012/13:  43</w:t>
            </w:r>
          </w:p>
          <w:p w:rsidR="001A2871" w:rsidRPr="00A34388" w:rsidRDefault="001A2871" w:rsidP="001A2871">
            <w:pPr>
              <w:pStyle w:val="ListParagraph"/>
              <w:numPr>
                <w:ilvl w:val="0"/>
                <w:numId w:val="44"/>
              </w:numPr>
              <w:rPr>
                <w:rFonts w:cs="Arial"/>
                <w:sz w:val="16"/>
                <w:szCs w:val="16"/>
                <w:lang w:val="es-ES_tradnl"/>
              </w:rPr>
            </w:pPr>
            <w:r w:rsidRPr="00332758">
              <w:rPr>
                <w:sz w:val="16"/>
                <w:lang w:val="es-ES_tradnl"/>
              </w:rPr>
              <w:t>África (10)</w:t>
            </w:r>
          </w:p>
          <w:p w:rsidR="001A2871" w:rsidRPr="00A34388" w:rsidRDefault="001A2871" w:rsidP="001A2871">
            <w:pPr>
              <w:pStyle w:val="ListParagraph"/>
              <w:numPr>
                <w:ilvl w:val="0"/>
                <w:numId w:val="44"/>
              </w:numPr>
              <w:rPr>
                <w:rFonts w:cs="Arial"/>
                <w:sz w:val="16"/>
                <w:szCs w:val="16"/>
                <w:lang w:val="es-ES_tradnl"/>
              </w:rPr>
            </w:pPr>
            <w:r w:rsidRPr="00332758">
              <w:rPr>
                <w:sz w:val="16"/>
                <w:lang w:val="es-ES_tradnl"/>
              </w:rPr>
              <w:t>región de los países árabes (10)</w:t>
            </w:r>
          </w:p>
          <w:p w:rsidR="001A2871" w:rsidRPr="00A34388" w:rsidRDefault="001A2871" w:rsidP="001A2871">
            <w:pPr>
              <w:pStyle w:val="ListParagraph"/>
              <w:numPr>
                <w:ilvl w:val="0"/>
                <w:numId w:val="44"/>
              </w:numPr>
              <w:rPr>
                <w:rFonts w:cs="Arial"/>
                <w:sz w:val="16"/>
                <w:szCs w:val="16"/>
                <w:lang w:val="es-ES_tradnl"/>
              </w:rPr>
            </w:pPr>
            <w:r w:rsidRPr="00332758">
              <w:rPr>
                <w:sz w:val="16"/>
                <w:lang w:val="es-ES_tradnl"/>
              </w:rPr>
              <w:t>Asia y el Pacífico (9)</w:t>
            </w:r>
          </w:p>
          <w:p w:rsidR="001A2871" w:rsidRPr="00A34388" w:rsidRDefault="001A2871" w:rsidP="001A2871">
            <w:pPr>
              <w:pStyle w:val="ListParagraph"/>
              <w:numPr>
                <w:ilvl w:val="0"/>
                <w:numId w:val="44"/>
              </w:numPr>
              <w:rPr>
                <w:rFonts w:cs="Arial"/>
                <w:sz w:val="16"/>
                <w:szCs w:val="16"/>
                <w:lang w:val="es-ES_tradnl"/>
              </w:rPr>
            </w:pPr>
            <w:r w:rsidRPr="00A34388">
              <w:rPr>
                <w:sz w:val="16"/>
                <w:lang w:val="es-ES_tradnl"/>
              </w:rPr>
              <w:t>determinados países de Europa y Asia (4)</w:t>
            </w:r>
          </w:p>
          <w:p w:rsidR="001A2871" w:rsidRPr="00A34388" w:rsidRDefault="001A2871" w:rsidP="001A2871">
            <w:pPr>
              <w:pStyle w:val="ListParagraph"/>
              <w:numPr>
                <w:ilvl w:val="0"/>
                <w:numId w:val="44"/>
              </w:numPr>
              <w:rPr>
                <w:rFonts w:cs="Arial"/>
                <w:sz w:val="16"/>
                <w:szCs w:val="16"/>
                <w:lang w:val="es-ES_tradnl"/>
              </w:rPr>
            </w:pPr>
            <w:r w:rsidRPr="00332758">
              <w:rPr>
                <w:sz w:val="16"/>
                <w:lang w:val="es-ES_tradnl"/>
              </w:rPr>
              <w:t>América Latina y el Caribe (9)</w:t>
            </w:r>
          </w:p>
          <w:p w:rsidR="001A2871" w:rsidRPr="00A34388" w:rsidRDefault="001A2871" w:rsidP="001A2871">
            <w:pPr>
              <w:pStyle w:val="ListParagraph"/>
              <w:numPr>
                <w:ilvl w:val="0"/>
                <w:numId w:val="44"/>
              </w:numPr>
              <w:rPr>
                <w:rFonts w:cs="Arial"/>
                <w:sz w:val="16"/>
                <w:szCs w:val="16"/>
                <w:lang w:val="es-ES_tradnl"/>
              </w:rPr>
            </w:pPr>
            <w:r w:rsidRPr="00A34388">
              <w:rPr>
                <w:sz w:val="16"/>
                <w:lang w:val="es-ES_tradnl"/>
              </w:rPr>
              <w:t>otros (1)</w:t>
            </w:r>
          </w:p>
          <w:p w:rsidR="001A2871" w:rsidRPr="00A34388" w:rsidRDefault="001A2871" w:rsidP="00853209">
            <w:pPr>
              <w:rPr>
                <w:rFonts w:cs="Arial"/>
                <w:sz w:val="16"/>
                <w:szCs w:val="16"/>
                <w:lang w:val="es-ES_tradnl"/>
              </w:rPr>
            </w:pPr>
          </w:p>
          <w:p w:rsidR="001A2871" w:rsidRPr="00332758" w:rsidRDefault="001A2871" w:rsidP="00853209">
            <w:pPr>
              <w:rPr>
                <w:rFonts w:cs="Arial"/>
                <w:sz w:val="16"/>
                <w:szCs w:val="16"/>
                <w:lang w:val="es-ES_tradnl"/>
              </w:rPr>
            </w:pPr>
            <w:r w:rsidRPr="00332758">
              <w:rPr>
                <w:sz w:val="16"/>
                <w:lang w:val="es-ES_tradnl"/>
              </w:rPr>
              <w:t>Número de oficinas automatizadas parcialmente a finales del bienio 2012/13:  21</w:t>
            </w:r>
          </w:p>
          <w:p w:rsidR="001A2871" w:rsidRPr="00A34388" w:rsidRDefault="001A2871" w:rsidP="001A2871">
            <w:pPr>
              <w:pStyle w:val="ListParagraph"/>
              <w:numPr>
                <w:ilvl w:val="0"/>
                <w:numId w:val="45"/>
              </w:numPr>
              <w:rPr>
                <w:rFonts w:cs="Arial"/>
                <w:sz w:val="16"/>
                <w:szCs w:val="16"/>
                <w:lang w:val="es-ES_tradnl"/>
              </w:rPr>
            </w:pPr>
            <w:r w:rsidRPr="00332758">
              <w:rPr>
                <w:sz w:val="16"/>
                <w:lang w:val="es-ES_tradnl"/>
              </w:rPr>
              <w:t>África (9)</w:t>
            </w:r>
          </w:p>
          <w:p w:rsidR="001A2871" w:rsidRPr="00A34388" w:rsidRDefault="001A2871" w:rsidP="001A2871">
            <w:pPr>
              <w:pStyle w:val="ListParagraph"/>
              <w:numPr>
                <w:ilvl w:val="0"/>
                <w:numId w:val="45"/>
              </w:numPr>
              <w:rPr>
                <w:rFonts w:cs="Arial"/>
                <w:sz w:val="16"/>
                <w:szCs w:val="16"/>
                <w:lang w:val="es-ES_tradnl"/>
              </w:rPr>
            </w:pPr>
            <w:r w:rsidRPr="00332758">
              <w:rPr>
                <w:sz w:val="16"/>
                <w:lang w:val="es-ES_tradnl"/>
              </w:rPr>
              <w:t>región de los países árabes (4)</w:t>
            </w:r>
          </w:p>
          <w:p w:rsidR="001A2871" w:rsidRPr="00A34388" w:rsidRDefault="001A2871" w:rsidP="001A2871">
            <w:pPr>
              <w:pStyle w:val="ListParagraph"/>
              <w:numPr>
                <w:ilvl w:val="0"/>
                <w:numId w:val="45"/>
              </w:numPr>
              <w:rPr>
                <w:rFonts w:cs="Arial"/>
                <w:sz w:val="16"/>
                <w:szCs w:val="16"/>
                <w:lang w:val="es-ES_tradnl"/>
              </w:rPr>
            </w:pPr>
            <w:r w:rsidRPr="00332758">
              <w:rPr>
                <w:sz w:val="16"/>
                <w:lang w:val="es-ES_tradnl"/>
              </w:rPr>
              <w:t>Asia y el Pacífico (2)</w:t>
            </w:r>
          </w:p>
          <w:p w:rsidR="001A2871" w:rsidRPr="00A34388" w:rsidRDefault="001A2871" w:rsidP="001A2871">
            <w:pPr>
              <w:pStyle w:val="ListParagraph"/>
              <w:numPr>
                <w:ilvl w:val="0"/>
                <w:numId w:val="45"/>
              </w:numPr>
              <w:rPr>
                <w:rFonts w:cs="Arial"/>
                <w:sz w:val="16"/>
                <w:szCs w:val="16"/>
                <w:lang w:val="es-ES_tradnl"/>
              </w:rPr>
            </w:pPr>
            <w:r w:rsidRPr="00A34388">
              <w:rPr>
                <w:sz w:val="16"/>
                <w:lang w:val="es-ES_tradnl"/>
              </w:rPr>
              <w:t>determinados países de Europa y Asia (1)</w:t>
            </w:r>
          </w:p>
          <w:p w:rsidR="001A2871" w:rsidRPr="00A34388" w:rsidRDefault="001A2871" w:rsidP="001A2871">
            <w:pPr>
              <w:pStyle w:val="ListParagraph"/>
              <w:numPr>
                <w:ilvl w:val="0"/>
                <w:numId w:val="45"/>
              </w:numPr>
              <w:rPr>
                <w:rFonts w:cs="Arial"/>
                <w:sz w:val="16"/>
                <w:szCs w:val="16"/>
                <w:lang w:val="es-ES_tradnl"/>
              </w:rPr>
            </w:pPr>
            <w:r w:rsidRPr="00332758">
              <w:rPr>
                <w:sz w:val="16"/>
                <w:lang w:val="es-ES_tradnl"/>
              </w:rPr>
              <w:t>América Latina y el Caribe (5)</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Total:  64 oficinas utilizan sistemas de administración de P.I. proporcionados por la OMPI a final</w:t>
            </w:r>
            <w:r w:rsidR="006F0C07" w:rsidRPr="00A34388">
              <w:rPr>
                <w:sz w:val="16"/>
                <w:lang w:val="es-ES_tradnl"/>
              </w:rPr>
              <w:t>es</w:t>
            </w:r>
            <w:r w:rsidRPr="00A34388">
              <w:rPr>
                <w:sz w:val="16"/>
                <w:lang w:val="es-ES_tradnl"/>
              </w:rPr>
              <w:t xml:space="preserve"> del bienio 2012/13. </w:t>
            </w:r>
          </w:p>
          <w:p w:rsidR="001A2871" w:rsidRPr="00A34388" w:rsidRDefault="001A2871" w:rsidP="001A2871">
            <w:pPr>
              <w:pStyle w:val="ListParagraph"/>
              <w:numPr>
                <w:ilvl w:val="0"/>
                <w:numId w:val="20"/>
              </w:numPr>
              <w:ind w:left="360"/>
              <w:rPr>
                <w:rFonts w:cs="Arial"/>
                <w:sz w:val="16"/>
                <w:szCs w:val="16"/>
                <w:lang w:val="es-ES_tradnl"/>
              </w:rPr>
            </w:pPr>
            <w:r w:rsidRPr="00332758">
              <w:rPr>
                <w:sz w:val="16"/>
                <w:lang w:val="es-ES_tradnl"/>
              </w:rPr>
              <w:t>África (19)</w:t>
            </w:r>
          </w:p>
          <w:p w:rsidR="001A2871" w:rsidRPr="00A34388" w:rsidRDefault="001A2871" w:rsidP="001A2871">
            <w:pPr>
              <w:pStyle w:val="ListParagraph"/>
              <w:numPr>
                <w:ilvl w:val="0"/>
                <w:numId w:val="20"/>
              </w:numPr>
              <w:ind w:left="360"/>
              <w:rPr>
                <w:rFonts w:cs="Arial"/>
                <w:sz w:val="16"/>
                <w:szCs w:val="16"/>
                <w:lang w:val="es-ES_tradnl"/>
              </w:rPr>
            </w:pPr>
            <w:r w:rsidRPr="00332758">
              <w:rPr>
                <w:sz w:val="16"/>
                <w:lang w:val="es-ES_tradnl"/>
              </w:rPr>
              <w:t>región de los países árabes (14)</w:t>
            </w:r>
          </w:p>
          <w:p w:rsidR="001A2871" w:rsidRPr="00A34388" w:rsidRDefault="00261747" w:rsidP="001A2871">
            <w:pPr>
              <w:pStyle w:val="ListParagraph"/>
              <w:numPr>
                <w:ilvl w:val="0"/>
                <w:numId w:val="20"/>
              </w:numPr>
              <w:ind w:left="360"/>
              <w:rPr>
                <w:rFonts w:cs="Arial"/>
                <w:sz w:val="16"/>
                <w:szCs w:val="16"/>
                <w:lang w:val="es-ES_tradnl"/>
              </w:rPr>
            </w:pPr>
            <w:r>
              <w:rPr>
                <w:sz w:val="16"/>
                <w:lang w:val="es-ES_tradnl"/>
              </w:rPr>
              <w:t xml:space="preserve">Asia y </w:t>
            </w:r>
            <w:r w:rsidR="001A2871" w:rsidRPr="00A34388">
              <w:rPr>
                <w:sz w:val="16"/>
                <w:lang w:val="es-ES_tradnl"/>
              </w:rPr>
              <w:t>el Pacífico (11)</w:t>
            </w:r>
          </w:p>
          <w:p w:rsidR="001A2871" w:rsidRPr="00A34388" w:rsidRDefault="001A2871" w:rsidP="001A2871">
            <w:pPr>
              <w:pStyle w:val="ListParagraph"/>
              <w:numPr>
                <w:ilvl w:val="0"/>
                <w:numId w:val="20"/>
              </w:numPr>
              <w:ind w:left="360"/>
              <w:rPr>
                <w:rFonts w:cs="Arial"/>
                <w:sz w:val="16"/>
                <w:szCs w:val="16"/>
                <w:lang w:val="es-ES_tradnl"/>
              </w:rPr>
            </w:pPr>
            <w:r w:rsidRPr="00A34388">
              <w:rPr>
                <w:sz w:val="16"/>
                <w:lang w:val="es-ES_tradnl"/>
              </w:rPr>
              <w:t>determinados países de Europa y Asia (5)</w:t>
            </w:r>
          </w:p>
          <w:p w:rsidR="001A2871" w:rsidRPr="00A34388" w:rsidRDefault="001A2871" w:rsidP="001A2871">
            <w:pPr>
              <w:pStyle w:val="ListParagraph"/>
              <w:numPr>
                <w:ilvl w:val="0"/>
                <w:numId w:val="20"/>
              </w:numPr>
              <w:ind w:left="360"/>
              <w:rPr>
                <w:rFonts w:cs="Arial"/>
                <w:sz w:val="16"/>
                <w:szCs w:val="16"/>
                <w:lang w:val="es-ES_tradnl"/>
              </w:rPr>
            </w:pPr>
            <w:r w:rsidRPr="00332758">
              <w:rPr>
                <w:sz w:val="16"/>
                <w:lang w:val="es-ES_tradnl"/>
              </w:rPr>
              <w:t>América Latina y el Caribe (14)</w:t>
            </w:r>
          </w:p>
          <w:p w:rsidR="001A2871" w:rsidRPr="00A34388" w:rsidRDefault="001A2871" w:rsidP="001A2871">
            <w:pPr>
              <w:pStyle w:val="ListParagraph"/>
              <w:numPr>
                <w:ilvl w:val="0"/>
                <w:numId w:val="20"/>
              </w:numPr>
              <w:ind w:left="360"/>
              <w:rPr>
                <w:rFonts w:cs="Arial"/>
                <w:lang w:val="es-ES_tradnl"/>
              </w:rPr>
            </w:pPr>
            <w:r w:rsidRPr="00A34388">
              <w:rPr>
                <w:sz w:val="16"/>
                <w:lang w:val="es-ES_tradnl"/>
              </w:rPr>
              <w:t>otros (1)</w:t>
            </w:r>
          </w:p>
        </w:tc>
        <w:tc>
          <w:tcPr>
            <w:tcW w:w="821" w:type="pct"/>
            <w:shd w:val="clear" w:color="auto" w:fill="auto"/>
            <w:tcMar>
              <w:top w:w="110" w:type="dxa"/>
            </w:tcMar>
          </w:tcPr>
          <w:p w:rsidR="001A2871" w:rsidRPr="00A34388" w:rsidRDefault="001A2871" w:rsidP="00853209">
            <w:pPr>
              <w:keepNext/>
              <w:keepLines/>
              <w:jc w:val="center"/>
              <w:rPr>
                <w:rFonts w:cs="Arial"/>
                <w:bCs/>
                <w:color w:val="00B05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Height w:val="136"/>
        </w:trPr>
        <w:tc>
          <w:tcPr>
            <w:tcW w:w="74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cuyos datos de P.I. están disponibles en las bases de datos de la OMPI en Internet.</w:t>
            </w:r>
          </w:p>
        </w:tc>
        <w:tc>
          <w:tcPr>
            <w:tcW w:w="925" w:type="pct"/>
            <w:shd w:val="clear" w:color="auto" w:fill="auto"/>
          </w:tcPr>
          <w:p w:rsidR="001A2871" w:rsidRPr="00A34388" w:rsidRDefault="001A2871" w:rsidP="00853209">
            <w:pPr>
              <w:rPr>
                <w:rFonts w:cs="Arial"/>
                <w:sz w:val="16"/>
                <w:szCs w:val="16"/>
                <w:lang w:val="es-ES_tradnl"/>
              </w:rPr>
            </w:pPr>
            <w:r w:rsidRPr="00A34388">
              <w:rPr>
                <w:sz w:val="16"/>
                <w:lang w:val="es-ES_tradnl"/>
              </w:rPr>
              <w:t>20</w:t>
            </w:r>
          </w:p>
        </w:tc>
        <w:tc>
          <w:tcPr>
            <w:tcW w:w="792" w:type="pct"/>
            <w:shd w:val="clear" w:color="auto" w:fill="auto"/>
            <w:tcMar>
              <w:top w:w="110" w:type="dxa"/>
            </w:tcMar>
          </w:tcPr>
          <w:p w:rsidR="001A2871" w:rsidRPr="00A34388" w:rsidRDefault="001A2871" w:rsidP="00853209">
            <w:pPr>
              <w:rPr>
                <w:rFonts w:cs="Arial"/>
                <w:i/>
                <w:sz w:val="16"/>
                <w:szCs w:val="16"/>
                <w:lang w:val="es-ES_tradnl"/>
              </w:rPr>
            </w:pPr>
            <w:r w:rsidRPr="00332758">
              <w:rPr>
                <w:i/>
                <w:sz w:val="16"/>
                <w:lang w:val="es-ES_tradnl"/>
              </w:rPr>
              <w:t>40 en total.</w:t>
            </w:r>
          </w:p>
        </w:tc>
        <w:tc>
          <w:tcPr>
            <w:tcW w:w="1713"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48 oficinas (36 en PATENSCOPE y 12 en la Base Mundial de Datos sobre Marcas) cuyos datos de P.I. estaban disponibles en las bases de datos de la OMPI (</w:t>
            </w:r>
            <w:r w:rsidR="008A4A33" w:rsidRPr="00A34388">
              <w:rPr>
                <w:sz w:val="16"/>
                <w:lang w:val="es-ES_tradnl"/>
              </w:rPr>
              <w:t>en total</w:t>
            </w:r>
            <w:r w:rsidRPr="00A34388">
              <w:rPr>
                <w:sz w:val="16"/>
                <w:lang w:val="es-ES_tradnl"/>
              </w:rPr>
              <w:t>)</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PATENTSCOPE:</w:t>
            </w:r>
          </w:p>
          <w:p w:rsidR="001A2871" w:rsidRPr="00A34388" w:rsidRDefault="001A2871" w:rsidP="001A2871">
            <w:pPr>
              <w:pStyle w:val="ListParagraph"/>
              <w:numPr>
                <w:ilvl w:val="0"/>
                <w:numId w:val="21"/>
              </w:numPr>
              <w:ind w:left="360"/>
              <w:rPr>
                <w:rFonts w:cs="Arial"/>
                <w:sz w:val="16"/>
                <w:szCs w:val="16"/>
                <w:lang w:val="es-ES_tradnl"/>
              </w:rPr>
            </w:pPr>
            <w:r w:rsidRPr="00332758">
              <w:rPr>
                <w:sz w:val="16"/>
                <w:lang w:val="es-ES_tradnl"/>
              </w:rPr>
              <w:t>África (3)</w:t>
            </w:r>
          </w:p>
          <w:p w:rsidR="001A2871" w:rsidRPr="00A34388" w:rsidRDefault="001A2871" w:rsidP="001A2871">
            <w:pPr>
              <w:pStyle w:val="ListParagraph"/>
              <w:numPr>
                <w:ilvl w:val="0"/>
                <w:numId w:val="21"/>
              </w:numPr>
              <w:ind w:left="360"/>
              <w:rPr>
                <w:rFonts w:cs="Arial"/>
                <w:sz w:val="16"/>
                <w:szCs w:val="16"/>
                <w:lang w:val="es-ES_tradnl"/>
              </w:rPr>
            </w:pPr>
            <w:r w:rsidRPr="00332758">
              <w:rPr>
                <w:sz w:val="16"/>
                <w:lang w:val="es-ES_tradnl"/>
              </w:rPr>
              <w:t>región de los países árabes (5)</w:t>
            </w:r>
          </w:p>
          <w:p w:rsidR="001A2871" w:rsidRPr="00A34388" w:rsidRDefault="001A2871" w:rsidP="001A2871">
            <w:pPr>
              <w:pStyle w:val="ListParagraph"/>
              <w:numPr>
                <w:ilvl w:val="0"/>
                <w:numId w:val="21"/>
              </w:numPr>
              <w:ind w:left="360"/>
              <w:rPr>
                <w:rFonts w:cs="Arial"/>
                <w:sz w:val="16"/>
                <w:szCs w:val="16"/>
                <w:lang w:val="es-ES_tradnl"/>
              </w:rPr>
            </w:pPr>
            <w:r w:rsidRPr="00332758">
              <w:rPr>
                <w:sz w:val="16"/>
                <w:lang w:val="es-ES_tradnl"/>
              </w:rPr>
              <w:t>Asia y el Pacífico (4)</w:t>
            </w:r>
          </w:p>
          <w:p w:rsidR="001A2871" w:rsidRPr="00A34388" w:rsidRDefault="001A2871" w:rsidP="001A2871">
            <w:pPr>
              <w:pStyle w:val="ListParagraph"/>
              <w:numPr>
                <w:ilvl w:val="0"/>
                <w:numId w:val="21"/>
              </w:numPr>
              <w:ind w:left="360"/>
              <w:rPr>
                <w:rFonts w:cs="Arial"/>
                <w:sz w:val="16"/>
                <w:szCs w:val="16"/>
                <w:lang w:val="es-ES_tradnl"/>
              </w:rPr>
            </w:pPr>
            <w:r w:rsidRPr="00A34388">
              <w:rPr>
                <w:sz w:val="16"/>
                <w:lang w:val="es-ES_tradnl"/>
              </w:rPr>
              <w:t>determinados países de Europa y Asia (3)</w:t>
            </w:r>
          </w:p>
          <w:p w:rsidR="001A2871" w:rsidRPr="00A34388" w:rsidRDefault="001A2871" w:rsidP="001A2871">
            <w:pPr>
              <w:pStyle w:val="ListParagraph"/>
              <w:numPr>
                <w:ilvl w:val="0"/>
                <w:numId w:val="21"/>
              </w:numPr>
              <w:ind w:left="360"/>
              <w:rPr>
                <w:rFonts w:cs="Arial"/>
                <w:sz w:val="16"/>
                <w:szCs w:val="16"/>
                <w:lang w:val="es-ES_tradnl"/>
              </w:rPr>
            </w:pPr>
            <w:r w:rsidRPr="00332758">
              <w:rPr>
                <w:sz w:val="16"/>
                <w:lang w:val="es-ES_tradnl"/>
              </w:rPr>
              <w:t>América Latina y el Caribe (16)</w:t>
            </w:r>
          </w:p>
          <w:p w:rsidR="001A2871" w:rsidRPr="00A34388" w:rsidRDefault="001A2871" w:rsidP="001A2871">
            <w:pPr>
              <w:pStyle w:val="ListParagraph"/>
              <w:numPr>
                <w:ilvl w:val="0"/>
                <w:numId w:val="21"/>
              </w:numPr>
              <w:ind w:left="360"/>
              <w:rPr>
                <w:rFonts w:cs="Arial"/>
                <w:sz w:val="16"/>
                <w:szCs w:val="16"/>
                <w:lang w:val="es-ES_tradnl"/>
              </w:rPr>
            </w:pPr>
            <w:r w:rsidRPr="00A34388">
              <w:rPr>
                <w:sz w:val="16"/>
                <w:lang w:val="es-ES_tradnl"/>
              </w:rPr>
              <w:t>otros (5)</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332758">
              <w:rPr>
                <w:sz w:val="16"/>
                <w:lang w:val="es-ES_tradnl"/>
              </w:rPr>
              <w:t>Base Mundial de Datos sobre Marcas:</w:t>
            </w:r>
          </w:p>
          <w:p w:rsidR="001A2871" w:rsidRPr="00A34388" w:rsidRDefault="001A2871" w:rsidP="001A2871">
            <w:pPr>
              <w:pStyle w:val="ListParagraph"/>
              <w:numPr>
                <w:ilvl w:val="0"/>
                <w:numId w:val="22"/>
              </w:numPr>
              <w:ind w:left="360"/>
              <w:rPr>
                <w:rFonts w:cs="Arial"/>
                <w:sz w:val="16"/>
                <w:szCs w:val="16"/>
                <w:lang w:val="es-ES_tradnl"/>
              </w:rPr>
            </w:pPr>
            <w:r w:rsidRPr="00332758">
              <w:rPr>
                <w:sz w:val="16"/>
                <w:lang w:val="es-ES_tradnl"/>
              </w:rPr>
              <w:t>región de los países árabes (4)</w:t>
            </w:r>
          </w:p>
          <w:p w:rsidR="001A2871" w:rsidRPr="00A34388" w:rsidRDefault="001A2871" w:rsidP="001A2871">
            <w:pPr>
              <w:pStyle w:val="ListParagraph"/>
              <w:numPr>
                <w:ilvl w:val="0"/>
                <w:numId w:val="22"/>
              </w:numPr>
              <w:ind w:left="360"/>
              <w:rPr>
                <w:rFonts w:cs="Arial"/>
                <w:sz w:val="16"/>
                <w:szCs w:val="16"/>
                <w:lang w:val="es-ES_tradnl"/>
              </w:rPr>
            </w:pPr>
            <w:r w:rsidRPr="00332758">
              <w:rPr>
                <w:sz w:val="16"/>
                <w:lang w:val="es-ES_tradnl"/>
              </w:rPr>
              <w:t>Asia y el Pacífico (2)</w:t>
            </w:r>
          </w:p>
          <w:p w:rsidR="001A2871" w:rsidRPr="00A34388" w:rsidRDefault="001A2871" w:rsidP="001A2871">
            <w:pPr>
              <w:pStyle w:val="ListParagraph"/>
              <w:numPr>
                <w:ilvl w:val="0"/>
                <w:numId w:val="22"/>
              </w:numPr>
              <w:ind w:left="360"/>
              <w:rPr>
                <w:rFonts w:cs="Arial"/>
                <w:sz w:val="16"/>
                <w:szCs w:val="16"/>
                <w:lang w:val="es-ES_tradnl"/>
              </w:rPr>
            </w:pPr>
            <w:r w:rsidRPr="00A34388">
              <w:rPr>
                <w:sz w:val="16"/>
                <w:lang w:val="es-ES_tradnl"/>
              </w:rPr>
              <w:t>determinados países de Europa y Asia (1)</w:t>
            </w:r>
          </w:p>
          <w:p w:rsidR="001A2871" w:rsidRPr="00A34388" w:rsidRDefault="001A2871" w:rsidP="001A2871">
            <w:pPr>
              <w:pStyle w:val="ListParagraph"/>
              <w:numPr>
                <w:ilvl w:val="0"/>
                <w:numId w:val="22"/>
              </w:numPr>
              <w:ind w:left="360"/>
              <w:rPr>
                <w:rFonts w:cs="Arial"/>
                <w:lang w:val="es-ES_tradnl"/>
              </w:rPr>
            </w:pPr>
            <w:r w:rsidRPr="00A34388">
              <w:rPr>
                <w:sz w:val="16"/>
                <w:lang w:val="es-ES_tradnl"/>
              </w:rPr>
              <w:t>otros (5)</w:t>
            </w:r>
          </w:p>
        </w:tc>
        <w:tc>
          <w:tcPr>
            <w:tcW w:w="821"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Height w:val="1311"/>
        </w:trPr>
        <w:tc>
          <w:tcPr>
            <w:tcW w:w="749" w:type="pct"/>
            <w:shd w:val="clear" w:color="auto" w:fill="auto"/>
          </w:tcPr>
          <w:p w:rsidR="001A2871" w:rsidRPr="00A34388" w:rsidRDefault="001A2871" w:rsidP="00853209">
            <w:pPr>
              <w:rPr>
                <w:rFonts w:cs="Arial"/>
                <w:sz w:val="16"/>
                <w:szCs w:val="16"/>
                <w:lang w:val="es-ES_tradnl"/>
              </w:rPr>
            </w:pPr>
            <w:r w:rsidRPr="00332758">
              <w:rPr>
                <w:sz w:val="16"/>
                <w:lang w:val="es-ES_tradnl"/>
              </w:rPr>
              <w:lastRenderedPageBreak/>
              <w:t>Número de grupos de oficinas que participan en una plataforma común.</w:t>
            </w:r>
          </w:p>
        </w:tc>
        <w:tc>
          <w:tcPr>
            <w:tcW w:w="925" w:type="pct"/>
            <w:shd w:val="clear" w:color="auto" w:fill="auto"/>
          </w:tcPr>
          <w:p w:rsidR="001A2871" w:rsidRPr="00A34388" w:rsidRDefault="001A2871" w:rsidP="00853209">
            <w:pPr>
              <w:rPr>
                <w:rFonts w:cs="Arial"/>
                <w:sz w:val="16"/>
                <w:szCs w:val="16"/>
                <w:lang w:val="es-ES_tradnl"/>
              </w:rPr>
            </w:pPr>
            <w:r w:rsidRPr="00A34388">
              <w:rPr>
                <w:sz w:val="16"/>
                <w:lang w:val="es-ES_tradnl"/>
              </w:rPr>
              <w:t>1</w:t>
            </w:r>
          </w:p>
        </w:tc>
        <w:tc>
          <w:tcPr>
            <w:tcW w:w="792" w:type="pct"/>
            <w:shd w:val="clear" w:color="auto" w:fill="auto"/>
            <w:tcMar>
              <w:top w:w="110" w:type="dxa"/>
            </w:tcMar>
          </w:tcPr>
          <w:p w:rsidR="001A2871" w:rsidRPr="00A34388" w:rsidRDefault="001A2871" w:rsidP="00853209">
            <w:pPr>
              <w:rPr>
                <w:rFonts w:cs="Arial"/>
                <w:i/>
                <w:sz w:val="16"/>
                <w:szCs w:val="16"/>
                <w:lang w:val="es-ES_tradnl"/>
              </w:rPr>
            </w:pPr>
            <w:r w:rsidRPr="00332758">
              <w:rPr>
                <w:i/>
                <w:sz w:val="16"/>
                <w:lang w:val="es-ES_tradnl"/>
              </w:rPr>
              <w:t>3 en total.</w:t>
            </w:r>
          </w:p>
        </w:tc>
        <w:tc>
          <w:tcPr>
            <w:tcW w:w="1713" w:type="pct"/>
            <w:shd w:val="clear" w:color="auto" w:fill="FFFFFF"/>
            <w:tcMar>
              <w:top w:w="110" w:type="dxa"/>
            </w:tcMar>
          </w:tcPr>
          <w:p w:rsidR="001A2871" w:rsidRPr="00A34388" w:rsidRDefault="001A2871" w:rsidP="008A4A33">
            <w:pPr>
              <w:rPr>
                <w:rFonts w:cs="Arial"/>
                <w:sz w:val="16"/>
                <w:szCs w:val="16"/>
                <w:lang w:val="es-ES_tradnl"/>
              </w:rPr>
            </w:pPr>
            <w:r w:rsidRPr="00A34388">
              <w:rPr>
                <w:sz w:val="16"/>
                <w:lang w:val="es-ES_tradnl"/>
              </w:rPr>
              <w:t xml:space="preserve">7 oficinas participantes de distintas regiones. </w:t>
            </w:r>
            <w:r w:rsidR="00537926" w:rsidRPr="00A34388">
              <w:rPr>
                <w:sz w:val="16"/>
                <w:lang w:val="es-ES_tradnl"/>
              </w:rPr>
              <w:t xml:space="preserve"> </w:t>
            </w:r>
            <w:r w:rsidRPr="00A34388">
              <w:rPr>
                <w:sz w:val="16"/>
                <w:lang w:val="es-ES_tradnl"/>
              </w:rPr>
              <w:t xml:space="preserve">La </w:t>
            </w:r>
            <w:r w:rsidR="008A4A33" w:rsidRPr="00A34388">
              <w:rPr>
                <w:sz w:val="16"/>
                <w:lang w:val="es-ES_tradnl"/>
              </w:rPr>
              <w:t xml:space="preserve">cuestión de si se cuenta con </w:t>
            </w:r>
            <w:r w:rsidRPr="00A34388">
              <w:rPr>
                <w:sz w:val="16"/>
                <w:lang w:val="es-ES_tradnl"/>
              </w:rPr>
              <w:t xml:space="preserve">distintos grupos de oficinas ha dejado de ser pertinente. </w:t>
            </w:r>
            <w:r w:rsidR="00537926" w:rsidRPr="00A34388">
              <w:rPr>
                <w:sz w:val="16"/>
                <w:lang w:val="es-ES_tradnl"/>
              </w:rPr>
              <w:t xml:space="preserve"> </w:t>
            </w:r>
            <w:r w:rsidRPr="00A34388">
              <w:rPr>
                <w:sz w:val="16"/>
                <w:lang w:val="es-ES_tradnl"/>
              </w:rPr>
              <w:t>Las oficinas se suscriben a la plataforma común desde cualquier país del mundo y no en grupos regionales.</w:t>
            </w:r>
          </w:p>
        </w:tc>
        <w:tc>
          <w:tcPr>
            <w:tcW w:w="821"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color w:val="008000"/>
                <w:sz w:val="16"/>
                <w:lang w:val="es-ES_tradnl"/>
              </w:rPr>
              <w:t xml:space="preserve"> </w:t>
            </w:r>
          </w:p>
        </w:tc>
      </w:tr>
      <w:tr w:rsidR="001A2871" w:rsidRPr="00A34388" w:rsidTr="00853209">
        <w:trPr>
          <w:cantSplit/>
          <w:trHeight w:val="1569"/>
        </w:trPr>
        <w:tc>
          <w:tcPr>
            <w:tcW w:w="749"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oficinas que tramitan los datos del PCT y del Sistema de Madrid con el apoyo de sistemas proporcionados por la OMPI.</w:t>
            </w:r>
          </w:p>
        </w:tc>
        <w:tc>
          <w:tcPr>
            <w:tcW w:w="925" w:type="pct"/>
            <w:shd w:val="clear" w:color="auto" w:fill="auto"/>
          </w:tcPr>
          <w:p w:rsidR="001A2871" w:rsidRPr="00A34388" w:rsidRDefault="001A2871" w:rsidP="00853209">
            <w:pPr>
              <w:rPr>
                <w:rFonts w:cs="Arial"/>
                <w:sz w:val="16"/>
                <w:szCs w:val="16"/>
                <w:lang w:val="es-ES_tradnl"/>
              </w:rPr>
            </w:pPr>
            <w:r w:rsidRPr="00A34388">
              <w:rPr>
                <w:sz w:val="16"/>
                <w:lang w:val="es-ES_tradnl"/>
              </w:rPr>
              <w:t>5</w:t>
            </w:r>
          </w:p>
        </w:tc>
        <w:tc>
          <w:tcPr>
            <w:tcW w:w="792" w:type="pct"/>
            <w:shd w:val="clear" w:color="auto" w:fill="auto"/>
            <w:tcMar>
              <w:top w:w="110" w:type="dxa"/>
            </w:tcMar>
          </w:tcPr>
          <w:p w:rsidR="001A2871" w:rsidRPr="00A34388" w:rsidRDefault="001A2871" w:rsidP="00853209">
            <w:pPr>
              <w:rPr>
                <w:rFonts w:cs="Arial"/>
                <w:i/>
                <w:sz w:val="16"/>
                <w:szCs w:val="16"/>
                <w:lang w:val="es-ES_tradnl"/>
              </w:rPr>
            </w:pPr>
            <w:r w:rsidRPr="00332758">
              <w:rPr>
                <w:sz w:val="16"/>
                <w:lang w:val="es-ES_tradnl"/>
              </w:rPr>
              <w:t>20 en total.</w:t>
            </w:r>
            <w:r w:rsidRPr="00A34388">
              <w:rPr>
                <w:sz w:val="16"/>
                <w:lang w:val="es-ES_tradnl"/>
              </w:rPr>
              <w:t xml:space="preserve"> </w:t>
            </w:r>
          </w:p>
        </w:tc>
        <w:tc>
          <w:tcPr>
            <w:tcW w:w="1713"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40 oficinas tramitan los datos del PCT y del Sistema de Madrid con el apoyo de sistemas proporcionados por la OMPI.</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Desglose regional de las oficinas que tramitan los datos del PCT:</w:t>
            </w:r>
          </w:p>
          <w:p w:rsidR="001A2871" w:rsidRPr="00A34388" w:rsidRDefault="001A2871" w:rsidP="001A2871">
            <w:pPr>
              <w:pStyle w:val="ListParagraph"/>
              <w:numPr>
                <w:ilvl w:val="0"/>
                <w:numId w:val="23"/>
              </w:numPr>
              <w:ind w:left="360"/>
              <w:rPr>
                <w:rFonts w:cs="Arial"/>
                <w:sz w:val="16"/>
                <w:szCs w:val="16"/>
                <w:lang w:val="es-ES_tradnl"/>
              </w:rPr>
            </w:pPr>
            <w:r w:rsidRPr="00332758">
              <w:rPr>
                <w:sz w:val="16"/>
                <w:lang w:val="es-ES_tradnl"/>
              </w:rPr>
              <w:t>África (6)</w:t>
            </w:r>
          </w:p>
          <w:p w:rsidR="001A2871" w:rsidRPr="00A34388" w:rsidRDefault="001A2871" w:rsidP="001A2871">
            <w:pPr>
              <w:pStyle w:val="ListParagraph"/>
              <w:numPr>
                <w:ilvl w:val="0"/>
                <w:numId w:val="23"/>
              </w:numPr>
              <w:ind w:left="360"/>
              <w:rPr>
                <w:rFonts w:cs="Arial"/>
                <w:sz w:val="16"/>
                <w:szCs w:val="16"/>
                <w:lang w:val="es-ES_tradnl"/>
              </w:rPr>
            </w:pPr>
            <w:r w:rsidRPr="00332758">
              <w:rPr>
                <w:sz w:val="16"/>
                <w:lang w:val="es-ES_tradnl"/>
              </w:rPr>
              <w:t>región de los países árabes (5)</w:t>
            </w:r>
          </w:p>
          <w:p w:rsidR="001A2871" w:rsidRPr="00A34388" w:rsidRDefault="001A2871" w:rsidP="001A2871">
            <w:pPr>
              <w:pStyle w:val="ListParagraph"/>
              <w:numPr>
                <w:ilvl w:val="0"/>
                <w:numId w:val="23"/>
              </w:numPr>
              <w:ind w:left="360"/>
              <w:rPr>
                <w:rFonts w:cs="Arial"/>
                <w:sz w:val="16"/>
                <w:szCs w:val="16"/>
                <w:lang w:val="es-ES_tradnl"/>
              </w:rPr>
            </w:pPr>
            <w:r w:rsidRPr="00332758">
              <w:rPr>
                <w:sz w:val="16"/>
                <w:lang w:val="es-ES_tradnl"/>
              </w:rPr>
              <w:t>Asia y el Pacífico (4)</w:t>
            </w:r>
          </w:p>
          <w:p w:rsidR="001A2871" w:rsidRPr="00A34388" w:rsidRDefault="001A2871" w:rsidP="001A2871">
            <w:pPr>
              <w:pStyle w:val="ListParagraph"/>
              <w:numPr>
                <w:ilvl w:val="0"/>
                <w:numId w:val="23"/>
              </w:numPr>
              <w:ind w:left="360"/>
              <w:rPr>
                <w:rFonts w:cs="Arial"/>
                <w:sz w:val="16"/>
                <w:szCs w:val="16"/>
                <w:lang w:val="es-ES_tradnl"/>
              </w:rPr>
            </w:pPr>
            <w:r w:rsidRPr="00A34388">
              <w:rPr>
                <w:sz w:val="16"/>
                <w:lang w:val="es-ES_tradnl"/>
              </w:rPr>
              <w:t>determinados países de Europa y Asia (5)</w:t>
            </w:r>
          </w:p>
          <w:p w:rsidR="001A2871" w:rsidRPr="00A34388" w:rsidRDefault="001A2871" w:rsidP="001A2871">
            <w:pPr>
              <w:pStyle w:val="ListParagraph"/>
              <w:numPr>
                <w:ilvl w:val="0"/>
                <w:numId w:val="23"/>
              </w:numPr>
              <w:ind w:left="360"/>
              <w:rPr>
                <w:rFonts w:cs="Arial"/>
                <w:sz w:val="16"/>
                <w:szCs w:val="16"/>
                <w:lang w:val="es-ES_tradnl"/>
              </w:rPr>
            </w:pPr>
            <w:r w:rsidRPr="00332758">
              <w:rPr>
                <w:sz w:val="16"/>
                <w:lang w:val="es-ES_tradnl"/>
              </w:rPr>
              <w:t>América Latina y el Caribe (7)</w:t>
            </w:r>
          </w:p>
          <w:p w:rsidR="001A2871" w:rsidRPr="00A34388" w:rsidRDefault="001A2871" w:rsidP="00853209">
            <w:pPr>
              <w:rPr>
                <w:rFonts w:cs="Arial"/>
                <w:sz w:val="16"/>
                <w:szCs w:val="16"/>
                <w:lang w:val="es-ES_tradnl"/>
              </w:rPr>
            </w:pPr>
            <w:r w:rsidRPr="00A34388">
              <w:rPr>
                <w:sz w:val="16"/>
                <w:lang w:val="es-ES_tradnl"/>
              </w:rPr>
              <w:t>TOTAL:  27</w:t>
            </w:r>
          </w:p>
          <w:p w:rsidR="001A2871" w:rsidRPr="00A34388" w:rsidRDefault="001A2871" w:rsidP="00853209">
            <w:pPr>
              <w:rPr>
                <w:rFonts w:cs="Arial"/>
                <w:sz w:val="16"/>
                <w:szCs w:val="16"/>
                <w:lang w:val="es-ES_tradnl"/>
              </w:rPr>
            </w:pPr>
          </w:p>
          <w:p w:rsidR="001A2871" w:rsidRPr="00A34388" w:rsidRDefault="001A2871" w:rsidP="00853209">
            <w:pPr>
              <w:rPr>
                <w:rFonts w:cs="Arial"/>
                <w:sz w:val="16"/>
                <w:szCs w:val="16"/>
                <w:lang w:val="es-ES_tradnl"/>
              </w:rPr>
            </w:pPr>
            <w:r w:rsidRPr="00A34388">
              <w:rPr>
                <w:sz w:val="16"/>
                <w:lang w:val="es-ES_tradnl"/>
              </w:rPr>
              <w:t>Desglose regional de las oficinas que tramitan los datos del sistema de Madrid:</w:t>
            </w:r>
          </w:p>
          <w:p w:rsidR="001A2871" w:rsidRPr="00A34388" w:rsidRDefault="001A2871" w:rsidP="001A2871">
            <w:pPr>
              <w:pStyle w:val="ListParagraph"/>
              <w:numPr>
                <w:ilvl w:val="0"/>
                <w:numId w:val="24"/>
              </w:numPr>
              <w:ind w:left="360"/>
              <w:rPr>
                <w:rFonts w:cs="Arial"/>
                <w:sz w:val="16"/>
                <w:szCs w:val="16"/>
                <w:lang w:val="es-ES_tradnl"/>
              </w:rPr>
            </w:pPr>
            <w:r w:rsidRPr="00332758">
              <w:rPr>
                <w:sz w:val="16"/>
                <w:lang w:val="es-ES_tradnl"/>
              </w:rPr>
              <w:t>África (7)</w:t>
            </w:r>
          </w:p>
          <w:p w:rsidR="001A2871" w:rsidRPr="00A34388" w:rsidRDefault="001A2871" w:rsidP="001A2871">
            <w:pPr>
              <w:pStyle w:val="ListParagraph"/>
              <w:numPr>
                <w:ilvl w:val="0"/>
                <w:numId w:val="24"/>
              </w:numPr>
              <w:ind w:left="360"/>
              <w:rPr>
                <w:rFonts w:cs="Arial"/>
                <w:sz w:val="16"/>
                <w:szCs w:val="16"/>
                <w:lang w:val="es-ES_tradnl"/>
              </w:rPr>
            </w:pPr>
            <w:r w:rsidRPr="00332758">
              <w:rPr>
                <w:sz w:val="16"/>
                <w:lang w:val="es-ES_tradnl"/>
              </w:rPr>
              <w:t>región de los países árabes (1)</w:t>
            </w:r>
          </w:p>
          <w:p w:rsidR="001A2871" w:rsidRPr="00A34388" w:rsidRDefault="001A2871" w:rsidP="001A2871">
            <w:pPr>
              <w:pStyle w:val="ListParagraph"/>
              <w:numPr>
                <w:ilvl w:val="0"/>
                <w:numId w:val="24"/>
              </w:numPr>
              <w:ind w:left="360"/>
              <w:rPr>
                <w:rFonts w:cs="Arial"/>
                <w:sz w:val="16"/>
                <w:szCs w:val="16"/>
                <w:lang w:val="es-ES_tradnl"/>
              </w:rPr>
            </w:pPr>
            <w:r w:rsidRPr="00332758">
              <w:rPr>
                <w:sz w:val="16"/>
                <w:lang w:val="es-ES_tradnl"/>
              </w:rPr>
              <w:t>Asia y el Pacífico (1)</w:t>
            </w:r>
          </w:p>
          <w:p w:rsidR="001A2871" w:rsidRPr="00A34388" w:rsidRDefault="001A2871" w:rsidP="001A2871">
            <w:pPr>
              <w:pStyle w:val="ListParagraph"/>
              <w:numPr>
                <w:ilvl w:val="0"/>
                <w:numId w:val="24"/>
              </w:numPr>
              <w:ind w:left="360"/>
              <w:rPr>
                <w:rFonts w:cs="Arial"/>
                <w:sz w:val="16"/>
                <w:szCs w:val="16"/>
                <w:lang w:val="es-ES_tradnl"/>
              </w:rPr>
            </w:pPr>
            <w:r w:rsidRPr="00A34388">
              <w:rPr>
                <w:sz w:val="16"/>
                <w:lang w:val="es-ES_tradnl"/>
              </w:rPr>
              <w:t>determinados países de Europa y Asia (3)</w:t>
            </w:r>
          </w:p>
          <w:p w:rsidR="001A2871" w:rsidRPr="00A34388" w:rsidRDefault="001A2871" w:rsidP="001A2871">
            <w:pPr>
              <w:pStyle w:val="ListParagraph"/>
              <w:numPr>
                <w:ilvl w:val="0"/>
                <w:numId w:val="24"/>
              </w:numPr>
              <w:ind w:left="360"/>
              <w:rPr>
                <w:rFonts w:cs="Arial"/>
                <w:sz w:val="16"/>
                <w:szCs w:val="16"/>
                <w:lang w:val="es-ES_tradnl"/>
              </w:rPr>
            </w:pPr>
            <w:r w:rsidRPr="00332758">
              <w:rPr>
                <w:sz w:val="16"/>
                <w:lang w:val="es-ES_tradnl"/>
              </w:rPr>
              <w:t>América Latina y el Caribe (1)</w:t>
            </w:r>
          </w:p>
          <w:p w:rsidR="001A2871" w:rsidRPr="00A34388" w:rsidRDefault="001A2871" w:rsidP="00853209">
            <w:pPr>
              <w:rPr>
                <w:rFonts w:cs="Arial"/>
                <w:sz w:val="16"/>
                <w:szCs w:val="16"/>
                <w:lang w:val="es-ES_tradnl"/>
              </w:rPr>
            </w:pPr>
            <w:r w:rsidRPr="00A34388">
              <w:rPr>
                <w:sz w:val="16"/>
                <w:lang w:val="es-ES_tradnl"/>
              </w:rPr>
              <w:t>TOTAL:  13</w:t>
            </w:r>
          </w:p>
          <w:p w:rsidR="001A2871" w:rsidRPr="00A34388" w:rsidRDefault="001A2871" w:rsidP="00853209">
            <w:pPr>
              <w:rPr>
                <w:rFonts w:cs="Arial"/>
                <w:sz w:val="16"/>
                <w:szCs w:val="16"/>
                <w:lang w:val="es-ES_tradnl"/>
              </w:rPr>
            </w:pPr>
          </w:p>
        </w:tc>
        <w:tc>
          <w:tcPr>
            <w:tcW w:w="821"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bl>
    <w:p w:rsidR="001A2871" w:rsidRPr="00A34388" w:rsidRDefault="001A2871" w:rsidP="001A2871">
      <w:pPr>
        <w:keepNext/>
        <w:keepLines/>
        <w:rPr>
          <w:rFonts w:cs="Arial"/>
          <w:sz w:val="22"/>
          <w:szCs w:val="22"/>
          <w:lang w:val="es-ES_tradnl"/>
        </w:rPr>
      </w:pPr>
    </w:p>
    <w:p w:rsidR="004C0FD5" w:rsidRPr="00332758" w:rsidRDefault="004C0FD5">
      <w:pPr>
        <w:rPr>
          <w:sz w:val="22"/>
          <w:lang w:val="es-ES_tradnl"/>
        </w:rPr>
      </w:pPr>
    </w:p>
    <w:p w:rsidR="001A2871" w:rsidRPr="00A34388" w:rsidRDefault="001A2871" w:rsidP="001A2871">
      <w:pPr>
        <w:keepNext/>
        <w:keepLines/>
        <w:rPr>
          <w:rFonts w:cs="Arial"/>
          <w:sz w:val="22"/>
          <w:szCs w:val="22"/>
          <w:lang w:val="es-ES_tradnl"/>
        </w:rPr>
      </w:pPr>
      <w:r w:rsidRPr="00332758">
        <w:rPr>
          <w:sz w:val="22"/>
          <w:lang w:val="es-ES_tradnl"/>
        </w:rPr>
        <w:t>PRESUPUESTO Y GASTOS REALES</w:t>
      </w:r>
    </w:p>
    <w:p w:rsidR="001A2871" w:rsidRPr="00A34388" w:rsidRDefault="001A2871" w:rsidP="001A2871">
      <w:pPr>
        <w:rPr>
          <w:sz w:val="22"/>
          <w:szCs w:val="22"/>
          <w:lang w:val="es-ES_tradnl"/>
        </w:rPr>
      </w:pPr>
    </w:p>
    <w:p w:rsidR="001A2871" w:rsidRPr="00A34388" w:rsidRDefault="001A2871" w:rsidP="001A2871">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(por resultado) </w:t>
      </w:r>
    </w:p>
    <w:p w:rsidR="001A2871" w:rsidRPr="00332758" w:rsidRDefault="001A2871" w:rsidP="001A2871">
      <w:pPr>
        <w:jc w:val="center"/>
        <w:rPr>
          <w:rFonts w:eastAsiaTheme="minorEastAsia" w:cs="Arial"/>
          <w:szCs w:val="20"/>
          <w:lang w:val="es-ES_tradnl"/>
        </w:rPr>
      </w:pPr>
      <w:r w:rsidRPr="00332758">
        <w:rPr>
          <w:rFonts w:eastAsiaTheme="minorEastAsia"/>
          <w:i/>
          <w:lang w:val="es-ES_tradnl"/>
        </w:rPr>
        <w:t>(en miles de francos suizos)</w:t>
      </w:r>
    </w:p>
    <w:p w:rsidR="001A2871" w:rsidRPr="00A34388" w:rsidRDefault="001A2871" w:rsidP="001A2871">
      <w:pPr>
        <w:rPr>
          <w:sz w:val="22"/>
          <w:szCs w:val="22"/>
          <w:lang w:val="es-ES_tradnl"/>
        </w:rPr>
      </w:pPr>
    </w:p>
    <w:tbl>
      <w:tblPr>
        <w:tblW w:w="0" w:type="auto"/>
        <w:tblInd w:w="103" w:type="dxa"/>
        <w:tblLook w:val="04A0" w:firstRow="1" w:lastRow="0" w:firstColumn="1" w:lastColumn="0" w:noHBand="0" w:noVBand="1"/>
      </w:tblPr>
      <w:tblGrid>
        <w:gridCol w:w="557"/>
        <w:gridCol w:w="3984"/>
        <w:gridCol w:w="1606"/>
        <w:gridCol w:w="1607"/>
        <w:gridCol w:w="1607"/>
      </w:tblGrid>
      <w:tr w:rsidR="001A2871" w:rsidRPr="00A34388" w:rsidTr="00853209">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606"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5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IV.5</w:t>
            </w:r>
          </w:p>
        </w:tc>
        <w:tc>
          <w:tcPr>
            <w:tcW w:w="3984"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606"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7.813</w:t>
            </w:r>
          </w:p>
        </w:tc>
        <w:tc>
          <w:tcPr>
            <w:tcW w:w="1607"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8.269</w:t>
            </w:r>
          </w:p>
        </w:tc>
        <w:tc>
          <w:tcPr>
            <w:tcW w:w="1607"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8.042</w:t>
            </w:r>
          </w:p>
        </w:tc>
      </w:tr>
      <w:tr w:rsidR="001A2871" w:rsidRPr="00A34388" w:rsidTr="00853209">
        <w:tc>
          <w:tcPr>
            <w:tcW w:w="55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3984"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606"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7.813</w:t>
            </w:r>
          </w:p>
        </w:tc>
        <w:tc>
          <w:tcPr>
            <w:tcW w:w="1607"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8.269</w:t>
            </w:r>
          </w:p>
        </w:tc>
        <w:tc>
          <w:tcPr>
            <w:tcW w:w="1607"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8.042</w:t>
            </w:r>
          </w:p>
        </w:tc>
      </w:tr>
    </w:tbl>
    <w:p w:rsidR="001A2871" w:rsidRPr="00A34388" w:rsidRDefault="001A2871" w:rsidP="001A2871">
      <w:pPr>
        <w:rPr>
          <w:lang w:val="es-ES_tradnl"/>
        </w:rPr>
      </w:pPr>
    </w:p>
    <w:p w:rsidR="00253396" w:rsidRDefault="00253396">
      <w:pPr>
        <w:rPr>
          <w:rFonts w:cs="Arial"/>
          <w:color w:val="000000"/>
          <w:szCs w:val="18"/>
          <w:lang w:val="es-ES_tradnl"/>
        </w:rPr>
      </w:pPr>
      <w:r>
        <w:rPr>
          <w:color w:val="000000"/>
          <w:lang w:val="es-ES_tradnl"/>
        </w:rPr>
        <w:br w:type="page"/>
      </w: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lastRenderedPageBreak/>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rPr>
          <w:lang w:val="es-ES_tradnl"/>
        </w:rPr>
      </w:pPr>
    </w:p>
    <w:tbl>
      <w:tblPr>
        <w:tblW w:w="0" w:type="auto"/>
        <w:tblInd w:w="93" w:type="dxa"/>
        <w:tblLook w:val="04A0" w:firstRow="1" w:lastRow="0" w:firstColumn="1" w:lastColumn="0" w:noHBand="0" w:noVBand="1"/>
      </w:tblPr>
      <w:tblGrid>
        <w:gridCol w:w="2567"/>
        <w:gridCol w:w="1701"/>
        <w:gridCol w:w="1701"/>
        <w:gridCol w:w="1701"/>
        <w:gridCol w:w="1701"/>
      </w:tblGrid>
      <w:tr w:rsidR="001A2871" w:rsidRPr="00A34388" w:rsidTr="00853209">
        <w:trPr>
          <w:trHeight w:val="483"/>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rPr>
                <w:rFonts w:cs="Arial"/>
                <w:color w:val="000000"/>
                <w:sz w:val="16"/>
                <w:szCs w:val="16"/>
                <w:lang w:val="es-ES_tradnl"/>
              </w:rPr>
            </w:pPr>
            <w:r w:rsidRPr="00A34388">
              <w:rPr>
                <w:color w:val="000000"/>
                <w:sz w:val="16"/>
                <w:lang w:val="es-ES_tradnl"/>
              </w:rPr>
              <w:t> </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808080"/>
                <w:sz w:val="16"/>
                <w:szCs w:val="16"/>
                <w:lang w:val="es-ES_tradnl"/>
              </w:rPr>
            </w:pPr>
            <w:r w:rsidRPr="00332758">
              <w:rPr>
                <w:sz w:val="16"/>
                <w:lang w:val="es-ES_tradnl"/>
              </w:rPr>
              <w:t>Presupuesto aprobado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808080"/>
                <w:sz w:val="16"/>
                <w:szCs w:val="16"/>
                <w:lang w:val="es-ES_tradnl"/>
              </w:rPr>
            </w:pPr>
            <w:r w:rsidRPr="00332758">
              <w:rPr>
                <w:sz w:val="16"/>
                <w:lang w:val="es-ES_tradnl"/>
              </w:rPr>
              <w:t>Gastos en 2012/13</w:t>
            </w:r>
          </w:p>
        </w:tc>
        <w:tc>
          <w:tcPr>
            <w:tcW w:w="170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rPr>
                <w:rFonts w:cs="Arial"/>
                <w:color w:val="808080"/>
                <w:sz w:val="16"/>
                <w:szCs w:val="16"/>
                <w:lang w:val="es-ES_tradnl"/>
              </w:rPr>
            </w:pPr>
            <w:r w:rsidRPr="00332758">
              <w:rPr>
                <w:sz w:val="16"/>
                <w:lang w:val="es-ES_tradnl"/>
              </w:rPr>
              <w:t xml:space="preserve"> Recursos de personal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3.893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4.596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4.596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sz w:val="16"/>
                <w:szCs w:val="16"/>
                <w:lang w:val="es-ES_tradnl"/>
              </w:rPr>
            </w:pPr>
            <w:r w:rsidRPr="00332758">
              <w:rPr>
                <w:sz w:val="16"/>
                <w:lang w:val="es-ES_tradnl"/>
              </w:rPr>
              <w:t>100%</w:t>
            </w:r>
          </w:p>
        </w:tc>
      </w:tr>
      <w:tr w:rsidR="001A2871" w:rsidRPr="00A34388" w:rsidTr="00853209">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rPr>
                <w:rFonts w:cs="Arial"/>
                <w:color w:val="808080"/>
                <w:sz w:val="16"/>
                <w:szCs w:val="16"/>
                <w:lang w:val="es-ES_tradnl"/>
              </w:rPr>
            </w:pPr>
            <w:r w:rsidRPr="00332758">
              <w:rPr>
                <w:sz w:val="16"/>
                <w:lang w:val="es-ES_tradnl"/>
              </w:rPr>
              <w:t xml:space="preserve"> Recursos no relativos al personal </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3.919</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3.673</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color w:val="808080"/>
                <w:sz w:val="16"/>
                <w:szCs w:val="16"/>
                <w:lang w:val="es-ES_tradnl"/>
              </w:rPr>
            </w:pPr>
            <w:r w:rsidRPr="00332758">
              <w:rPr>
                <w:sz w:val="16"/>
                <w:lang w:val="es-ES_tradnl"/>
              </w:rPr>
              <w:t>3.446</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sz w:val="16"/>
                <w:szCs w:val="16"/>
                <w:lang w:val="es-ES_tradnl"/>
              </w:rPr>
            </w:pPr>
            <w:r w:rsidRPr="00332758">
              <w:rPr>
                <w:sz w:val="16"/>
                <w:lang w:val="es-ES_tradnl"/>
              </w:rPr>
              <w:t>94%</w:t>
            </w:r>
          </w:p>
        </w:tc>
      </w:tr>
      <w:tr w:rsidR="001A2871" w:rsidRPr="00A34388" w:rsidTr="00853209">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jc w:val="right"/>
              <w:rPr>
                <w:rFonts w:cs="Arial"/>
                <w:b/>
                <w:bCs/>
                <w:color w:val="808080"/>
                <w:sz w:val="16"/>
                <w:szCs w:val="16"/>
                <w:lang w:val="es-ES_tradnl"/>
              </w:rPr>
            </w:pPr>
            <w:r w:rsidRPr="00332758">
              <w:rPr>
                <w:b/>
                <w:sz w:val="16"/>
                <w:lang w:val="es-ES_tradnl"/>
              </w:rPr>
              <w:t>TOTAL</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7.813</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8.269</w:t>
            </w:r>
          </w:p>
        </w:tc>
        <w:tc>
          <w:tcPr>
            <w:tcW w:w="1701"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jc w:val="center"/>
              <w:rPr>
                <w:rFonts w:cs="Arial"/>
                <w:b/>
                <w:bCs/>
                <w:color w:val="808080"/>
                <w:sz w:val="16"/>
                <w:szCs w:val="16"/>
                <w:lang w:val="es-ES_tradnl"/>
              </w:rPr>
            </w:pPr>
            <w:r w:rsidRPr="00332758">
              <w:rPr>
                <w:b/>
                <w:sz w:val="16"/>
                <w:lang w:val="es-ES_tradnl"/>
              </w:rPr>
              <w:t>8.042</w:t>
            </w:r>
          </w:p>
        </w:tc>
        <w:tc>
          <w:tcPr>
            <w:tcW w:w="170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jc w:val="center"/>
              <w:rPr>
                <w:rFonts w:cs="Arial"/>
                <w:b/>
                <w:bCs/>
                <w:sz w:val="16"/>
                <w:szCs w:val="16"/>
                <w:lang w:val="es-ES_tradnl"/>
              </w:rPr>
            </w:pPr>
            <w:r w:rsidRPr="00332758">
              <w:rPr>
                <w:b/>
                <w:sz w:val="16"/>
                <w:lang w:val="es-ES_tradnl"/>
              </w:rPr>
              <w:t>97%</w:t>
            </w:r>
          </w:p>
        </w:tc>
      </w:tr>
    </w:tbl>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NOTAS:</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sz w:val="16"/>
          <w:szCs w:val="16"/>
          <w:lang w:val="es-ES_tradnl"/>
        </w:rPr>
      </w:pPr>
    </w:p>
    <w:p w:rsidR="001A2871" w:rsidRPr="00A34388" w:rsidRDefault="001A2871" w:rsidP="004C0FD5">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autoSpaceDE w:val="0"/>
        <w:autoSpaceDN w:val="0"/>
        <w:rPr>
          <w:sz w:val="16"/>
          <w:szCs w:val="16"/>
          <w:lang w:val="es-ES_tradnl"/>
        </w:rPr>
      </w:pPr>
    </w:p>
    <w:p w:rsidR="001A2871" w:rsidRPr="00A34388" w:rsidRDefault="001A2871" w:rsidP="001A2871">
      <w:pPr>
        <w:keepNext/>
        <w:autoSpaceDE w:val="0"/>
        <w:autoSpaceDN w:val="0"/>
        <w:rPr>
          <w:sz w:val="16"/>
          <w:szCs w:val="16"/>
          <w:lang w:val="es-ES_tradnl"/>
        </w:rPr>
      </w:pPr>
      <w:r w:rsidRPr="00332758">
        <w:rPr>
          <w:sz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rPr>
          <w:sz w:val="22"/>
          <w:szCs w:val="22"/>
          <w:lang w:val="es-ES_tradnl"/>
        </w:rPr>
      </w:pPr>
    </w:p>
    <w:p w:rsidR="001A2871" w:rsidRPr="00332758" w:rsidRDefault="001A2871" w:rsidP="001A2871">
      <w:pPr>
        <w:rPr>
          <w:szCs w:val="20"/>
          <w:lang w:val="es-ES_tradnl"/>
        </w:rPr>
      </w:pPr>
    </w:p>
    <w:p w:rsidR="001A2871" w:rsidRPr="00332758" w:rsidRDefault="001A2871" w:rsidP="001A2871">
      <w:pPr>
        <w:tabs>
          <w:tab w:val="left" w:pos="709"/>
        </w:tabs>
        <w:rPr>
          <w:szCs w:val="20"/>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tabs>
          <w:tab w:val="left" w:pos="709"/>
        </w:tabs>
        <w:rPr>
          <w:szCs w:val="20"/>
          <w:lang w:val="es-ES_tradnl"/>
        </w:rPr>
      </w:pPr>
    </w:p>
    <w:p w:rsidR="001A2871" w:rsidRPr="00A34388" w:rsidRDefault="001A2871" w:rsidP="001A2871">
      <w:pPr>
        <w:tabs>
          <w:tab w:val="left" w:pos="709"/>
        </w:tabs>
        <w:jc w:val="both"/>
        <w:rPr>
          <w:szCs w:val="20"/>
          <w:lang w:val="es-ES_tradnl"/>
        </w:rPr>
      </w:pPr>
      <w:r w:rsidRPr="00A34388">
        <w:rPr>
          <w:lang w:val="es-ES_tradnl"/>
        </w:rPr>
        <w:t xml:space="preserve">15.12. </w:t>
      </w:r>
      <w:r w:rsidRPr="00A34388">
        <w:rPr>
          <w:lang w:val="es-ES_tradnl"/>
        </w:rPr>
        <w:tab/>
        <w:t xml:space="preserve">Se asignaron recursos de personal adicionales a este programa a fin de apoyar el diseño y la actualización de programas informáticos de la OMPI y el despliegue del Sistema de Automatización de la Propiedad Industrial de la OMPI (IPAS) que da soporte a todos los principales procesos de trabajo de las oficinas de P.I.  Como consecuencia del aumento de la demanda de estos servicios, un total de 40 oficinas se están beneficiando actualmente de sistemas proporcionados por la OMPI frente al objetivo bienal de 20 oficinas.  </w:t>
      </w:r>
    </w:p>
    <w:p w:rsidR="001A2871" w:rsidRPr="00A34388" w:rsidRDefault="001A2871" w:rsidP="001A2871">
      <w:pPr>
        <w:tabs>
          <w:tab w:val="left" w:pos="709"/>
        </w:tabs>
        <w:rPr>
          <w:szCs w:val="20"/>
          <w:lang w:val="es-ES_tradnl"/>
        </w:rPr>
      </w:pPr>
    </w:p>
    <w:p w:rsidR="001A2871" w:rsidRPr="00A34388" w:rsidRDefault="001A2871" w:rsidP="001A2871">
      <w:pPr>
        <w:tabs>
          <w:tab w:val="left" w:pos="709"/>
        </w:tabs>
        <w:rPr>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8635F3" w:rsidRPr="00A34388">
        <w:rPr>
          <w:u w:val="single"/>
          <w:lang w:val="es-ES_tradnl"/>
        </w:rPr>
        <w:t>en </w:t>
      </w:r>
      <w:r w:rsidRPr="00A34388">
        <w:rPr>
          <w:u w:val="single"/>
          <w:lang w:val="es-ES_tradnl"/>
        </w:rPr>
        <w:t>2012/13</w:t>
      </w:r>
    </w:p>
    <w:p w:rsidR="001A2871" w:rsidRPr="00A34388" w:rsidRDefault="001A2871" w:rsidP="001A2871">
      <w:pPr>
        <w:tabs>
          <w:tab w:val="left" w:pos="709"/>
        </w:tabs>
        <w:rPr>
          <w:szCs w:val="20"/>
          <w:u w:val="single"/>
          <w:lang w:val="es-ES_tradnl"/>
        </w:rPr>
      </w:pPr>
    </w:p>
    <w:p w:rsidR="001A2871" w:rsidRPr="00A34388" w:rsidRDefault="001A2871" w:rsidP="001A2871">
      <w:pPr>
        <w:tabs>
          <w:tab w:val="left" w:pos="709"/>
        </w:tabs>
        <w:autoSpaceDE w:val="0"/>
        <w:autoSpaceDN w:val="0"/>
        <w:adjustRightInd w:val="0"/>
        <w:jc w:val="both"/>
        <w:rPr>
          <w:rFonts w:eastAsia="Batang" w:cs="Arial"/>
          <w:szCs w:val="20"/>
          <w:lang w:val="es-ES_tradnl"/>
        </w:rPr>
      </w:pPr>
      <w:r w:rsidRPr="00A34388">
        <w:rPr>
          <w:lang w:val="es-ES_tradnl"/>
        </w:rPr>
        <w:t>15.13.</w:t>
      </w:r>
      <w:r w:rsidRPr="00A34388">
        <w:rPr>
          <w:lang w:val="es-ES_tradnl"/>
        </w:rPr>
        <w:tab/>
        <w:t xml:space="preserve">La utilización del presupuesto, del 94%, refleja un nivel de gastos ligeramente inferior al previsto debido al ahorro de costos en viajes (misiones de miembros del personal) y servicios contractuales. </w:t>
      </w:r>
    </w:p>
    <w:p w:rsidR="001A2871" w:rsidRPr="00A34388" w:rsidRDefault="001A2871" w:rsidP="001A2871">
      <w:pPr>
        <w:pStyle w:val="CommentText"/>
        <w:rPr>
          <w:lang w:val="es-ES_tradnl"/>
        </w:rPr>
      </w:pPr>
    </w:p>
    <w:p w:rsidR="001A2871" w:rsidRPr="00A34388" w:rsidRDefault="001A2871" w:rsidP="001A2871">
      <w:pPr>
        <w:rPr>
          <w:sz w:val="22"/>
          <w:szCs w:val="22"/>
          <w:lang w:val="es-ES_tradnl"/>
        </w:rPr>
      </w:pPr>
    </w:p>
    <w:p w:rsidR="001A2871" w:rsidRPr="00A34388" w:rsidRDefault="001A2871" w:rsidP="001A2871">
      <w:pPr>
        <w:rPr>
          <w:lang w:val="es-ES_tradnl"/>
        </w:rPr>
      </w:pPr>
      <w:r w:rsidRPr="00A34388">
        <w:rPr>
          <w:lang w:val="es-ES_tradnl"/>
        </w:rPr>
        <w:br w:type="page"/>
      </w:r>
    </w:p>
    <w:p w:rsidR="00391D6B" w:rsidRPr="00332758" w:rsidRDefault="00391D6B" w:rsidP="00391D6B">
      <w:pPr>
        <w:pStyle w:val="Heading2"/>
        <w:rPr>
          <w:lang w:val="es-ES_tradnl"/>
        </w:rPr>
      </w:pPr>
      <w:bookmarkStart w:id="56" w:name="_Toc394319067"/>
      <w:bookmarkStart w:id="57" w:name="_Toc395279672"/>
      <w:r w:rsidRPr="00332758">
        <w:rPr>
          <w:caps w:val="0"/>
          <w:lang w:val="es-ES_tradnl"/>
        </w:rPr>
        <w:lastRenderedPageBreak/>
        <w:t>META ESTRATÉGICA V</w:t>
      </w:r>
      <w:r w:rsidRPr="00332758">
        <w:rPr>
          <w:lang w:val="es-ES_tradnl"/>
        </w:rPr>
        <w:br/>
      </w:r>
      <w:r w:rsidRPr="00332758">
        <w:rPr>
          <w:lang w:val="es-ES_tradnl"/>
        </w:rPr>
        <w:br/>
        <w:t>Fuente de referencia en el mundo de información y análisis en materia de P.I.</w:t>
      </w:r>
      <w:bookmarkEnd w:id="56"/>
      <w:bookmarkEnd w:id="57"/>
      <w:r w:rsidRPr="00332758">
        <w:rPr>
          <w:lang w:val="es-ES_tradnl"/>
        </w:rPr>
        <w:t xml:space="preserve"> </w:t>
      </w:r>
    </w:p>
    <w:p w:rsidR="001A2871" w:rsidRPr="00A34388" w:rsidRDefault="001A2871" w:rsidP="001A2871">
      <w:pPr>
        <w:jc w:val="center"/>
        <w:rPr>
          <w:lang w:val="es-ES_tradnl"/>
        </w:rPr>
      </w:pPr>
    </w:p>
    <w:p w:rsidR="001A2871" w:rsidRPr="00A34388" w:rsidRDefault="001A2871" w:rsidP="001A2871">
      <w:pPr>
        <w:jc w:val="center"/>
        <w:rPr>
          <w:lang w:val="es-ES_tradnl"/>
        </w:rPr>
      </w:pPr>
    </w:p>
    <w:p w:rsidR="001A2871" w:rsidRPr="00A34388" w:rsidRDefault="001A2871" w:rsidP="001A2871">
      <w:pPr>
        <w:jc w:val="center"/>
        <w:rPr>
          <w:lang w:val="es-ES_tradnl"/>
        </w:rPr>
      </w:pPr>
    </w:p>
    <w:p w:rsidR="001A2871" w:rsidRPr="00A34388" w:rsidRDefault="001A2871" w:rsidP="001A2871">
      <w:pPr>
        <w:jc w:val="center"/>
        <w:rPr>
          <w:szCs w:val="20"/>
          <w:lang w:val="es-ES_tradnl"/>
        </w:rPr>
      </w:pPr>
      <w:r w:rsidRPr="00332758">
        <w:rPr>
          <w:lang w:val="es-ES_tradnl"/>
        </w:rPr>
        <w:t>CUADRO SOBRE EL RENDIMIENTO BIENAL</w:t>
      </w:r>
    </w:p>
    <w:p w:rsidR="001A2871" w:rsidRPr="00A34388" w:rsidRDefault="001A2871" w:rsidP="001A2871">
      <w:pPr>
        <w:jc w:val="center"/>
        <w:rPr>
          <w:lang w:val="es-ES_tradnl"/>
        </w:rPr>
      </w:pPr>
    </w:p>
    <w:p w:rsidR="001A2871" w:rsidRPr="00A34388" w:rsidRDefault="008A4A33" w:rsidP="001A2871">
      <w:pPr>
        <w:autoSpaceDE w:val="0"/>
        <w:autoSpaceDN w:val="0"/>
        <w:adjustRightInd w:val="0"/>
        <w:jc w:val="both"/>
        <w:rPr>
          <w:rFonts w:cs="Arial"/>
          <w:lang w:val="es-ES_tradnl"/>
        </w:rPr>
      </w:pPr>
      <w:r w:rsidRPr="00A34388">
        <w:rPr>
          <w:lang w:val="es-ES_tradnl"/>
        </w:rPr>
        <w:t xml:space="preserve">En el siguiente cuadro se incluye una reseña general de la consecución de </w:t>
      </w:r>
      <w:r w:rsidR="001A2871" w:rsidRPr="00A34388">
        <w:rPr>
          <w:lang w:val="es-ES_tradnl"/>
        </w:rPr>
        <w:t xml:space="preserve">los resultados previstos en el bienio 2012/13 </w:t>
      </w:r>
      <w:r w:rsidRPr="00A34388">
        <w:rPr>
          <w:lang w:val="es-ES_tradnl"/>
        </w:rPr>
        <w:t xml:space="preserve">medidos por los indicadores relativos a los programas </w:t>
      </w:r>
      <w:r w:rsidR="001A2871" w:rsidRPr="00A34388">
        <w:rPr>
          <w:lang w:val="es-ES_tradnl"/>
        </w:rPr>
        <w:t xml:space="preserve">que contribuyen a esta meta estratégica.  </w:t>
      </w:r>
    </w:p>
    <w:p w:rsidR="001A2871" w:rsidRDefault="001A2871" w:rsidP="001A2871">
      <w:pPr>
        <w:tabs>
          <w:tab w:val="left" w:pos="1701"/>
        </w:tabs>
        <w:ind w:left="1701" w:hanging="1701"/>
        <w:jc w:val="center"/>
        <w:rPr>
          <w:rFonts w:cs="Arial"/>
          <w:b/>
          <w:bCs/>
          <w:caps/>
          <w:lang w:val="es-ES_tradnl"/>
        </w:rPr>
      </w:pPr>
    </w:p>
    <w:p w:rsidR="00672C0F" w:rsidRDefault="00672C0F" w:rsidP="001A2871">
      <w:pPr>
        <w:tabs>
          <w:tab w:val="left" w:pos="1701"/>
        </w:tabs>
        <w:ind w:left="1701" w:hanging="1701"/>
        <w:jc w:val="center"/>
        <w:rPr>
          <w:rFonts w:cs="Arial"/>
          <w:b/>
          <w:bCs/>
          <w:caps/>
          <w:lang w:val="es-ES_tradnl"/>
        </w:rPr>
      </w:pPr>
      <w:r>
        <w:rPr>
          <w:rFonts w:cs="Arial"/>
          <w:b/>
          <w:bCs/>
          <w:caps/>
          <w:noProof/>
        </w:rPr>
        <w:drawing>
          <wp:inline distT="0" distB="0" distL="0" distR="0" wp14:anchorId="4489D17D" wp14:editId="76368AA3">
            <wp:extent cx="4542739" cy="2144115"/>
            <wp:effectExtent l="0" t="0" r="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44893" cy="2145131"/>
                    </a:xfrm>
                    <a:prstGeom prst="rect">
                      <a:avLst/>
                    </a:prstGeom>
                    <a:noFill/>
                  </pic:spPr>
                </pic:pic>
              </a:graphicData>
            </a:graphic>
          </wp:inline>
        </w:drawing>
      </w:r>
    </w:p>
    <w:p w:rsidR="00672C0F" w:rsidRPr="00A34388" w:rsidRDefault="00672C0F" w:rsidP="001A2871">
      <w:pPr>
        <w:tabs>
          <w:tab w:val="left" w:pos="1701"/>
        </w:tabs>
        <w:ind w:left="1701" w:hanging="1701"/>
        <w:jc w:val="center"/>
        <w:rPr>
          <w:rFonts w:cs="Arial"/>
          <w:b/>
          <w:bCs/>
          <w:caps/>
          <w:lang w:val="es-ES_tradnl"/>
        </w:rPr>
      </w:pPr>
    </w:p>
    <w:p w:rsidR="001A2871" w:rsidRPr="00A34388" w:rsidRDefault="001A2871" w:rsidP="001A2871">
      <w:pPr>
        <w:tabs>
          <w:tab w:val="left" w:pos="1701"/>
        </w:tabs>
        <w:ind w:left="1701" w:hanging="1701"/>
        <w:jc w:val="center"/>
        <w:rPr>
          <w:rFonts w:cs="Arial"/>
          <w:b/>
          <w:bCs/>
          <w:caps/>
          <w:lang w:val="es-ES_tradnl"/>
        </w:rPr>
      </w:pPr>
    </w:p>
    <w:tbl>
      <w:tblPr>
        <w:tblW w:w="0" w:type="auto"/>
        <w:tblInd w:w="98" w:type="dxa"/>
        <w:tblLook w:val="0000" w:firstRow="0" w:lastRow="0" w:firstColumn="0" w:lastColumn="0" w:noHBand="0" w:noVBand="0"/>
      </w:tblPr>
      <w:tblGrid>
        <w:gridCol w:w="3206"/>
        <w:gridCol w:w="3223"/>
        <w:gridCol w:w="1479"/>
        <w:gridCol w:w="1281"/>
      </w:tblGrid>
      <w:tr w:rsidR="001A2871" w:rsidRPr="00A34388" w:rsidTr="00853209">
        <w:tc>
          <w:tcPr>
            <w:tcW w:w="3206" w:type="dxa"/>
            <w:tcBorders>
              <w:top w:val="single" w:sz="4" w:space="0" w:color="auto"/>
              <w:left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223"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479"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281" w:type="dxa"/>
            <w:tcBorders>
              <w:top w:val="single" w:sz="4" w:space="0" w:color="auto"/>
              <w:left w:val="nil"/>
              <w:bottom w:val="single" w:sz="4" w:space="0" w:color="auto"/>
              <w:right w:val="single" w:sz="4" w:space="0" w:color="auto"/>
            </w:tcBorders>
            <w:shd w:val="clear" w:color="auto" w:fill="CCFFFF"/>
            <w:vAlign w:val="center"/>
          </w:tcPr>
          <w:p w:rsidR="001A2871" w:rsidRPr="00332758" w:rsidRDefault="001A2871" w:rsidP="00853209">
            <w:pPr>
              <w:spacing w:before="120" w:after="120"/>
              <w:jc w:val="center"/>
              <w:rPr>
                <w:rFonts w:cs="Arial"/>
                <w:b/>
                <w:bCs/>
                <w:sz w:val="14"/>
                <w:szCs w:val="14"/>
                <w:lang w:val="es-ES_tradnl"/>
              </w:rPr>
            </w:pPr>
            <w:r w:rsidRPr="00332758">
              <w:rPr>
                <w:b/>
                <w:sz w:val="14"/>
                <w:lang w:val="es-ES_tradnl"/>
              </w:rPr>
              <w:t>Clave de colores</w:t>
            </w:r>
          </w:p>
        </w:tc>
      </w:tr>
      <w:tr w:rsidR="001A2871" w:rsidRPr="00A34388" w:rsidTr="00853209">
        <w:tc>
          <w:tcPr>
            <w:tcW w:w="3206" w:type="dxa"/>
            <w:vMerge w:val="restart"/>
            <w:tcBorders>
              <w:top w:val="single" w:sz="4" w:space="0" w:color="auto"/>
              <w:left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Mayor uso de la información estadística de la OMPI sobre los resultados del sistema internacional de P.I.</w:t>
            </w:r>
          </w:p>
        </w:tc>
        <w:tc>
          <w:tcPr>
            <w:tcW w:w="3223" w:type="dxa"/>
            <w:tcBorders>
              <w:top w:val="single" w:sz="4" w:space="0" w:color="auto"/>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descargas de los dos principales informes estadísticos.</w:t>
            </w:r>
          </w:p>
        </w:tc>
        <w:tc>
          <w:tcPr>
            <w:tcW w:w="1479" w:type="dxa"/>
            <w:tcBorders>
              <w:top w:val="single" w:sz="4" w:space="0" w:color="auto"/>
              <w:left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16</w:t>
            </w:r>
          </w:p>
        </w:tc>
        <w:tc>
          <w:tcPr>
            <w:tcW w:w="1281" w:type="dxa"/>
            <w:tcBorders>
              <w:top w:val="single" w:sz="4" w:space="0" w:color="auto"/>
              <w:left w:val="nil"/>
              <w:bottom w:val="nil"/>
              <w:right w:val="single" w:sz="4" w:space="0" w:color="auto"/>
            </w:tcBorders>
          </w:tcPr>
          <w:p w:rsidR="001A2871" w:rsidRPr="005275D6" w:rsidRDefault="001A2871" w:rsidP="00853209">
            <w:pPr>
              <w:jc w:val="center"/>
              <w:rPr>
                <w:rFonts w:cs="Arial"/>
                <w:color w:val="A6A6A6" w:themeColor="background1" w:themeShade="A6"/>
                <w:sz w:val="22"/>
                <w:szCs w:val="22"/>
                <w:lang w:val="es-ES_tradnl"/>
              </w:rPr>
            </w:pPr>
            <w:r w:rsidRPr="005275D6">
              <w:rPr>
                <w:rFonts w:cs="Arial"/>
                <w:color w:val="A6A6A6" w:themeColor="background1" w:themeShade="A6"/>
                <w:sz w:val="22"/>
                <w:szCs w:val="22"/>
                <w:lang w:val="es-ES_tradnl"/>
              </w:rPr>
              <w:sym w:font="Wingdings" w:char="F06C"/>
            </w:r>
          </w:p>
        </w:tc>
      </w:tr>
      <w:tr w:rsidR="001A2871" w:rsidRPr="00A34388" w:rsidTr="00853209">
        <w:tc>
          <w:tcPr>
            <w:tcW w:w="3206" w:type="dxa"/>
            <w:vMerge/>
            <w:tcBorders>
              <w:left w:val="single" w:sz="4" w:space="0" w:color="auto"/>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p>
        </w:tc>
        <w:tc>
          <w:tcPr>
            <w:tcW w:w="3223" w:type="dxa"/>
            <w:tcBorders>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descargas de datos.</w:t>
            </w:r>
          </w:p>
        </w:tc>
        <w:tc>
          <w:tcPr>
            <w:tcW w:w="1479" w:type="dxa"/>
            <w:tcBorders>
              <w:left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16</w:t>
            </w:r>
          </w:p>
        </w:tc>
        <w:tc>
          <w:tcPr>
            <w:tcW w:w="1281" w:type="dxa"/>
            <w:tcBorders>
              <w:left w:val="nil"/>
              <w:bottom w:val="nil"/>
              <w:right w:val="single" w:sz="4" w:space="0" w:color="auto"/>
            </w:tcBorders>
          </w:tcPr>
          <w:p w:rsidR="001A2871" w:rsidRPr="005275D6" w:rsidRDefault="001A2871" w:rsidP="00853209">
            <w:pPr>
              <w:jc w:val="center"/>
              <w:rPr>
                <w:color w:val="A6A6A6" w:themeColor="background1" w:themeShade="A6"/>
                <w:sz w:val="22"/>
                <w:szCs w:val="22"/>
                <w:lang w:val="es-ES_tradnl"/>
              </w:rPr>
            </w:pPr>
            <w:r w:rsidRPr="005275D6">
              <w:rPr>
                <w:rFonts w:cs="Arial"/>
                <w:color w:val="A6A6A6" w:themeColor="background1" w:themeShade="A6"/>
                <w:sz w:val="22"/>
                <w:szCs w:val="22"/>
                <w:lang w:val="es-ES_tradnl"/>
              </w:rPr>
              <w:sym w:font="Wingdings" w:char="F06C"/>
            </w:r>
          </w:p>
        </w:tc>
      </w:tr>
      <w:tr w:rsidR="001A2871" w:rsidRPr="00A34388" w:rsidTr="00853209">
        <w:tc>
          <w:tcPr>
            <w:tcW w:w="3206" w:type="dxa"/>
            <w:vMerge w:val="restart"/>
            <w:tcBorders>
              <w:top w:val="nil"/>
              <w:left w:val="single" w:sz="4" w:space="0" w:color="auto"/>
              <w:right w:val="nil"/>
            </w:tcBorders>
            <w:shd w:val="clear" w:color="auto" w:fill="auto"/>
            <w:tcMar>
              <w:top w:w="113" w:type="dxa"/>
            </w:tcMar>
          </w:tcPr>
          <w:p w:rsidR="001A2871" w:rsidRPr="00A34388" w:rsidRDefault="001A2871" w:rsidP="00853209">
            <w:pPr>
              <w:spacing w:before="80"/>
              <w:rPr>
                <w:rFonts w:cs="Arial"/>
                <w:color w:val="808080"/>
                <w:sz w:val="14"/>
                <w:szCs w:val="14"/>
                <w:lang w:val="es-ES_tradnl"/>
              </w:rPr>
            </w:pPr>
            <w:r w:rsidRPr="00332758">
              <w:rPr>
                <w:sz w:val="14"/>
                <w:lang w:val="es-ES_tradnl"/>
              </w:rPr>
              <w:t>Adopción de análisis económicos de la OMPI para la formulación de políticas de P.I.</w:t>
            </w:r>
          </w:p>
        </w:tc>
        <w:tc>
          <w:tcPr>
            <w:tcW w:w="3223" w:type="dxa"/>
            <w:tcBorders>
              <w:top w:val="nil"/>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citas en publicaciones económicas e informes de política gubernamental.</w:t>
            </w:r>
          </w:p>
        </w:tc>
        <w:tc>
          <w:tcPr>
            <w:tcW w:w="1479" w:type="dxa"/>
            <w:tcBorders>
              <w:top w:val="nil"/>
              <w:left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16</w:t>
            </w:r>
          </w:p>
        </w:tc>
        <w:tc>
          <w:tcPr>
            <w:tcW w:w="1281" w:type="dxa"/>
            <w:tcBorders>
              <w:top w:val="nil"/>
              <w:left w:val="nil"/>
              <w:bottom w:val="nil"/>
              <w:right w:val="single" w:sz="4" w:space="0" w:color="auto"/>
            </w:tcBorders>
          </w:tcPr>
          <w:p w:rsidR="001A2871" w:rsidRPr="005275D6" w:rsidRDefault="001A2871" w:rsidP="00853209">
            <w:pPr>
              <w:jc w:val="center"/>
              <w:rPr>
                <w:color w:val="A6A6A6" w:themeColor="background1" w:themeShade="A6"/>
                <w:sz w:val="22"/>
                <w:szCs w:val="22"/>
                <w:lang w:val="es-ES_tradnl"/>
              </w:rPr>
            </w:pPr>
            <w:r w:rsidRPr="005275D6">
              <w:rPr>
                <w:rFonts w:cs="Arial"/>
                <w:color w:val="A6A6A6" w:themeColor="background1" w:themeShade="A6"/>
                <w:sz w:val="22"/>
                <w:szCs w:val="22"/>
                <w:lang w:val="es-ES_tradnl"/>
              </w:rPr>
              <w:sym w:font="Wingdings" w:char="F06C"/>
            </w:r>
          </w:p>
        </w:tc>
      </w:tr>
      <w:tr w:rsidR="001A2871" w:rsidRPr="00A34388" w:rsidTr="00853209">
        <w:tc>
          <w:tcPr>
            <w:tcW w:w="3206" w:type="dxa"/>
            <w:vMerge/>
            <w:tcBorders>
              <w:left w:val="single" w:sz="4" w:space="0" w:color="auto"/>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p>
        </w:tc>
        <w:tc>
          <w:tcPr>
            <w:tcW w:w="3223" w:type="dxa"/>
            <w:tcBorders>
              <w:top w:val="nil"/>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países en desarrollo que consideran útiles los estudios económicos de la OMPI y grado de utilidad.</w:t>
            </w:r>
          </w:p>
        </w:tc>
        <w:tc>
          <w:tcPr>
            <w:tcW w:w="1479" w:type="dxa"/>
            <w:tcBorders>
              <w:top w:val="nil"/>
              <w:left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16</w:t>
            </w:r>
          </w:p>
        </w:tc>
        <w:tc>
          <w:tcPr>
            <w:tcW w:w="1281" w:type="dxa"/>
            <w:tcBorders>
              <w:top w:val="nil"/>
              <w:left w:val="nil"/>
              <w:bottom w:val="nil"/>
              <w:right w:val="single" w:sz="4" w:space="0" w:color="auto"/>
            </w:tcBorders>
          </w:tcPr>
          <w:p w:rsidR="001A2871" w:rsidRPr="005275D6" w:rsidRDefault="001A2871" w:rsidP="00853209">
            <w:pPr>
              <w:jc w:val="center"/>
              <w:rPr>
                <w:color w:val="A6A6A6" w:themeColor="background1" w:themeShade="A6"/>
                <w:sz w:val="22"/>
                <w:szCs w:val="22"/>
                <w:lang w:val="es-ES_tradnl"/>
              </w:rPr>
            </w:pPr>
            <w:r w:rsidRPr="005275D6">
              <w:rPr>
                <w:rFonts w:cs="Arial"/>
                <w:color w:val="A6A6A6" w:themeColor="background1" w:themeShade="A6"/>
                <w:sz w:val="22"/>
                <w:szCs w:val="22"/>
                <w:lang w:val="es-ES_tradnl"/>
              </w:rPr>
              <w:sym w:font="Wingdings" w:char="F06C"/>
            </w:r>
          </w:p>
        </w:tc>
      </w:tr>
      <w:tr w:rsidR="001A2871" w:rsidRPr="00A34388" w:rsidTr="00853209">
        <w:tc>
          <w:tcPr>
            <w:tcW w:w="3206" w:type="dxa"/>
            <w:tcBorders>
              <w:top w:val="nil"/>
              <w:left w:val="single" w:sz="4" w:space="0" w:color="auto"/>
              <w:bottom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Fomento del acceso a la información jurídica relativa a la P.I. y de su uso</w:t>
            </w:r>
            <w:r w:rsidRPr="00A34388">
              <w:rPr>
                <w:color w:val="FF00FF"/>
                <w:sz w:val="14"/>
                <w:lang w:val="es-ES_tradnl"/>
              </w:rPr>
              <w:t>.</w:t>
            </w:r>
          </w:p>
        </w:tc>
        <w:tc>
          <w:tcPr>
            <w:tcW w:w="3223" w:type="dxa"/>
            <w:tcBorders>
              <w:top w:val="nil"/>
              <w:left w:val="nil"/>
              <w:bottom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Mejor cobertura de la información jurídica relativa a la P.I. almacenada en la base de datos WIPO Lex.</w:t>
            </w:r>
          </w:p>
          <w:p w:rsidR="001A2871" w:rsidRPr="00A34388" w:rsidRDefault="001A2871" w:rsidP="00853209">
            <w:pPr>
              <w:spacing w:before="80"/>
              <w:rPr>
                <w:rFonts w:cs="Arial"/>
                <w:sz w:val="14"/>
                <w:szCs w:val="14"/>
                <w:lang w:val="es-ES_tradnl"/>
              </w:rPr>
            </w:pPr>
          </w:p>
        </w:tc>
        <w:tc>
          <w:tcPr>
            <w:tcW w:w="1479" w:type="dxa"/>
            <w:tcBorders>
              <w:top w:val="nil"/>
              <w:left w:val="nil"/>
              <w:bottom w:val="single" w:sz="4" w:space="0" w:color="auto"/>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21</w:t>
            </w:r>
          </w:p>
        </w:tc>
        <w:tc>
          <w:tcPr>
            <w:tcW w:w="1281" w:type="dxa"/>
            <w:tcBorders>
              <w:top w:val="nil"/>
              <w:left w:val="nil"/>
              <w:bottom w:val="single" w:sz="4" w:space="0" w:color="auto"/>
              <w:right w:val="single" w:sz="4" w:space="0" w:color="auto"/>
            </w:tcBorders>
          </w:tcPr>
          <w:p w:rsidR="001A2871" w:rsidRPr="00A34388" w:rsidRDefault="001A2871" w:rsidP="00853209">
            <w:pPr>
              <w:jc w:val="center"/>
              <w:rPr>
                <w:rFonts w:cs="Arial"/>
                <w:sz w:val="22"/>
                <w:szCs w:val="22"/>
                <w:lang w:val="es-ES_tradnl"/>
              </w:rPr>
            </w:pPr>
            <w:r w:rsidRPr="00A34388">
              <w:rPr>
                <w:rFonts w:cs="Arial"/>
                <w:color w:val="008000"/>
                <w:sz w:val="22"/>
                <w:szCs w:val="22"/>
                <w:lang w:val="es-ES_tradnl"/>
              </w:rPr>
              <w:sym w:font="Wingdings" w:char="F06C"/>
            </w:r>
          </w:p>
        </w:tc>
      </w:tr>
    </w:tbl>
    <w:p w:rsidR="001A2871" w:rsidRPr="00A34388" w:rsidRDefault="001A2871" w:rsidP="001A2871">
      <w:pPr>
        <w:tabs>
          <w:tab w:val="left" w:pos="0"/>
        </w:tabs>
        <w:rPr>
          <w:rFonts w:cs="Arial"/>
          <w:i/>
          <w:lang w:val="es-ES_tradnl"/>
        </w:rPr>
      </w:pPr>
    </w:p>
    <w:p w:rsidR="001A2871" w:rsidRPr="00A34388" w:rsidRDefault="001A2871" w:rsidP="001A2871">
      <w:pPr>
        <w:rPr>
          <w:rFonts w:ascii="Arial Bold" w:eastAsiaTheme="majorEastAsia" w:hAnsi="Arial Bold" w:cstheme="majorBidi" w:hint="eastAsia"/>
          <w:b/>
          <w:bCs/>
          <w:sz w:val="22"/>
          <w:lang w:val="es-ES_tradnl"/>
        </w:rPr>
      </w:pPr>
      <w:r w:rsidRPr="00A34388">
        <w:rPr>
          <w:lang w:val="es-ES_tradnl"/>
        </w:rPr>
        <w:br w:type="page"/>
      </w:r>
    </w:p>
    <w:p w:rsidR="00391D6B" w:rsidRPr="003934C8" w:rsidRDefault="00391D6B" w:rsidP="00391D6B">
      <w:pPr>
        <w:pStyle w:val="Heading3"/>
        <w:rPr>
          <w:rFonts w:hint="eastAsia"/>
          <w:lang w:val="es-ES"/>
        </w:rPr>
      </w:pPr>
      <w:bookmarkStart w:id="58" w:name="_Toc394319068"/>
      <w:bookmarkStart w:id="59" w:name="_Toc395279673"/>
      <w:r w:rsidRPr="003934C8">
        <w:rPr>
          <w:lang w:val="es-ES"/>
        </w:rPr>
        <w:lastRenderedPageBreak/>
        <w:t>Programa 16</w:t>
      </w:r>
      <w:r w:rsidRPr="003934C8">
        <w:rPr>
          <w:lang w:val="es-ES"/>
        </w:rPr>
        <w:tab/>
        <w:t>Economía y estadística</w:t>
      </w:r>
      <w:bookmarkEnd w:id="58"/>
      <w:bookmarkEnd w:id="59"/>
    </w:p>
    <w:p w:rsidR="00391D6B" w:rsidRPr="00E34A2F" w:rsidRDefault="00391D6B" w:rsidP="00391D6B">
      <w:pPr>
        <w:rPr>
          <w:b/>
          <w:sz w:val="22"/>
          <w:szCs w:val="22"/>
          <w:lang w:val="es-ES_tradnl"/>
        </w:rPr>
      </w:pPr>
    </w:p>
    <w:p w:rsidR="00391D6B" w:rsidRPr="00E34A2F" w:rsidRDefault="00391D6B" w:rsidP="00391D6B">
      <w:pPr>
        <w:rPr>
          <w:b/>
          <w:sz w:val="22"/>
          <w:szCs w:val="22"/>
          <w:lang w:val="es-ES_tradnl"/>
        </w:rPr>
      </w:pPr>
      <w:bookmarkStart w:id="60" w:name="_Toc394319069"/>
      <w:bookmarkStart w:id="61" w:name="_Toc394914514"/>
      <w:r w:rsidRPr="00E34A2F">
        <w:rPr>
          <w:b/>
          <w:sz w:val="22"/>
          <w:szCs w:val="22"/>
          <w:lang w:val="es-ES_tradnl"/>
        </w:rPr>
        <w:t>Director del Programa</w:t>
      </w:r>
      <w:r w:rsidRPr="00E34A2F">
        <w:rPr>
          <w:b/>
          <w:sz w:val="22"/>
          <w:szCs w:val="22"/>
          <w:lang w:val="es-ES_tradnl"/>
        </w:rPr>
        <w:tab/>
        <w:t>Director General</w:t>
      </w:r>
      <w:bookmarkEnd w:id="60"/>
      <w:bookmarkEnd w:id="61"/>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bCs/>
          <w:sz w:val="22"/>
          <w:szCs w:val="22"/>
          <w:lang w:val="es-ES_tradnl"/>
        </w:rPr>
      </w:pPr>
    </w:p>
    <w:p w:rsidR="001A2871" w:rsidRPr="00A34388" w:rsidRDefault="003E3F45" w:rsidP="001A2871">
      <w:pPr>
        <w:ind w:left="2268" w:hanging="2268"/>
        <w:rPr>
          <w:rFonts w:cs="Arial"/>
          <w:sz w:val="22"/>
          <w:szCs w:val="22"/>
          <w:lang w:val="es-ES_tradnl"/>
        </w:rPr>
      </w:pPr>
      <w:r>
        <w:rPr>
          <w:sz w:val="22"/>
          <w:lang w:val="es-ES_tradnl"/>
        </w:rPr>
        <w:t>AVANCES LOGRADOS EN EL BIENIO 2012/13</w:t>
      </w:r>
    </w:p>
    <w:p w:rsidR="001A2871" w:rsidRPr="00A34388" w:rsidRDefault="001A2871" w:rsidP="001A2871">
      <w:pPr>
        <w:ind w:left="2268" w:hanging="2268"/>
        <w:rPr>
          <w:rFonts w:cs="Arial"/>
          <w:sz w:val="22"/>
          <w:szCs w:val="22"/>
          <w:lang w:val="es-ES_tradnl"/>
        </w:rPr>
      </w:pPr>
    </w:p>
    <w:p w:rsidR="00D41354" w:rsidRPr="00A34388" w:rsidRDefault="001A2871" w:rsidP="001A2871">
      <w:pPr>
        <w:tabs>
          <w:tab w:val="left" w:pos="709"/>
        </w:tabs>
        <w:jc w:val="both"/>
        <w:rPr>
          <w:color w:val="000000"/>
          <w:lang w:val="es-ES_tradnl"/>
        </w:rPr>
      </w:pPr>
      <w:r w:rsidRPr="00A34388">
        <w:rPr>
          <w:color w:val="000000"/>
          <w:lang w:val="es-ES_tradnl"/>
        </w:rPr>
        <w:t>16.1.</w:t>
      </w:r>
      <w:r w:rsidRPr="00A34388">
        <w:rPr>
          <w:lang w:val="es-ES_tradnl"/>
        </w:rPr>
        <w:tab/>
      </w:r>
      <w:r w:rsidRPr="00A34388">
        <w:rPr>
          <w:color w:val="000000"/>
          <w:lang w:val="es-ES_tradnl"/>
        </w:rPr>
        <w:t xml:space="preserve">La labor estadística consiguió plenamente su objetivo de promocionar la disponibilidad de información estadística precisa, exhaustiva y puntual sobre el rendimiento del sistema de P.I. en todo el mundo.  Como sucediera en años anteriores, el programa llevó a cabo exhaustivos estudios anuales de las oficinas nacionales y regionales de propiedad intelectual.  La cobertura de los datos continuó incluyendo las mayores jurisdicciones que utilizan la propiedad intelectual, y mejoró ligeramente en comparación con el bienio anterior.  </w:t>
      </w:r>
      <w:r w:rsidR="00D41354" w:rsidRPr="00A34388">
        <w:rPr>
          <w:color w:val="000000"/>
          <w:lang w:val="es-ES_tradnl"/>
        </w:rPr>
        <w:t>Un hito significativo del bienio fue la creación de un Centro de Datos de Estadísticas de Propiedad Intelectual que permite un acceso más adaptado a las estadísticas en materia de propiedad intelectual de la OMPI.  Además, el programa diseñó nuevos informes estadísticos sobre los sistemas de Madrid y La Haya, que complementan a las herramientas de presentación de informes estadísticos que existen desde hace tiempo – en particular, los Perfiles estadísticos de los países, los Indicadores mundiales de propiedad intelectual, los Datos y cifras en materia de P.I. y los informes del PCT.  En conjunto, la oferta ampliada del programa dio respuesta a las necesidades de datos y análisis estadístico de una amplia gama de usuarios – desde especialistas de las oficinas de P.I</w:t>
      </w:r>
      <w:r w:rsidR="00A45ECF" w:rsidRPr="00A34388">
        <w:rPr>
          <w:color w:val="000000"/>
          <w:lang w:val="es-ES_tradnl"/>
        </w:rPr>
        <w:t>.</w:t>
      </w:r>
      <w:r w:rsidR="00D41354" w:rsidRPr="00A34388">
        <w:rPr>
          <w:color w:val="000000"/>
          <w:lang w:val="es-ES_tradnl"/>
        </w:rPr>
        <w:t xml:space="preserve"> y académicos hasta usuarios más generales ajenos a la comunidad de la P.I.  Aunque resulta complicado realizar un seguimiento coherente a lo largo del tiempo, las estadísticas y los informes estadísticos de la OMPI sobre propiedad intelectual continúan siendo ampliamente utilizados y citados en estudios académicos, informes sobre políticas, artículos de medios de comunicación y otras publicaciones de todo el mundo.</w:t>
      </w:r>
    </w:p>
    <w:p w:rsidR="00D41354" w:rsidRPr="00A34388" w:rsidRDefault="00D41354" w:rsidP="001A2871">
      <w:pPr>
        <w:tabs>
          <w:tab w:val="left" w:pos="709"/>
        </w:tabs>
        <w:jc w:val="both"/>
        <w:rPr>
          <w:color w:val="000000"/>
          <w:lang w:val="es-ES_tradnl"/>
        </w:rPr>
      </w:pPr>
    </w:p>
    <w:p w:rsidR="00AC76AA" w:rsidRPr="00A34388" w:rsidRDefault="001A2871" w:rsidP="001A2871">
      <w:pPr>
        <w:tabs>
          <w:tab w:val="left" w:pos="709"/>
        </w:tabs>
        <w:jc w:val="both"/>
        <w:rPr>
          <w:color w:val="000000"/>
          <w:lang w:val="es-ES_tradnl"/>
        </w:rPr>
      </w:pPr>
      <w:r w:rsidRPr="00A34388">
        <w:rPr>
          <w:color w:val="000000"/>
          <w:lang w:val="es-ES_tradnl"/>
        </w:rPr>
        <w:t>16.2.</w:t>
      </w:r>
      <w:r w:rsidRPr="00A34388">
        <w:rPr>
          <w:lang w:val="es-ES_tradnl"/>
        </w:rPr>
        <w:tab/>
      </w:r>
      <w:r w:rsidR="00AC76AA" w:rsidRPr="00A34388">
        <w:rPr>
          <w:color w:val="000000"/>
          <w:lang w:val="es-ES_tradnl"/>
        </w:rPr>
        <w:t>La labor de análisis económico del programa ha madurado y se ha ampliado en nuevas direcciones.  Un logro significativo fue la publicación del segundo Informe Mundial sobre la P.I., centrado en la función de las marcas en la economía mundial, que generó numerosas noticias y un gran interés entre los responsables de la adopción de políticas y los representantes del mundo académico.  Asimismo, la OMPI se comprometió a participar en la publicación del Índice mundial de innovación (GII), conjuntamente con el INSEAD y la Universidad de Cornell.  El lanzamiento de las dos ediciones del GII del bienio, en el caso de 20</w:t>
      </w:r>
      <w:r w:rsidR="007038DA">
        <w:rPr>
          <w:color w:val="000000"/>
          <w:lang w:val="es-ES_tradnl"/>
        </w:rPr>
        <w:t>1</w:t>
      </w:r>
      <w:r w:rsidR="00AC76AA" w:rsidRPr="00A34388">
        <w:rPr>
          <w:color w:val="000000"/>
          <w:lang w:val="es-ES_tradnl"/>
        </w:rPr>
        <w:t xml:space="preserve">3 con la presencia del Secretario General de las Naciones Unidas, mereció una notable atención de los medios de comunicación.  Además, gobiernos nacionales y organizaciones internacionales, incluidas algunas pertenecientes al sistema de las Naciones Unidas, utilizan cada vez más el GII como fuente de referencia para analizar el rendimiento nacional en materia de innovación, como queda </w:t>
      </w:r>
      <w:r w:rsidR="007038DA">
        <w:rPr>
          <w:color w:val="000000"/>
          <w:lang w:val="es-ES_tradnl"/>
        </w:rPr>
        <w:t>reflejado en</w:t>
      </w:r>
      <w:r w:rsidR="00AC76AA" w:rsidRPr="00A34388">
        <w:rPr>
          <w:color w:val="000000"/>
          <w:lang w:val="es-ES_tradnl"/>
        </w:rPr>
        <w:t xml:space="preserve"> las citas, solicitudes de datos y solicitudes de servicios de asesoramiento recibidas.</w:t>
      </w:r>
    </w:p>
    <w:p w:rsidR="001A2871" w:rsidRPr="00A34388" w:rsidRDefault="001A2871" w:rsidP="001A2871">
      <w:pPr>
        <w:tabs>
          <w:tab w:val="left" w:pos="709"/>
        </w:tabs>
        <w:ind w:firstLine="720"/>
        <w:jc w:val="both"/>
        <w:rPr>
          <w:rFonts w:cs="Arial"/>
          <w:bCs/>
          <w:color w:val="000000"/>
          <w:szCs w:val="20"/>
          <w:lang w:val="es-ES_tradnl"/>
        </w:rPr>
      </w:pPr>
    </w:p>
    <w:p w:rsidR="001A2871" w:rsidRPr="00A34388" w:rsidRDefault="001A2871" w:rsidP="001A2871">
      <w:pPr>
        <w:tabs>
          <w:tab w:val="left" w:pos="709"/>
        </w:tabs>
        <w:jc w:val="both"/>
        <w:rPr>
          <w:rFonts w:cs="Arial"/>
          <w:bCs/>
          <w:color w:val="000000"/>
          <w:szCs w:val="20"/>
          <w:lang w:val="es-ES_tradnl"/>
        </w:rPr>
      </w:pPr>
      <w:r w:rsidRPr="00A34388">
        <w:rPr>
          <w:color w:val="000000"/>
          <w:lang w:val="es-ES_tradnl"/>
        </w:rPr>
        <w:t>16.3.</w:t>
      </w:r>
      <w:r w:rsidRPr="00A34388">
        <w:rPr>
          <w:lang w:val="es-ES_tradnl"/>
        </w:rPr>
        <w:tab/>
      </w:r>
      <w:r w:rsidRPr="00A34388">
        <w:rPr>
          <w:color w:val="000000"/>
          <w:lang w:val="es-ES_tradnl"/>
        </w:rPr>
        <w:t>El programa contribuyó igualmente a integrar el análisis económico en los debates sobre las políticas relativas a la P.I. en la OMPI y en otros foros.  En particular, apoyó las negociaciones de los Estados miembros relativas a la propuesta de tratado sobre el derecho de los diseños con la aportación de un estudio, realizado conjuntamente con el programa 2, sobre los probables efectos de un tratado de esas características en los usuarios y las oficinas de P.I.  De forma similar, las conclusiones de tres proyectos del CDIP (la P.I. y el desarrollo socioeconómico, la P.I. y la economía informal y la P.I. y la fuga de cerebros) se utilizaron en las negociaciones de los Estados miembros sobre la dimensión del desarrollo que tiene la propiedad intelectual.  Estos proyectos, junto con los distintos seminarios que el programa viene impartiendo desde hace tiempo y su compromiso con la red de economistas de oficinas de P.I. contribuyeron a reforzar la función de la OMPI en la promoción de una labor de investigación económica sobre P.I. rigurosa desde los puntos de vista empírico y científico.</w:t>
      </w:r>
    </w:p>
    <w:p w:rsidR="001A2871" w:rsidRPr="00A34388" w:rsidRDefault="001A2871" w:rsidP="001A2871">
      <w:pPr>
        <w:rPr>
          <w:rFonts w:cs="Arial"/>
          <w:bCs/>
          <w:color w:val="000000"/>
          <w:sz w:val="22"/>
          <w:szCs w:val="22"/>
          <w:lang w:val="es-ES_tradnl"/>
        </w:rPr>
      </w:pPr>
    </w:p>
    <w:p w:rsidR="001A2871" w:rsidRPr="00A34388" w:rsidRDefault="001A2871" w:rsidP="001A2871">
      <w:pPr>
        <w:ind w:left="2268" w:hanging="2268"/>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ind w:left="2268" w:hanging="2268"/>
        <w:rPr>
          <w:rFonts w:cs="Arial"/>
          <w:sz w:val="22"/>
          <w:szCs w:val="22"/>
          <w:lang w:val="es-ES_tradnl"/>
        </w:rPr>
      </w:pPr>
    </w:p>
    <w:p w:rsidR="001A2871" w:rsidRPr="00A34388" w:rsidRDefault="001A2871" w:rsidP="001A2871">
      <w:pPr>
        <w:tabs>
          <w:tab w:val="left" w:pos="709"/>
        </w:tabs>
        <w:jc w:val="both"/>
        <w:rPr>
          <w:rFonts w:eastAsiaTheme="minorHAnsi" w:cs="Arial"/>
          <w:bCs/>
          <w:szCs w:val="20"/>
          <w:lang w:val="es-ES_tradnl"/>
        </w:rPr>
      </w:pPr>
      <w:r w:rsidRPr="00332758">
        <w:rPr>
          <w:rFonts w:eastAsiaTheme="minorHAnsi"/>
          <w:lang w:val="es-ES_tradnl"/>
        </w:rPr>
        <w:t>16.4.</w:t>
      </w:r>
      <w:r w:rsidRPr="00A34388">
        <w:rPr>
          <w:lang w:val="es-ES_tradnl"/>
        </w:rPr>
        <w:tab/>
      </w:r>
      <w:r w:rsidRPr="00332758">
        <w:rPr>
          <w:rFonts w:eastAsiaTheme="minorHAnsi"/>
          <w:lang w:val="es-ES_tradnl"/>
        </w:rPr>
        <w:t>El diseño, la planificación y la ejecución de las actividades del programa 16 se basaron en las recomendaciones pertinentes de la Agenda para el Desarrollo, en particular las recomendaciones 1, 35 y 37.  Además, el programa tomó parte en la ejecución de tres proyectos de la Agenda para el Desarrollo:  la P.I. y el desarrollo socioeconómico, la P.I. y la fuga de cerebros, y la P.I. y la economía informal:</w:t>
      </w:r>
      <w:r w:rsidRPr="00A34388">
        <w:rPr>
          <w:lang w:val="es-ES_tradnl"/>
        </w:rPr>
        <w:t xml:space="preserve">  En el marco de estos proyectos, que finalizaron en 2013, se llevaron a cabo las siguientes actividades:</w:t>
      </w:r>
    </w:p>
    <w:p w:rsidR="001A2871" w:rsidRPr="00A34388" w:rsidRDefault="001A2871" w:rsidP="001A2871">
      <w:pPr>
        <w:tabs>
          <w:tab w:val="left" w:pos="709"/>
        </w:tabs>
        <w:jc w:val="both"/>
        <w:rPr>
          <w:rFonts w:eastAsiaTheme="minorHAnsi" w:cs="Arial"/>
          <w:bCs/>
          <w:szCs w:val="20"/>
          <w:lang w:val="es-ES_tradnl"/>
        </w:rPr>
      </w:pPr>
    </w:p>
    <w:p w:rsidR="001A2871" w:rsidRPr="00A34388" w:rsidRDefault="001A2871" w:rsidP="001A2871">
      <w:pPr>
        <w:pStyle w:val="ListParagraph"/>
        <w:numPr>
          <w:ilvl w:val="0"/>
          <w:numId w:val="47"/>
        </w:numPr>
        <w:tabs>
          <w:tab w:val="left" w:pos="709"/>
        </w:tabs>
        <w:jc w:val="both"/>
        <w:rPr>
          <w:rFonts w:eastAsiaTheme="minorHAnsi" w:cs="Arial"/>
          <w:bCs/>
          <w:lang w:val="es-ES_tradnl"/>
        </w:rPr>
      </w:pPr>
      <w:r w:rsidRPr="00A34388">
        <w:rPr>
          <w:lang w:val="es-ES_tradnl"/>
        </w:rPr>
        <w:lastRenderedPageBreak/>
        <w:t xml:space="preserve">En el marco del proyecto sobre la propiedad intelectual y el desarrollo socioeconómico, en las sesiones undécima y duodécima del CDIP se presentaron los estudios de país realizados en </w:t>
      </w:r>
      <w:r w:rsidR="0065614B" w:rsidRPr="00A34388">
        <w:rPr>
          <w:lang w:val="es-ES_tradnl"/>
        </w:rPr>
        <w:t xml:space="preserve">el </w:t>
      </w:r>
      <w:r w:rsidRPr="00A34388">
        <w:rPr>
          <w:lang w:val="es-ES_tradnl"/>
        </w:rPr>
        <w:t xml:space="preserve">Brasil, Chile, Tailandia y </w:t>
      </w:r>
      <w:r w:rsidR="0065614B" w:rsidRPr="00A34388">
        <w:rPr>
          <w:lang w:val="es-ES_tradnl"/>
        </w:rPr>
        <w:t xml:space="preserve">el </w:t>
      </w:r>
      <w:r w:rsidRPr="00A34388">
        <w:rPr>
          <w:lang w:val="es-ES_tradnl"/>
        </w:rPr>
        <w:t>Uruguay.  Tras crear nuevos recursos de información, los equipos de investigación utilizaron los datos para investigar las tendencias de uso de la propiedad intelectual a nivel microeconómico.</w:t>
      </w:r>
      <w:r w:rsidR="00045403" w:rsidRPr="00A34388">
        <w:rPr>
          <w:lang w:val="es-ES_tradnl"/>
        </w:rPr>
        <w:t xml:space="preserve"> </w:t>
      </w:r>
      <w:r w:rsidRPr="00A34388">
        <w:rPr>
          <w:lang w:val="es-ES_tradnl"/>
        </w:rPr>
        <w:t xml:space="preserve"> En diciembre de 2013 se celebró también una reunión de expertos sobre propiedad intelectual y desarrollo socioeconómico.</w:t>
      </w:r>
      <w:r w:rsidR="00045403" w:rsidRPr="00A34388">
        <w:rPr>
          <w:lang w:val="es-ES_tradnl"/>
        </w:rPr>
        <w:t xml:space="preserve"> </w:t>
      </w:r>
      <w:r w:rsidRPr="00A34388">
        <w:rPr>
          <w:lang w:val="es-ES_tradnl"/>
        </w:rPr>
        <w:t xml:space="preserve"> Los principales responsables de los seis estudios de país y expertos internacionales seleccionados debatieron sobre las principales lecciones extraídas de los distintos estudios, su aplicabilidad en un contexto más amplio y sus consecuencias para la adopción de políticas en los ámbitos nacional e internacional.</w:t>
      </w:r>
    </w:p>
    <w:p w:rsidR="001A2871" w:rsidRPr="00A34388" w:rsidRDefault="001A2871" w:rsidP="001A2871">
      <w:pPr>
        <w:tabs>
          <w:tab w:val="left" w:pos="709"/>
        </w:tabs>
        <w:ind w:left="993" w:hanging="284"/>
        <w:jc w:val="both"/>
        <w:rPr>
          <w:rFonts w:eastAsiaTheme="minorHAnsi" w:cs="Arial"/>
          <w:bCs/>
          <w:szCs w:val="20"/>
          <w:lang w:val="es-ES_tradnl"/>
        </w:rPr>
      </w:pPr>
    </w:p>
    <w:p w:rsidR="001A2871" w:rsidRPr="00A34388" w:rsidRDefault="001A2871" w:rsidP="001A2871">
      <w:pPr>
        <w:pStyle w:val="ListParagraph"/>
        <w:numPr>
          <w:ilvl w:val="0"/>
          <w:numId w:val="47"/>
        </w:numPr>
        <w:tabs>
          <w:tab w:val="left" w:pos="709"/>
        </w:tabs>
        <w:jc w:val="both"/>
        <w:rPr>
          <w:rFonts w:eastAsiaTheme="minorHAnsi" w:cs="Arial"/>
          <w:bCs/>
          <w:lang w:val="es-ES_tradnl"/>
        </w:rPr>
      </w:pPr>
      <w:r w:rsidRPr="00A34388">
        <w:rPr>
          <w:lang w:val="es-ES_tradnl"/>
        </w:rPr>
        <w:t>En el marco del proyecto sobre la propiedad intelectual y la fuga de cerebros, se elaboró una cartografía de las corrientes migratorias de los inventores que se presentó en la duodécima sesión del CDIP.  Este estudio se basa en una nueva base de datos sobre corrientes migratorias de inventores</w:t>
      </w:r>
      <w:r w:rsidR="00537926" w:rsidRPr="00A34388">
        <w:rPr>
          <w:lang w:val="es-ES_tradnl"/>
        </w:rPr>
        <w:t xml:space="preserve">. </w:t>
      </w:r>
      <w:r w:rsidRPr="00A34388">
        <w:rPr>
          <w:lang w:val="es-ES_tradnl"/>
        </w:rPr>
        <w:t xml:space="preserve"> Asimismo, en abril de 2013 se celebró un taller de expertos sobre propiedad intelectual, la movilidad internacional de los trabajadores del conocimiento y la fuga de cerebros. </w:t>
      </w:r>
      <w:r w:rsidR="00537926" w:rsidRPr="00A34388">
        <w:rPr>
          <w:lang w:val="es-ES_tradnl"/>
        </w:rPr>
        <w:t xml:space="preserve"> </w:t>
      </w:r>
      <w:r w:rsidRPr="00A34388">
        <w:rPr>
          <w:lang w:val="es-ES_tradnl"/>
        </w:rPr>
        <w:t>En la duodécima sesión del Comité se presentó un resumen de este taller.</w:t>
      </w:r>
    </w:p>
    <w:p w:rsidR="001A2871" w:rsidRPr="00A34388" w:rsidRDefault="001A2871" w:rsidP="001A2871">
      <w:pPr>
        <w:pStyle w:val="ListParagraph"/>
        <w:tabs>
          <w:tab w:val="left" w:pos="709"/>
        </w:tabs>
        <w:jc w:val="both"/>
        <w:rPr>
          <w:rFonts w:eastAsiaTheme="minorHAnsi" w:cs="Arial"/>
          <w:bCs/>
          <w:lang w:val="es-ES_tradnl"/>
        </w:rPr>
      </w:pPr>
    </w:p>
    <w:p w:rsidR="001A2871" w:rsidRPr="00332758" w:rsidRDefault="001A2871" w:rsidP="001A2871">
      <w:pPr>
        <w:pStyle w:val="ListParagraph"/>
        <w:numPr>
          <w:ilvl w:val="0"/>
          <w:numId w:val="47"/>
        </w:numPr>
        <w:tabs>
          <w:tab w:val="left" w:pos="709"/>
        </w:tabs>
        <w:jc w:val="both"/>
        <w:rPr>
          <w:rFonts w:eastAsiaTheme="minorHAnsi" w:cs="Arial"/>
          <w:lang w:val="es-ES_tradnl"/>
        </w:rPr>
      </w:pPr>
      <w:r w:rsidRPr="00332758">
        <w:rPr>
          <w:rFonts w:eastAsiaTheme="minorHAnsi"/>
          <w:lang w:val="es-ES_tradnl"/>
        </w:rPr>
        <w:t>En el marco del proyecto sobre la propiedad intelectual y la economía informal, concluyó el primer proyecto interno de estudio conceptual acerca de la innovación, la propiedad intelectual y la economía informal que se presentó en la undécima sesión del CDIP; la OMPI y el Institute for Economic Research on Innovation organizaron el primer taller internacional sobre innovación, propiedad intelectual y economía informal en P</w:t>
      </w:r>
      <w:r w:rsidR="00984773" w:rsidRPr="00332758">
        <w:rPr>
          <w:rFonts w:eastAsiaTheme="minorHAnsi"/>
          <w:lang w:val="es-ES_tradnl"/>
        </w:rPr>
        <w:t xml:space="preserve">retoria (Sudáfrica) los días 19 a </w:t>
      </w:r>
      <w:r w:rsidRPr="00332758">
        <w:rPr>
          <w:rFonts w:eastAsiaTheme="minorHAnsi"/>
          <w:lang w:val="es-ES_tradnl"/>
        </w:rPr>
        <w:t>21 de noviembre de 2012.</w:t>
      </w:r>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r w:rsidRPr="00332758">
        <w:rPr>
          <w:rStyle w:val="FootnoteReference"/>
          <w:sz w:val="22"/>
          <w:lang w:val="es-ES_tradnl"/>
        </w:rPr>
        <w:footnoteReference w:id="31"/>
      </w:r>
    </w:p>
    <w:p w:rsidR="001A2871" w:rsidRPr="00A34388" w:rsidRDefault="001A2871" w:rsidP="001A2871">
      <w:pPr>
        <w:ind w:left="2268" w:hanging="2268"/>
        <w:rPr>
          <w:rFonts w:cs="Arial"/>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4"/>
        <w:gridCol w:w="1710"/>
        <w:gridCol w:w="1636"/>
        <w:gridCol w:w="3181"/>
        <w:gridCol w:w="1276"/>
      </w:tblGrid>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332758">
              <w:rPr>
                <w:sz w:val="16"/>
                <w:lang w:val="es-ES_tradnl"/>
              </w:rPr>
              <w:t xml:space="preserve"> </w:t>
            </w:r>
            <w:r w:rsidRPr="00A34388">
              <w:rPr>
                <w:lang w:val="es-ES_tradnl"/>
              </w:rPr>
              <w:tab/>
            </w:r>
            <w:r w:rsidRPr="00332758">
              <w:rPr>
                <w:sz w:val="16"/>
                <w:lang w:val="es-ES_tradnl"/>
              </w:rPr>
              <w:t>Mayor uso de la información estadística de la OMPI sobre los resultados del sistema internacional de P.I.</w:t>
            </w:r>
          </w:p>
        </w:tc>
      </w:tr>
      <w:tr w:rsidR="001A2871" w:rsidRPr="00A34388" w:rsidTr="00853209">
        <w:trPr>
          <w:cantSplit/>
        </w:trPr>
        <w:tc>
          <w:tcPr>
            <w:tcW w:w="830"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874"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00"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30"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descargas de los dos principales informes estadísticos.</w:t>
            </w:r>
          </w:p>
        </w:tc>
        <w:tc>
          <w:tcPr>
            <w:tcW w:w="914" w:type="pct"/>
            <w:shd w:val="clear" w:color="auto" w:fill="auto"/>
          </w:tcPr>
          <w:p w:rsidR="001A2871" w:rsidRPr="00A34388" w:rsidRDefault="001A2871" w:rsidP="00853209">
            <w:pPr>
              <w:rPr>
                <w:rFonts w:cs="Arial"/>
                <w:i/>
                <w:sz w:val="16"/>
                <w:szCs w:val="16"/>
                <w:lang w:val="es-ES_tradnl"/>
              </w:rPr>
            </w:pPr>
            <w:r w:rsidRPr="00332758">
              <w:rPr>
                <w:i/>
                <w:sz w:val="16"/>
                <w:lang w:val="es-ES_tradnl"/>
              </w:rPr>
              <w:t>Por determinar.</w:t>
            </w:r>
          </w:p>
        </w:tc>
        <w:tc>
          <w:tcPr>
            <w:tcW w:w="874" w:type="pct"/>
            <w:shd w:val="clear" w:color="auto" w:fill="auto"/>
            <w:tcMar>
              <w:top w:w="110" w:type="dxa"/>
            </w:tcMar>
          </w:tcPr>
          <w:p w:rsidR="001A2871" w:rsidRPr="00A34388" w:rsidRDefault="001A2871" w:rsidP="00853209">
            <w:pPr>
              <w:rPr>
                <w:rFonts w:cs="Arial"/>
                <w:i/>
                <w:sz w:val="16"/>
                <w:szCs w:val="16"/>
                <w:lang w:val="es-ES_tradnl"/>
              </w:rPr>
            </w:pPr>
            <w:r w:rsidRPr="00A34388">
              <w:rPr>
                <w:rFonts w:ascii="ArialMT" w:hAnsi="ArialMT"/>
                <w:sz w:val="16"/>
                <w:lang w:val="es-ES_tradnl"/>
              </w:rPr>
              <w:t>incremento del 10% del uso</w:t>
            </w:r>
            <w:r w:rsidRPr="00A34388">
              <w:rPr>
                <w:sz w:val="16"/>
                <w:lang w:val="es-ES_tradnl"/>
              </w:rPr>
              <w:t xml:space="preserve"> </w:t>
            </w:r>
          </w:p>
        </w:tc>
        <w:tc>
          <w:tcPr>
            <w:tcW w:w="1700" w:type="pct"/>
            <w:shd w:val="clear" w:color="auto" w:fill="FFFFFF"/>
            <w:tcMar>
              <w:top w:w="110" w:type="dxa"/>
            </w:tcMar>
          </w:tcPr>
          <w:p w:rsidR="001A2871" w:rsidRPr="00332758" w:rsidRDefault="001A2871" w:rsidP="00853209">
            <w:pPr>
              <w:rPr>
                <w:rFonts w:cs="Arial"/>
                <w:sz w:val="16"/>
                <w:szCs w:val="16"/>
                <w:lang w:val="es-ES_tradnl"/>
              </w:rPr>
            </w:pPr>
            <w:r w:rsidRPr="00332758">
              <w:rPr>
                <w:sz w:val="16"/>
                <w:lang w:val="es-ES_tradnl"/>
              </w:rPr>
              <w:t xml:space="preserve">En 2013, las ediciones más recientes disponibles (las ediciones de 2012 y 2013) de </w:t>
            </w:r>
            <w:r w:rsidRPr="00A34388">
              <w:rPr>
                <w:i/>
                <w:color w:val="000000"/>
                <w:sz w:val="16"/>
                <w:lang w:val="es-ES_tradnl"/>
              </w:rPr>
              <w:t>Indicadores Mundiales de Propiedad Intelectual</w:t>
            </w:r>
            <w:r w:rsidRPr="00332758">
              <w:rPr>
                <w:sz w:val="16"/>
                <w:lang w:val="es-ES_tradnl"/>
              </w:rPr>
              <w:t xml:space="preserve"> (publicación nº. 941)</w:t>
            </w:r>
            <w:r w:rsidRPr="00332758">
              <w:rPr>
                <w:rStyle w:val="FootnoteReference"/>
                <w:sz w:val="16"/>
                <w:lang w:val="es-ES_tradnl"/>
              </w:rPr>
              <w:footnoteReference w:id="32"/>
            </w:r>
            <w:r w:rsidRPr="00332758">
              <w:rPr>
                <w:sz w:val="16"/>
                <w:lang w:val="es-ES_tradnl"/>
              </w:rPr>
              <w:t xml:space="preserve"> y d</w:t>
            </w:r>
            <w:r w:rsidRPr="00A34388">
              <w:rPr>
                <w:i/>
                <w:color w:val="000000"/>
                <w:sz w:val="16"/>
                <w:lang w:val="es-ES_tradnl"/>
              </w:rPr>
              <w:t xml:space="preserve">atos y cifras de la OMPI </w:t>
            </w:r>
            <w:r w:rsidRPr="00332758">
              <w:rPr>
                <w:sz w:val="16"/>
                <w:lang w:val="es-ES_tradnl"/>
              </w:rPr>
              <w:t>so</w:t>
            </w:r>
            <w:r w:rsidRPr="00A34388">
              <w:rPr>
                <w:i/>
                <w:color w:val="000000"/>
                <w:sz w:val="16"/>
                <w:lang w:val="es-ES_tradnl"/>
              </w:rPr>
              <w:t xml:space="preserve">bre P.I. </w:t>
            </w:r>
            <w:r w:rsidRPr="00332758">
              <w:rPr>
                <w:sz w:val="16"/>
                <w:lang w:val="es-ES_tradnl"/>
              </w:rPr>
              <w:t>(publicación nº. 943)</w:t>
            </w:r>
            <w:r w:rsidRPr="00332758">
              <w:rPr>
                <w:rStyle w:val="FootnoteReference"/>
                <w:sz w:val="16"/>
                <w:lang w:val="es-ES_tradnl"/>
              </w:rPr>
              <w:footnoteReference w:id="33"/>
            </w:r>
            <w:r w:rsidRPr="00332758">
              <w:rPr>
                <w:sz w:val="16"/>
                <w:lang w:val="es-ES_tradnl"/>
              </w:rPr>
              <w:t xml:space="preserve"> se descargaron, en conjunto, 52.670 veces.</w:t>
            </w:r>
          </w:p>
        </w:tc>
        <w:tc>
          <w:tcPr>
            <w:tcW w:w="682" w:type="pct"/>
            <w:shd w:val="clear" w:color="auto" w:fill="auto"/>
            <w:tcMar>
              <w:top w:w="110" w:type="dxa"/>
            </w:tcMar>
          </w:tcPr>
          <w:p w:rsidR="001A2871" w:rsidRPr="00E23C8F" w:rsidRDefault="001A2871" w:rsidP="00853209">
            <w:pPr>
              <w:keepNext/>
              <w:keepLines/>
              <w:jc w:val="center"/>
              <w:rPr>
                <w:sz w:val="16"/>
                <w:lang w:val="es-ES_tradnl"/>
              </w:rPr>
            </w:pPr>
            <w:r w:rsidRPr="00E23C8F">
              <w:rPr>
                <w:sz w:val="16"/>
                <w:lang w:val="es-ES_tradnl"/>
              </w:rPr>
              <w:t>No mensurable</w:t>
            </w:r>
          </w:p>
        </w:tc>
      </w:tr>
      <w:tr w:rsidR="001A2871" w:rsidRPr="00A34388" w:rsidTr="00853209">
        <w:trPr>
          <w:cantSplit/>
        </w:trPr>
        <w:tc>
          <w:tcPr>
            <w:tcW w:w="830" w:type="pct"/>
            <w:tcBorders>
              <w:bottom w:val="single" w:sz="4" w:space="0" w:color="auto"/>
            </w:tcBorders>
            <w:shd w:val="clear" w:color="auto" w:fill="auto"/>
          </w:tcPr>
          <w:p w:rsidR="001A2871" w:rsidRPr="00A34388" w:rsidRDefault="001A2871" w:rsidP="00853209">
            <w:pPr>
              <w:spacing w:before="120"/>
              <w:rPr>
                <w:rFonts w:cs="Arial"/>
                <w:sz w:val="16"/>
                <w:szCs w:val="16"/>
                <w:lang w:val="es-ES_tradnl"/>
              </w:rPr>
            </w:pPr>
            <w:r w:rsidRPr="00332758">
              <w:rPr>
                <w:sz w:val="16"/>
                <w:lang w:val="es-ES_tradnl"/>
              </w:rPr>
              <w:t>Número de descargas de datos.</w:t>
            </w:r>
          </w:p>
        </w:tc>
        <w:tc>
          <w:tcPr>
            <w:tcW w:w="914" w:type="pct"/>
            <w:tcBorders>
              <w:bottom w:val="single" w:sz="4" w:space="0" w:color="auto"/>
            </w:tcBorders>
            <w:shd w:val="clear" w:color="auto" w:fill="auto"/>
          </w:tcPr>
          <w:p w:rsidR="001A2871" w:rsidRPr="00A34388" w:rsidRDefault="001A2871" w:rsidP="00853209">
            <w:pPr>
              <w:spacing w:before="120"/>
              <w:rPr>
                <w:rFonts w:cs="Arial"/>
                <w:sz w:val="16"/>
                <w:szCs w:val="16"/>
                <w:lang w:val="es-ES_tradnl"/>
              </w:rPr>
            </w:pPr>
            <w:r w:rsidRPr="00332758">
              <w:rPr>
                <w:sz w:val="16"/>
                <w:lang w:val="es-ES_tradnl"/>
              </w:rPr>
              <w:t>Por determinar.</w:t>
            </w:r>
          </w:p>
        </w:tc>
        <w:tc>
          <w:tcPr>
            <w:tcW w:w="874" w:type="pct"/>
            <w:tcBorders>
              <w:bottom w:val="single" w:sz="4" w:space="0" w:color="auto"/>
            </w:tcBorders>
            <w:shd w:val="clear" w:color="auto" w:fill="auto"/>
            <w:tcMar>
              <w:top w:w="110" w:type="dxa"/>
            </w:tcMar>
          </w:tcPr>
          <w:p w:rsidR="001A2871" w:rsidRPr="00A34388" w:rsidRDefault="001A2871" w:rsidP="00853209">
            <w:pPr>
              <w:rPr>
                <w:rFonts w:cs="Arial"/>
                <w:i/>
                <w:sz w:val="16"/>
                <w:szCs w:val="16"/>
                <w:lang w:val="es-ES_tradnl"/>
              </w:rPr>
            </w:pPr>
            <w:r w:rsidRPr="00A34388">
              <w:rPr>
                <w:rFonts w:ascii="ArialMT" w:hAnsi="ArialMT"/>
                <w:sz w:val="16"/>
                <w:lang w:val="es-ES_tradnl"/>
              </w:rPr>
              <w:t>incremento del 10% del uso</w:t>
            </w:r>
          </w:p>
        </w:tc>
        <w:tc>
          <w:tcPr>
            <w:tcW w:w="1700" w:type="pct"/>
            <w:tcBorders>
              <w:bottom w:val="single" w:sz="4" w:space="0" w:color="auto"/>
            </w:tcBorders>
            <w:shd w:val="clear" w:color="auto" w:fill="FFFFFF"/>
            <w:tcMar>
              <w:top w:w="110" w:type="dxa"/>
            </w:tcMar>
          </w:tcPr>
          <w:p w:rsidR="001A2871" w:rsidRPr="00A34388" w:rsidRDefault="001A2871" w:rsidP="00853209">
            <w:pPr>
              <w:pStyle w:val="Default"/>
              <w:rPr>
                <w:color w:val="auto"/>
                <w:sz w:val="16"/>
                <w:szCs w:val="16"/>
                <w:lang w:val="es-ES_tradnl"/>
              </w:rPr>
            </w:pPr>
            <w:r w:rsidRPr="00A34388">
              <w:rPr>
                <w:color w:val="auto"/>
                <w:sz w:val="16"/>
                <w:lang w:val="es-ES_tradnl"/>
              </w:rPr>
              <w:t xml:space="preserve">En 2013, el Centro de datos de estadísticas de la OMPI fue utilizado por 23.496 visitantes que vieron 162.463 páginas. </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A34388" w:rsidRDefault="001A2871" w:rsidP="00853209">
            <w:pPr>
              <w:keepNext/>
              <w:keepLines/>
              <w:jc w:val="center"/>
              <w:rPr>
                <w:rFonts w:cs="Arial"/>
                <w:bCs/>
                <w:color w:val="595959" w:themeColor="text1" w:themeTint="A6"/>
                <w:sz w:val="16"/>
                <w:szCs w:val="16"/>
                <w:lang w:val="es-ES_tradnl"/>
              </w:rPr>
            </w:pPr>
            <w:r w:rsidRPr="005275D6">
              <w:rPr>
                <w:sz w:val="16"/>
                <w:lang w:val="es-ES_tradnl"/>
              </w:rPr>
              <w:t>No mensurable</w:t>
            </w:r>
          </w:p>
        </w:tc>
      </w:tr>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D66024">
            <w:pPr>
              <w:keepNext/>
              <w:keepLines/>
              <w:tabs>
                <w:tab w:val="left" w:pos="1452"/>
              </w:tabs>
              <w:spacing w:before="120" w:after="120"/>
              <w:ind w:left="1452" w:hanging="1452"/>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Adopción de análisis económicos de la OMPI para la formulación de políticas de P.I.</w:t>
            </w:r>
          </w:p>
        </w:tc>
      </w:tr>
      <w:tr w:rsidR="001A2871" w:rsidRPr="00A34388" w:rsidTr="00853209">
        <w:trPr>
          <w:cantSplit/>
        </w:trPr>
        <w:tc>
          <w:tcPr>
            <w:tcW w:w="830" w:type="pct"/>
            <w:tcBorders>
              <w:top w:val="single" w:sz="4" w:space="0" w:color="auto"/>
            </w:tcBorders>
            <w:shd w:val="clear" w:color="auto" w:fill="auto"/>
            <w:vAlign w:val="center"/>
          </w:tcPr>
          <w:p w:rsidR="001A2871" w:rsidRPr="00A34388" w:rsidRDefault="001A2871" w:rsidP="00D66024">
            <w:pPr>
              <w:keepNext/>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1A2871" w:rsidRPr="00A34388" w:rsidRDefault="001A2871" w:rsidP="00D66024">
            <w:pPr>
              <w:keepNext/>
              <w:rPr>
                <w:rFonts w:cs="Arial"/>
                <w:b/>
                <w:bCs/>
                <w:color w:val="808080"/>
                <w:sz w:val="16"/>
                <w:szCs w:val="16"/>
                <w:lang w:val="es-ES_tradnl"/>
              </w:rPr>
            </w:pPr>
            <w:r w:rsidRPr="00332758">
              <w:rPr>
                <w:b/>
                <w:sz w:val="16"/>
                <w:lang w:val="es-ES_tradnl"/>
              </w:rPr>
              <w:t>Referencia</w:t>
            </w:r>
          </w:p>
        </w:tc>
        <w:tc>
          <w:tcPr>
            <w:tcW w:w="874" w:type="pct"/>
            <w:tcBorders>
              <w:top w:val="single" w:sz="4" w:space="0" w:color="auto"/>
            </w:tcBorders>
            <w:shd w:val="clear" w:color="auto" w:fill="auto"/>
            <w:tcMar>
              <w:top w:w="110" w:type="dxa"/>
            </w:tcMar>
            <w:vAlign w:val="center"/>
          </w:tcPr>
          <w:p w:rsidR="001A2871" w:rsidRPr="00A34388" w:rsidRDefault="001A2871" w:rsidP="00D66024">
            <w:pPr>
              <w:keepNext/>
              <w:rPr>
                <w:rFonts w:cs="Arial"/>
                <w:b/>
                <w:color w:val="808080"/>
                <w:sz w:val="16"/>
                <w:szCs w:val="16"/>
                <w:lang w:val="es-ES_tradnl"/>
              </w:rPr>
            </w:pPr>
            <w:r w:rsidRPr="00332758">
              <w:rPr>
                <w:b/>
                <w:sz w:val="16"/>
                <w:lang w:val="es-ES_tradnl"/>
              </w:rPr>
              <w:t>Objetivos</w:t>
            </w:r>
          </w:p>
        </w:tc>
        <w:tc>
          <w:tcPr>
            <w:tcW w:w="1700" w:type="pct"/>
            <w:tcBorders>
              <w:top w:val="single" w:sz="4" w:space="0" w:color="auto"/>
            </w:tcBorders>
            <w:shd w:val="clear" w:color="auto" w:fill="FFFFFF"/>
            <w:tcMar>
              <w:top w:w="110" w:type="dxa"/>
            </w:tcMar>
            <w:vAlign w:val="center"/>
          </w:tcPr>
          <w:p w:rsidR="001A2871" w:rsidRPr="00A34388" w:rsidRDefault="001A2871" w:rsidP="00D66024">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D66024">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30" w:type="pct"/>
            <w:shd w:val="clear" w:color="auto" w:fill="auto"/>
          </w:tcPr>
          <w:p w:rsidR="001A2871" w:rsidRPr="00A34388" w:rsidRDefault="001A2871" w:rsidP="00D66024">
            <w:pPr>
              <w:keepNext/>
              <w:rPr>
                <w:rFonts w:cs="Arial"/>
                <w:sz w:val="16"/>
                <w:szCs w:val="16"/>
                <w:lang w:val="es-ES_tradnl"/>
              </w:rPr>
            </w:pPr>
            <w:r w:rsidRPr="00332758">
              <w:rPr>
                <w:sz w:val="16"/>
                <w:lang w:val="es-ES_tradnl"/>
              </w:rPr>
              <w:t>Número de citas en publicaciones económicas e informes de política gubernamental.</w:t>
            </w:r>
          </w:p>
        </w:tc>
        <w:tc>
          <w:tcPr>
            <w:tcW w:w="914" w:type="pct"/>
            <w:shd w:val="clear" w:color="auto" w:fill="auto"/>
          </w:tcPr>
          <w:p w:rsidR="001A2871" w:rsidRPr="00E52886" w:rsidRDefault="001A2871" w:rsidP="00D66024">
            <w:pPr>
              <w:keepNext/>
              <w:rPr>
                <w:rFonts w:cs="Arial"/>
                <w:i/>
                <w:color w:val="002060"/>
                <w:sz w:val="16"/>
                <w:szCs w:val="16"/>
                <w:lang w:val="es-ES_tradnl"/>
              </w:rPr>
            </w:pPr>
            <w:r w:rsidRPr="00E52886">
              <w:rPr>
                <w:i/>
                <w:color w:val="002060"/>
                <w:sz w:val="16"/>
                <w:lang w:val="es-ES_tradnl"/>
              </w:rPr>
              <w:t xml:space="preserve">Referencia actualizada a fines de 2011: </w:t>
            </w:r>
          </w:p>
          <w:p w:rsidR="001A2871" w:rsidRPr="00E52886" w:rsidRDefault="001A2871" w:rsidP="00D66024">
            <w:pPr>
              <w:keepNext/>
              <w:rPr>
                <w:rFonts w:cs="Arial"/>
                <w:color w:val="002060"/>
                <w:sz w:val="16"/>
                <w:szCs w:val="16"/>
                <w:lang w:val="es-ES_tradnl"/>
              </w:rPr>
            </w:pPr>
            <w:r w:rsidRPr="00E52886">
              <w:rPr>
                <w:color w:val="002060"/>
                <w:sz w:val="16"/>
                <w:lang w:val="es-ES_tradnl"/>
              </w:rPr>
              <w:t xml:space="preserve">El primer </w:t>
            </w:r>
            <w:r w:rsidRPr="00E52886">
              <w:rPr>
                <w:i/>
                <w:color w:val="002060"/>
                <w:sz w:val="16"/>
                <w:lang w:val="es-ES_tradnl"/>
              </w:rPr>
              <w:t>Informe Mundial sobre la P.I.</w:t>
            </w:r>
            <w:r w:rsidRPr="00E52886">
              <w:rPr>
                <w:color w:val="002060"/>
                <w:sz w:val="16"/>
                <w:lang w:val="es-ES_tradnl"/>
              </w:rPr>
              <w:t xml:space="preserve"> se publicó en noviembre de 2011, por lo que todavía es pronto para un recuento de las citas a fines de 2011.</w:t>
            </w:r>
          </w:p>
          <w:p w:rsidR="001A2871" w:rsidRPr="00E52886" w:rsidRDefault="001A2871" w:rsidP="00D66024">
            <w:pPr>
              <w:keepNext/>
              <w:rPr>
                <w:rFonts w:cs="Arial"/>
                <w:i/>
                <w:color w:val="002060"/>
                <w:sz w:val="8"/>
                <w:szCs w:val="8"/>
                <w:lang w:val="es-ES_tradnl"/>
              </w:rPr>
            </w:pPr>
          </w:p>
          <w:p w:rsidR="001A2871" w:rsidRPr="00A34388" w:rsidRDefault="001A2871" w:rsidP="00D66024">
            <w:pPr>
              <w:keepNext/>
              <w:rPr>
                <w:rFonts w:cs="Arial"/>
                <w:sz w:val="16"/>
                <w:szCs w:val="16"/>
                <w:lang w:val="es-ES_tradnl"/>
              </w:rPr>
            </w:pPr>
            <w:r w:rsidRPr="00A34388">
              <w:rPr>
                <w:i/>
                <w:sz w:val="16"/>
                <w:lang w:val="es-ES_tradnl"/>
              </w:rPr>
              <w:t>Referencia original (Presup. por prog. 2012/13):</w:t>
            </w:r>
          </w:p>
          <w:p w:rsidR="001A2871" w:rsidRPr="00A34388" w:rsidRDefault="001A2871" w:rsidP="00D66024">
            <w:pPr>
              <w:keepNext/>
              <w:rPr>
                <w:rFonts w:cs="Arial"/>
                <w:sz w:val="16"/>
                <w:szCs w:val="16"/>
                <w:lang w:val="es-ES_tradnl"/>
              </w:rPr>
            </w:pPr>
            <w:r w:rsidRPr="00332758">
              <w:rPr>
                <w:sz w:val="16"/>
                <w:lang w:val="es-ES_tradnl"/>
              </w:rPr>
              <w:t>Dada la novedad del programa, no existen referencias de base.</w:t>
            </w:r>
          </w:p>
        </w:tc>
        <w:tc>
          <w:tcPr>
            <w:tcW w:w="874" w:type="pct"/>
            <w:shd w:val="clear" w:color="auto" w:fill="auto"/>
            <w:tcMar>
              <w:top w:w="110" w:type="dxa"/>
            </w:tcMar>
          </w:tcPr>
          <w:p w:rsidR="001A2871" w:rsidRPr="00A34388" w:rsidRDefault="001A2871" w:rsidP="00D66024">
            <w:pPr>
              <w:keepNext/>
              <w:autoSpaceDE w:val="0"/>
              <w:autoSpaceDN w:val="0"/>
              <w:adjustRightInd w:val="0"/>
              <w:rPr>
                <w:rFonts w:ascii="ArialMT" w:hAnsi="ArialMT" w:cs="ArialMT"/>
                <w:sz w:val="16"/>
                <w:szCs w:val="16"/>
                <w:lang w:val="es-ES_tradnl"/>
              </w:rPr>
            </w:pPr>
            <w:r w:rsidRPr="00A34388">
              <w:rPr>
                <w:rFonts w:ascii="ArialMT" w:hAnsi="ArialMT"/>
                <w:sz w:val="16"/>
                <w:lang w:val="es-ES_tradnl"/>
              </w:rPr>
              <w:t>Dada la novedad del programa, no es posible establecer objetivos significativos.</w:t>
            </w:r>
          </w:p>
        </w:tc>
        <w:tc>
          <w:tcPr>
            <w:tcW w:w="1700" w:type="pct"/>
            <w:shd w:val="clear" w:color="auto" w:fill="FFFFFF"/>
            <w:tcMar>
              <w:top w:w="110" w:type="dxa"/>
            </w:tcMar>
          </w:tcPr>
          <w:p w:rsidR="001A2871" w:rsidRPr="00A34388" w:rsidRDefault="001A2871" w:rsidP="00D66024">
            <w:pPr>
              <w:keepNext/>
              <w:rPr>
                <w:rFonts w:cs="Arial"/>
                <w:sz w:val="16"/>
                <w:szCs w:val="16"/>
                <w:lang w:val="es-ES_tradnl"/>
              </w:rPr>
            </w:pPr>
            <w:r w:rsidRPr="00A34388">
              <w:rPr>
                <w:sz w:val="16"/>
                <w:lang w:val="es-ES_tradnl"/>
              </w:rPr>
              <w:t>En 2013, las dos ediciones (2011 y 2013) del Informe Mundial sobre la P.I. (publicación núm.°944)</w:t>
            </w:r>
            <w:r w:rsidRPr="00A34388">
              <w:rPr>
                <w:rStyle w:val="FootnoteReference"/>
                <w:sz w:val="16"/>
                <w:lang w:val="es-ES_tradnl"/>
              </w:rPr>
              <w:footnoteReference w:id="34"/>
            </w:r>
            <w:r w:rsidRPr="00A34388">
              <w:rPr>
                <w:sz w:val="16"/>
                <w:lang w:val="es-ES_tradnl"/>
              </w:rPr>
              <w:t xml:space="preserve"> se descargaron un total de 17.536 veces. </w:t>
            </w:r>
          </w:p>
          <w:p w:rsidR="001A2871" w:rsidRPr="00A34388" w:rsidRDefault="001A2871" w:rsidP="00D66024">
            <w:pPr>
              <w:keepNext/>
              <w:rPr>
                <w:rFonts w:cs="Arial"/>
                <w:sz w:val="16"/>
                <w:szCs w:val="16"/>
                <w:lang w:val="es-ES_tradnl"/>
              </w:rPr>
            </w:pPr>
          </w:p>
          <w:p w:rsidR="001A2871" w:rsidRPr="00A34388" w:rsidRDefault="001A2871" w:rsidP="00D66024">
            <w:pPr>
              <w:keepNext/>
              <w:rPr>
                <w:rFonts w:cs="Arial"/>
                <w:sz w:val="16"/>
                <w:szCs w:val="16"/>
                <w:lang w:val="es-ES_tradnl"/>
              </w:rPr>
            </w:pPr>
            <w:r w:rsidRPr="00A34388">
              <w:rPr>
                <w:sz w:val="16"/>
                <w:lang w:val="es-ES_tradnl"/>
              </w:rPr>
              <w:t>El segundo Informe Mundial sobre la P.I. se publicó en noviembre de 2013.</w:t>
            </w:r>
          </w:p>
        </w:tc>
        <w:tc>
          <w:tcPr>
            <w:tcW w:w="682" w:type="pct"/>
            <w:shd w:val="clear" w:color="auto" w:fill="auto"/>
            <w:tcMar>
              <w:top w:w="110" w:type="dxa"/>
            </w:tcMar>
          </w:tcPr>
          <w:p w:rsidR="001A2871" w:rsidRPr="00A34388" w:rsidRDefault="001A2871" w:rsidP="00D66024">
            <w:pPr>
              <w:keepNext/>
              <w:keepLines/>
              <w:jc w:val="center"/>
              <w:rPr>
                <w:rFonts w:cs="Arial"/>
                <w:bCs/>
                <w:color w:val="595959" w:themeColor="text1" w:themeTint="A6"/>
                <w:sz w:val="16"/>
                <w:szCs w:val="16"/>
                <w:lang w:val="es-ES_tradnl"/>
              </w:rPr>
            </w:pPr>
            <w:r w:rsidRPr="00A34388">
              <w:rPr>
                <w:color w:val="595959" w:themeColor="text1" w:themeTint="A6"/>
                <w:sz w:val="16"/>
                <w:lang w:val="es-ES_tradnl"/>
              </w:rPr>
              <w:t>No mensurable</w:t>
            </w:r>
          </w:p>
        </w:tc>
      </w:tr>
      <w:tr w:rsidR="001A2871" w:rsidRPr="00A34388" w:rsidTr="00853209">
        <w:trPr>
          <w:cantSplit/>
        </w:trPr>
        <w:tc>
          <w:tcPr>
            <w:tcW w:w="830" w:type="pct"/>
            <w:shd w:val="clear" w:color="auto" w:fill="auto"/>
          </w:tcPr>
          <w:p w:rsidR="001A2871" w:rsidRPr="00A34388" w:rsidRDefault="001A2871" w:rsidP="00D66024">
            <w:pPr>
              <w:keepNext/>
              <w:rPr>
                <w:rFonts w:cs="Arial"/>
                <w:sz w:val="16"/>
                <w:szCs w:val="16"/>
                <w:lang w:val="es-ES_tradnl"/>
              </w:rPr>
            </w:pPr>
            <w:r w:rsidRPr="00332758">
              <w:rPr>
                <w:sz w:val="16"/>
                <w:lang w:val="es-ES_tradnl"/>
              </w:rPr>
              <w:t>Número de países en desarrollo que consideran útiles los estudios económicos de la OMPI y grado de utilidad.</w:t>
            </w:r>
          </w:p>
        </w:tc>
        <w:tc>
          <w:tcPr>
            <w:tcW w:w="914" w:type="pct"/>
            <w:shd w:val="clear" w:color="auto" w:fill="auto"/>
          </w:tcPr>
          <w:p w:rsidR="001A2871" w:rsidRPr="00E52886" w:rsidRDefault="001A2871" w:rsidP="00D66024">
            <w:pPr>
              <w:keepNext/>
              <w:rPr>
                <w:rFonts w:cs="Arial"/>
                <w:i/>
                <w:color w:val="002060"/>
                <w:sz w:val="16"/>
                <w:szCs w:val="16"/>
                <w:lang w:val="es-ES_tradnl"/>
              </w:rPr>
            </w:pPr>
            <w:r w:rsidRPr="00E52886">
              <w:rPr>
                <w:i/>
                <w:color w:val="002060"/>
                <w:sz w:val="16"/>
                <w:lang w:val="es-ES_tradnl"/>
              </w:rPr>
              <w:t xml:space="preserve">Referencia actualizada a fines de 2011: </w:t>
            </w:r>
          </w:p>
          <w:p w:rsidR="001A2871" w:rsidRPr="00E52886" w:rsidRDefault="001A2871" w:rsidP="00D66024">
            <w:pPr>
              <w:keepNext/>
              <w:rPr>
                <w:rFonts w:cs="Arial"/>
                <w:color w:val="002060"/>
                <w:sz w:val="16"/>
                <w:szCs w:val="16"/>
                <w:lang w:val="es-ES_tradnl"/>
              </w:rPr>
            </w:pPr>
            <w:r w:rsidRPr="00E52886">
              <w:rPr>
                <w:color w:val="002060"/>
                <w:sz w:val="16"/>
                <w:lang w:val="es-ES_tradnl"/>
              </w:rPr>
              <w:t>No se dispone de referencia habida cuenta de que estos estudios se finalizarán en 2013.</w:t>
            </w:r>
          </w:p>
          <w:p w:rsidR="001A2871" w:rsidRPr="00A34388" w:rsidRDefault="001A2871" w:rsidP="00D66024">
            <w:pPr>
              <w:keepNext/>
              <w:rPr>
                <w:rFonts w:cs="Arial"/>
                <w:i/>
                <w:sz w:val="8"/>
                <w:szCs w:val="8"/>
                <w:lang w:val="es-ES_tradnl"/>
              </w:rPr>
            </w:pPr>
          </w:p>
          <w:p w:rsidR="001A2871" w:rsidRPr="00A34388" w:rsidRDefault="001A2871" w:rsidP="00D66024">
            <w:pPr>
              <w:keepNext/>
              <w:autoSpaceDE w:val="0"/>
              <w:autoSpaceDN w:val="0"/>
              <w:adjustRightInd w:val="0"/>
              <w:rPr>
                <w:rFonts w:cs="Arial"/>
                <w:sz w:val="16"/>
                <w:szCs w:val="16"/>
                <w:lang w:val="es-ES_tradnl"/>
              </w:rPr>
            </w:pPr>
            <w:r w:rsidRPr="00A34388">
              <w:rPr>
                <w:i/>
                <w:sz w:val="16"/>
                <w:lang w:val="es-ES_tradnl"/>
              </w:rPr>
              <w:t xml:space="preserve">Referencia original (Presup. por prog. 2012/13): </w:t>
            </w:r>
            <w:r w:rsidRPr="00A34388">
              <w:rPr>
                <w:rFonts w:cs="Arial"/>
                <w:i/>
                <w:sz w:val="16"/>
                <w:szCs w:val="16"/>
                <w:lang w:val="es-ES_tradnl"/>
              </w:rPr>
              <w:br/>
            </w:r>
          </w:p>
        </w:tc>
        <w:tc>
          <w:tcPr>
            <w:tcW w:w="874" w:type="pct"/>
            <w:shd w:val="clear" w:color="auto" w:fill="auto"/>
            <w:tcMar>
              <w:top w:w="110" w:type="dxa"/>
            </w:tcMar>
          </w:tcPr>
          <w:p w:rsidR="001A2871" w:rsidRPr="00A34388" w:rsidRDefault="001A2871" w:rsidP="00D66024">
            <w:pPr>
              <w:keepNext/>
              <w:autoSpaceDE w:val="0"/>
              <w:autoSpaceDN w:val="0"/>
              <w:adjustRightInd w:val="0"/>
              <w:rPr>
                <w:rFonts w:ascii="ArialMT" w:hAnsi="ArialMT" w:cs="ArialMT"/>
                <w:sz w:val="16"/>
                <w:szCs w:val="16"/>
                <w:lang w:val="es-ES_tradnl"/>
              </w:rPr>
            </w:pPr>
            <w:r w:rsidRPr="00A34388">
              <w:rPr>
                <w:rFonts w:ascii="ArialMT" w:hAnsi="ArialMT"/>
                <w:sz w:val="16"/>
                <w:lang w:val="es-ES_tradnl"/>
              </w:rPr>
              <w:t>Dada la novedad del programa, no es posible establecer objetivos significativos.</w:t>
            </w:r>
          </w:p>
        </w:tc>
        <w:tc>
          <w:tcPr>
            <w:tcW w:w="1700" w:type="pct"/>
            <w:shd w:val="clear" w:color="auto" w:fill="FFFFFF"/>
            <w:tcMar>
              <w:top w:w="110" w:type="dxa"/>
            </w:tcMar>
          </w:tcPr>
          <w:p w:rsidR="001A2871" w:rsidRPr="00A34388" w:rsidRDefault="001A2871" w:rsidP="00D66024">
            <w:pPr>
              <w:keepNext/>
              <w:rPr>
                <w:rFonts w:cs="Arial"/>
                <w:sz w:val="16"/>
                <w:szCs w:val="16"/>
                <w:lang w:val="es-ES_tradnl"/>
              </w:rPr>
            </w:pPr>
            <w:r w:rsidRPr="00A34388">
              <w:rPr>
                <w:sz w:val="16"/>
                <w:lang w:val="es-ES_tradnl"/>
              </w:rPr>
              <w:t xml:space="preserve">Los seis proyectos de estudio de país se completaron antes de que concluyera 2013.  </w:t>
            </w:r>
          </w:p>
          <w:p w:rsidR="001A2871" w:rsidRPr="00A34388" w:rsidRDefault="001A2871" w:rsidP="00D66024">
            <w:pPr>
              <w:pStyle w:val="ListParagraph"/>
              <w:keepNext/>
              <w:numPr>
                <w:ilvl w:val="0"/>
                <w:numId w:val="46"/>
              </w:numPr>
              <w:rPr>
                <w:rFonts w:cs="Arial"/>
                <w:sz w:val="16"/>
                <w:szCs w:val="16"/>
                <w:lang w:val="es-ES_tradnl"/>
              </w:rPr>
            </w:pPr>
            <w:r w:rsidRPr="00A34388">
              <w:rPr>
                <w:sz w:val="16"/>
                <w:lang w:val="es-ES_tradnl"/>
              </w:rPr>
              <w:t xml:space="preserve">En la undécima sesión del CDIP se presentaron tres estudios. </w:t>
            </w:r>
          </w:p>
          <w:p w:rsidR="001A2871" w:rsidRPr="00A34388" w:rsidRDefault="001A2871" w:rsidP="00D66024">
            <w:pPr>
              <w:pStyle w:val="ListParagraph"/>
              <w:keepNext/>
              <w:numPr>
                <w:ilvl w:val="0"/>
                <w:numId w:val="46"/>
              </w:numPr>
              <w:rPr>
                <w:rFonts w:cs="Arial"/>
                <w:sz w:val="16"/>
                <w:szCs w:val="16"/>
                <w:lang w:val="es-ES_tradnl"/>
              </w:rPr>
            </w:pPr>
            <w:r w:rsidRPr="00A34388">
              <w:rPr>
                <w:sz w:val="16"/>
                <w:lang w:val="es-ES_tradnl"/>
              </w:rPr>
              <w:t xml:space="preserve">Otro estudio se presentó en la duodécima sesión del CDIP. </w:t>
            </w:r>
          </w:p>
          <w:p w:rsidR="001A2871" w:rsidRPr="00A34388" w:rsidRDefault="001A2871" w:rsidP="00D66024">
            <w:pPr>
              <w:pStyle w:val="ListParagraph"/>
              <w:keepNext/>
              <w:numPr>
                <w:ilvl w:val="0"/>
                <w:numId w:val="46"/>
              </w:numPr>
              <w:rPr>
                <w:lang w:val="es-ES_tradnl"/>
              </w:rPr>
            </w:pPr>
            <w:r w:rsidRPr="00A34388">
              <w:rPr>
                <w:sz w:val="16"/>
                <w:lang w:val="es-ES_tradnl"/>
              </w:rPr>
              <w:t>Dos estudios que concluyeron a finales de 2013 se presentarán en la decimotercera sesión del CDIP.</w:t>
            </w:r>
          </w:p>
        </w:tc>
        <w:tc>
          <w:tcPr>
            <w:tcW w:w="682" w:type="pct"/>
            <w:shd w:val="clear" w:color="auto" w:fill="auto"/>
            <w:tcMar>
              <w:top w:w="110" w:type="dxa"/>
            </w:tcMar>
          </w:tcPr>
          <w:p w:rsidR="001A2871" w:rsidRPr="00A34388" w:rsidRDefault="001A2871" w:rsidP="00D66024">
            <w:pPr>
              <w:keepNext/>
              <w:keepLines/>
              <w:jc w:val="center"/>
              <w:rPr>
                <w:rFonts w:cs="Arial"/>
                <w:bCs/>
                <w:color w:val="595959" w:themeColor="text1" w:themeTint="A6"/>
                <w:sz w:val="16"/>
                <w:szCs w:val="16"/>
                <w:lang w:val="es-ES_tradnl"/>
              </w:rPr>
            </w:pPr>
            <w:r w:rsidRPr="00A34388">
              <w:rPr>
                <w:color w:val="595959" w:themeColor="text1" w:themeTint="A6"/>
                <w:sz w:val="16"/>
                <w:lang w:val="es-ES_tradnl"/>
              </w:rPr>
              <w:t>No mensurable</w:t>
            </w:r>
          </w:p>
        </w:tc>
      </w:tr>
    </w:tbl>
    <w:p w:rsidR="001A2871" w:rsidRPr="00A34388" w:rsidRDefault="001A2871" w:rsidP="00D66024">
      <w:pPr>
        <w:keepNext/>
        <w:rPr>
          <w:rFonts w:cs="Arial"/>
          <w:sz w:val="22"/>
          <w:szCs w:val="22"/>
          <w:lang w:val="es-ES_tradnl"/>
        </w:rPr>
      </w:pPr>
    </w:p>
    <w:p w:rsidR="001A2871" w:rsidRPr="00A34388" w:rsidRDefault="001A2871" w:rsidP="001A2871">
      <w:pPr>
        <w:rPr>
          <w:rFonts w:cs="Arial"/>
          <w:sz w:val="22"/>
          <w:szCs w:val="22"/>
          <w:lang w:val="es-ES_tradnl"/>
        </w:rPr>
      </w:pPr>
    </w:p>
    <w:p w:rsidR="001A2871" w:rsidRPr="00A34388" w:rsidRDefault="001A2871" w:rsidP="001A2871">
      <w:pPr>
        <w:rPr>
          <w:sz w:val="22"/>
          <w:szCs w:val="22"/>
          <w:lang w:val="es-ES_tradnl"/>
        </w:rPr>
      </w:pPr>
      <w:r w:rsidRPr="00332758">
        <w:rPr>
          <w:sz w:val="22"/>
          <w:lang w:val="es-ES_tradnl"/>
        </w:rPr>
        <w:t>PRESUPUESTO Y GASTOS REALES</w:t>
      </w:r>
    </w:p>
    <w:p w:rsidR="001A2871" w:rsidRPr="00A34388" w:rsidRDefault="001A2871" w:rsidP="001A2871">
      <w:pPr>
        <w:rPr>
          <w:rFonts w:cs="Arial"/>
          <w:color w:val="000000"/>
          <w:sz w:val="22"/>
          <w:szCs w:val="22"/>
          <w:lang w:val="es-ES_tradnl"/>
        </w:rPr>
      </w:pPr>
    </w:p>
    <w:p w:rsidR="001A2871" w:rsidRPr="00A34388" w:rsidRDefault="001A2871" w:rsidP="001A2871">
      <w:pPr>
        <w:jc w:val="center"/>
        <w:rPr>
          <w:rFonts w:cs="Arial"/>
          <w:szCs w:val="20"/>
          <w:lang w:val="es-ES_tradnl"/>
        </w:rPr>
      </w:pPr>
      <w:r w:rsidRPr="00A34388">
        <w:rPr>
          <w:color w:val="000000"/>
          <w:lang w:val="es-ES_tradnl"/>
        </w:rPr>
        <w:t xml:space="preserve">Presupuesto y gastos reales (por resultado) </w:t>
      </w:r>
    </w:p>
    <w:p w:rsidR="001A2871" w:rsidRPr="00332758" w:rsidRDefault="001A2871" w:rsidP="001A2871">
      <w:pPr>
        <w:jc w:val="center"/>
        <w:rPr>
          <w:rFonts w:cs="Arial"/>
          <w:szCs w:val="20"/>
          <w:lang w:val="es-ES_tradnl"/>
        </w:rPr>
      </w:pPr>
      <w:r w:rsidRPr="00332758">
        <w:rPr>
          <w:i/>
          <w:lang w:val="es-ES_tradnl"/>
        </w:rPr>
        <w:t>(en miles de francos suizos)</w:t>
      </w:r>
    </w:p>
    <w:p w:rsidR="001A2871" w:rsidRPr="00A34388" w:rsidRDefault="001A2871" w:rsidP="001A2871">
      <w:pPr>
        <w:rPr>
          <w:lang w:val="es-ES_tradnl"/>
        </w:rPr>
      </w:pPr>
    </w:p>
    <w:tbl>
      <w:tblPr>
        <w:tblW w:w="0" w:type="auto"/>
        <w:tblInd w:w="103" w:type="dxa"/>
        <w:tblLayout w:type="fixed"/>
        <w:tblLook w:val="04A0" w:firstRow="1" w:lastRow="0" w:firstColumn="1" w:lastColumn="0" w:noHBand="0" w:noVBand="1"/>
      </w:tblPr>
      <w:tblGrid>
        <w:gridCol w:w="546"/>
        <w:gridCol w:w="4137"/>
        <w:gridCol w:w="1559"/>
        <w:gridCol w:w="1559"/>
        <w:gridCol w:w="1560"/>
      </w:tblGrid>
      <w:tr w:rsidR="001A2871" w:rsidRPr="00A34388" w:rsidTr="00853209">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46" w:type="dxa"/>
            <w:tcBorders>
              <w:top w:val="nil"/>
              <w:left w:val="single" w:sz="4" w:space="0" w:color="auto"/>
              <w:bottom w:val="nil"/>
              <w:right w:val="nil"/>
            </w:tcBorders>
            <w:shd w:val="clear" w:color="000000" w:fill="FFFFFF"/>
            <w:noWrap/>
            <w:hideMark/>
          </w:tcPr>
          <w:p w:rsidR="001A2871" w:rsidRPr="00D66024" w:rsidRDefault="001A2871" w:rsidP="00853209">
            <w:pPr>
              <w:spacing w:before="120"/>
              <w:jc w:val="center"/>
              <w:rPr>
                <w:rFonts w:cs="Arial"/>
                <w:sz w:val="16"/>
                <w:szCs w:val="16"/>
                <w:lang w:val="es-ES_tradnl"/>
              </w:rPr>
            </w:pPr>
            <w:r w:rsidRPr="00D66024">
              <w:rPr>
                <w:sz w:val="16"/>
                <w:lang w:val="es-ES_tradnl"/>
              </w:rPr>
              <w:t>III.6</w:t>
            </w:r>
          </w:p>
        </w:tc>
        <w:tc>
          <w:tcPr>
            <w:tcW w:w="4137" w:type="dxa"/>
            <w:tcBorders>
              <w:top w:val="nil"/>
              <w:left w:val="nil"/>
              <w:bottom w:val="nil"/>
              <w:right w:val="nil"/>
            </w:tcBorders>
            <w:shd w:val="clear" w:color="000000" w:fill="FFFFFF"/>
            <w:hideMark/>
          </w:tcPr>
          <w:p w:rsidR="001A2871" w:rsidRPr="00D66024" w:rsidRDefault="001A2871" w:rsidP="00853209">
            <w:pPr>
              <w:spacing w:before="120"/>
              <w:rPr>
                <w:rFonts w:cs="Arial"/>
                <w:sz w:val="16"/>
                <w:szCs w:val="16"/>
                <w:lang w:val="es-ES_tradnl"/>
              </w:rPr>
            </w:pPr>
            <w:r w:rsidRPr="00D66024">
              <w:rPr>
                <w:sz w:val="16"/>
                <w:lang w:val="es-ES_tradnl"/>
              </w:rPr>
              <w:t>Los principios de la Agenda para el Desarrollo siguen incorporándose en los programas y actividades de la Organización.</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276</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345</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334</w:t>
            </w:r>
          </w:p>
        </w:tc>
      </w:tr>
      <w:tr w:rsidR="001A2871" w:rsidRPr="00A34388" w:rsidTr="00853209">
        <w:tc>
          <w:tcPr>
            <w:tcW w:w="546" w:type="dxa"/>
            <w:tcBorders>
              <w:top w:val="nil"/>
              <w:left w:val="single" w:sz="4" w:space="0" w:color="auto"/>
              <w:bottom w:val="nil"/>
              <w:right w:val="nil"/>
            </w:tcBorders>
            <w:shd w:val="clear" w:color="000000" w:fill="FFFFFF"/>
            <w:noWrap/>
            <w:hideMark/>
          </w:tcPr>
          <w:p w:rsidR="001A2871" w:rsidRPr="00D66024" w:rsidRDefault="001A2871" w:rsidP="00853209">
            <w:pPr>
              <w:spacing w:before="120"/>
              <w:jc w:val="center"/>
              <w:rPr>
                <w:rFonts w:cs="Arial"/>
                <w:sz w:val="16"/>
                <w:szCs w:val="16"/>
                <w:lang w:val="es-ES_tradnl"/>
              </w:rPr>
            </w:pPr>
            <w:r w:rsidRPr="00D66024">
              <w:rPr>
                <w:sz w:val="16"/>
                <w:lang w:val="es-ES_tradnl"/>
              </w:rPr>
              <w:t>V.1</w:t>
            </w:r>
          </w:p>
        </w:tc>
        <w:tc>
          <w:tcPr>
            <w:tcW w:w="4137" w:type="dxa"/>
            <w:tcBorders>
              <w:top w:val="nil"/>
              <w:left w:val="nil"/>
              <w:bottom w:val="nil"/>
              <w:right w:val="nil"/>
            </w:tcBorders>
            <w:shd w:val="clear" w:color="000000" w:fill="FFFFFF"/>
            <w:hideMark/>
          </w:tcPr>
          <w:p w:rsidR="001A2871" w:rsidRPr="00D66024" w:rsidRDefault="001A2871" w:rsidP="00853209">
            <w:pPr>
              <w:spacing w:before="120"/>
              <w:rPr>
                <w:rFonts w:cs="Arial"/>
                <w:sz w:val="16"/>
                <w:szCs w:val="16"/>
                <w:lang w:val="es-ES_tradnl"/>
              </w:rPr>
            </w:pPr>
            <w:r w:rsidRPr="00D66024">
              <w:rPr>
                <w:sz w:val="16"/>
                <w:lang w:val="es-ES_tradnl"/>
              </w:rPr>
              <w:t>Mayor uso de la información estadística de la OMPI sobre los resultados del sistema internacional de P.I.</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1.569</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1.763</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1.748</w:t>
            </w:r>
          </w:p>
        </w:tc>
      </w:tr>
      <w:tr w:rsidR="001A2871" w:rsidRPr="00A34388" w:rsidTr="00853209">
        <w:tc>
          <w:tcPr>
            <w:tcW w:w="546" w:type="dxa"/>
            <w:tcBorders>
              <w:top w:val="nil"/>
              <w:left w:val="single" w:sz="4" w:space="0" w:color="auto"/>
              <w:bottom w:val="nil"/>
              <w:right w:val="nil"/>
            </w:tcBorders>
            <w:shd w:val="clear" w:color="000000" w:fill="FFFFFF"/>
            <w:noWrap/>
            <w:hideMark/>
          </w:tcPr>
          <w:p w:rsidR="001A2871" w:rsidRPr="00D66024" w:rsidRDefault="001A2871" w:rsidP="00853209">
            <w:pPr>
              <w:spacing w:before="120"/>
              <w:jc w:val="center"/>
              <w:rPr>
                <w:rFonts w:cs="Arial"/>
                <w:sz w:val="16"/>
                <w:szCs w:val="16"/>
                <w:lang w:val="es-ES_tradnl"/>
              </w:rPr>
            </w:pPr>
            <w:r w:rsidRPr="00D66024">
              <w:rPr>
                <w:sz w:val="16"/>
                <w:lang w:val="es-ES_tradnl"/>
              </w:rPr>
              <w:t>V.2</w:t>
            </w:r>
          </w:p>
        </w:tc>
        <w:tc>
          <w:tcPr>
            <w:tcW w:w="4137" w:type="dxa"/>
            <w:tcBorders>
              <w:top w:val="nil"/>
              <w:left w:val="nil"/>
              <w:bottom w:val="nil"/>
              <w:right w:val="nil"/>
            </w:tcBorders>
            <w:shd w:val="clear" w:color="000000" w:fill="FFFFFF"/>
            <w:hideMark/>
          </w:tcPr>
          <w:p w:rsidR="001A2871" w:rsidRPr="00D66024" w:rsidRDefault="001A2871" w:rsidP="00853209">
            <w:pPr>
              <w:spacing w:before="120"/>
              <w:rPr>
                <w:rFonts w:cs="Arial"/>
                <w:sz w:val="16"/>
                <w:szCs w:val="16"/>
                <w:lang w:val="es-ES_tradnl"/>
              </w:rPr>
            </w:pPr>
            <w:r w:rsidRPr="00D66024">
              <w:rPr>
                <w:sz w:val="16"/>
                <w:lang w:val="es-ES_tradnl"/>
              </w:rPr>
              <w:t>Adopción de análisis económicos de la OMPI para la formulación de políticas de P.I.</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2.711</w:t>
            </w:r>
          </w:p>
        </w:tc>
        <w:tc>
          <w:tcPr>
            <w:tcW w:w="1559"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3.044</w:t>
            </w:r>
          </w:p>
        </w:tc>
        <w:tc>
          <w:tcPr>
            <w:tcW w:w="1560"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2.909</w:t>
            </w:r>
          </w:p>
        </w:tc>
      </w:tr>
      <w:tr w:rsidR="001A2871" w:rsidRPr="00A34388" w:rsidTr="00853209">
        <w:tc>
          <w:tcPr>
            <w:tcW w:w="546" w:type="dxa"/>
            <w:tcBorders>
              <w:top w:val="nil"/>
              <w:left w:val="single" w:sz="4" w:space="0" w:color="auto"/>
              <w:bottom w:val="single" w:sz="4" w:space="0" w:color="auto"/>
              <w:right w:val="nil"/>
            </w:tcBorders>
            <w:shd w:val="clear" w:color="000000" w:fill="FFFFFF"/>
            <w:noWrap/>
            <w:hideMark/>
          </w:tcPr>
          <w:p w:rsidR="001A2871" w:rsidRPr="00D66024" w:rsidRDefault="001A2871" w:rsidP="00853209">
            <w:pPr>
              <w:spacing w:before="120" w:after="120"/>
              <w:jc w:val="center"/>
              <w:rPr>
                <w:rFonts w:cs="Arial"/>
                <w:sz w:val="16"/>
                <w:szCs w:val="16"/>
                <w:lang w:val="es-ES_tradnl"/>
              </w:rPr>
            </w:pPr>
            <w:r w:rsidRPr="00D66024">
              <w:rPr>
                <w:sz w:val="16"/>
                <w:lang w:val="es-ES_tradnl"/>
              </w:rPr>
              <w:t>VII.3</w:t>
            </w:r>
          </w:p>
        </w:tc>
        <w:tc>
          <w:tcPr>
            <w:tcW w:w="4137" w:type="dxa"/>
            <w:tcBorders>
              <w:top w:val="nil"/>
              <w:left w:val="nil"/>
              <w:bottom w:val="single" w:sz="4" w:space="0" w:color="auto"/>
              <w:right w:val="nil"/>
            </w:tcBorders>
            <w:shd w:val="clear" w:color="000000" w:fill="FFFFFF"/>
            <w:hideMark/>
          </w:tcPr>
          <w:p w:rsidR="001A2871" w:rsidRPr="00D66024" w:rsidRDefault="001A2871" w:rsidP="00853209">
            <w:pPr>
              <w:spacing w:before="120" w:after="120"/>
              <w:rPr>
                <w:rFonts w:cs="Arial"/>
                <w:sz w:val="16"/>
                <w:szCs w:val="16"/>
                <w:lang w:val="es-ES_tradnl"/>
              </w:rPr>
            </w:pPr>
            <w:r w:rsidRPr="00D66024">
              <w:rPr>
                <w:sz w:val="16"/>
                <w:lang w:val="es-ES_tradnl"/>
              </w:rPr>
              <w:t>Las herramientas de P.I. se utilizan para la transferencia de tecnología por parte de países desarrollados a países en desarrollo, especialmente los países menos adelantados, para responder a los desafíos mundiales.</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30</w:t>
            </w:r>
          </w:p>
        </w:tc>
        <w:tc>
          <w:tcPr>
            <w:tcW w:w="1559"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30</w:t>
            </w:r>
          </w:p>
        </w:tc>
        <w:tc>
          <w:tcPr>
            <w:tcW w:w="1560"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 </w:t>
            </w:r>
          </w:p>
        </w:tc>
      </w:tr>
      <w:tr w:rsidR="001A2871" w:rsidRPr="00A34388" w:rsidTr="00853209">
        <w:tc>
          <w:tcPr>
            <w:tcW w:w="546"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137"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4.585</w:t>
            </w:r>
          </w:p>
        </w:tc>
        <w:tc>
          <w:tcPr>
            <w:tcW w:w="1559"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5.182</w:t>
            </w:r>
          </w:p>
        </w:tc>
        <w:tc>
          <w:tcPr>
            <w:tcW w:w="1560"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4.990</w:t>
            </w:r>
          </w:p>
        </w:tc>
      </w:tr>
    </w:tbl>
    <w:p w:rsidR="001A2871" w:rsidRPr="00A34388" w:rsidRDefault="001A2871" w:rsidP="001A2871">
      <w:pPr>
        <w:rPr>
          <w:lang w:val="es-ES_tradnl"/>
        </w:rPr>
      </w:pPr>
    </w:p>
    <w:p w:rsidR="001A2871" w:rsidRPr="00A34388" w:rsidRDefault="001A2871" w:rsidP="001A2871">
      <w:pPr>
        <w:rPr>
          <w:lang w:val="es-ES_tradnl"/>
        </w:rPr>
      </w:pPr>
    </w:p>
    <w:p w:rsidR="00957F9C" w:rsidRDefault="00957F9C">
      <w:pPr>
        <w:rPr>
          <w:rFonts w:cs="Arial"/>
          <w:color w:val="000000"/>
          <w:szCs w:val="18"/>
          <w:lang w:val="es-ES_tradnl"/>
        </w:rPr>
      </w:pPr>
      <w:r>
        <w:rPr>
          <w:color w:val="000000"/>
          <w:lang w:val="es-ES_tradnl"/>
        </w:rPr>
        <w:br w:type="page"/>
      </w: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lastRenderedPageBreak/>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rPr>
          <w:lang w:val="es-ES_tradnl"/>
        </w:rPr>
      </w:pPr>
    </w:p>
    <w:tbl>
      <w:tblPr>
        <w:tblW w:w="0" w:type="auto"/>
        <w:tblInd w:w="93" w:type="dxa"/>
        <w:tblLook w:val="04A0" w:firstRow="1" w:lastRow="0" w:firstColumn="1" w:lastColumn="0" w:noHBand="0" w:noVBand="1"/>
      </w:tblPr>
      <w:tblGrid>
        <w:gridCol w:w="2567"/>
        <w:gridCol w:w="1630"/>
        <w:gridCol w:w="1630"/>
        <w:gridCol w:w="1630"/>
        <w:gridCol w:w="1914"/>
      </w:tblGrid>
      <w:tr w:rsidR="001A2871" w:rsidRPr="00A34388" w:rsidTr="00853209">
        <w:trPr>
          <w:trHeight w:val="444"/>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6"/>
                <w:szCs w:val="16"/>
                <w:lang w:val="es-ES_tradnl"/>
              </w:rPr>
            </w:pPr>
            <w:r w:rsidRPr="00A34388">
              <w:rPr>
                <w:color w:val="000000"/>
                <w:sz w:val="16"/>
                <w:lang w:val="es-ES_tradnl"/>
              </w:rPr>
              <w:t> </w:t>
            </w:r>
          </w:p>
        </w:tc>
        <w:tc>
          <w:tcPr>
            <w:tcW w:w="163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163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63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Gastos en 2012/13</w:t>
            </w:r>
          </w:p>
        </w:tc>
        <w:tc>
          <w:tcPr>
            <w:tcW w:w="1914"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Recursos de personal  </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3.455</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3.776</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3.776</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 xml:space="preserve">Recursos no relativos al personal </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1.130</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1.407</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1.214</w:t>
            </w:r>
          </w:p>
        </w:tc>
        <w:tc>
          <w:tcPr>
            <w:tcW w:w="1914"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86%</w:t>
            </w:r>
          </w:p>
        </w:tc>
      </w:tr>
      <w:tr w:rsidR="001A2871" w:rsidRPr="00A34388" w:rsidTr="00853209">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 xml:space="preserve"> TOTAL </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4.585</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5.182</w:t>
            </w:r>
          </w:p>
        </w:tc>
        <w:tc>
          <w:tcPr>
            <w:tcW w:w="163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4.990</w:t>
            </w:r>
          </w:p>
        </w:tc>
        <w:tc>
          <w:tcPr>
            <w:tcW w:w="1914"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96%</w:t>
            </w:r>
          </w:p>
        </w:tc>
      </w:tr>
    </w:tbl>
    <w:p w:rsidR="001A2871" w:rsidRPr="00A34388" w:rsidRDefault="001A2871" w:rsidP="001A2871">
      <w:pPr>
        <w:rPr>
          <w:rFonts w:cs="Arial"/>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NOTAS:</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4C0FD5">
      <w:pPr>
        <w:keepNext/>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3)  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keepNext/>
        <w:keepLines/>
        <w:rPr>
          <w:rFonts w:cs="Arial"/>
          <w:sz w:val="22"/>
          <w:szCs w:val="22"/>
          <w:lang w:val="es-ES_tradnl"/>
        </w:rPr>
      </w:pPr>
    </w:p>
    <w:p w:rsidR="001A2871" w:rsidRPr="00332758" w:rsidRDefault="001A2871" w:rsidP="001A2871">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tabs>
          <w:tab w:val="left" w:pos="709"/>
        </w:tabs>
        <w:rPr>
          <w:rFonts w:cs="Arial"/>
          <w:szCs w:val="20"/>
          <w:u w:val="single"/>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16.5.</w:t>
      </w:r>
      <w:r w:rsidRPr="00A34388">
        <w:rPr>
          <w:lang w:val="es-ES_tradnl"/>
        </w:rPr>
        <w:tab/>
        <w:t xml:space="preserve">Se asignaron a este programa recursos adicionales, incluidos recursos de personal, en el marco del resultado V.1 (Mayor uso de la información estadística de la OMPI sobre los resultados del sistema internacional de P.I.) destinados al proyecto revisado de propuesta para el proyecto de la Agenda para el Desarrollo sobre la P.I. y la fuga de cerebros, y del resultado V.2 (Adopción de análisis económicos de la OMPI para la formulación de políticas de P.I.) con objeto de reflejar el mayor énfasis puesto en las actividades relacionadas con los estudios y análisis económicos en virtud de los proyectos de la Agenda para el Desarrollo sobre la P.I. y el desarrollo socioeconómico y la P.I. y la economía informal, así como la publicación del Informe Mundial sobre la P.I. y el Índice mundial de innovación.  </w:t>
      </w:r>
    </w:p>
    <w:p w:rsidR="001A2871" w:rsidRPr="00A34388" w:rsidRDefault="001A2871" w:rsidP="001A2871">
      <w:pPr>
        <w:tabs>
          <w:tab w:val="left" w:pos="709"/>
        </w:tabs>
        <w:autoSpaceDE w:val="0"/>
        <w:autoSpaceDN w:val="0"/>
        <w:jc w:val="both"/>
        <w:rPr>
          <w:rFonts w:cs="Arial"/>
          <w:szCs w:val="20"/>
          <w:lang w:val="es-ES_tradnl"/>
        </w:rPr>
      </w:pPr>
    </w:p>
    <w:p w:rsidR="001A2871" w:rsidRPr="00A34388" w:rsidRDefault="001A2871" w:rsidP="001A2871">
      <w:pPr>
        <w:tabs>
          <w:tab w:val="left" w:pos="709"/>
        </w:tabs>
        <w:jc w:val="both"/>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8635F3" w:rsidRPr="00A34388">
        <w:rPr>
          <w:u w:val="single"/>
          <w:lang w:val="es-ES_tradnl"/>
        </w:rPr>
        <w:t>en </w:t>
      </w:r>
      <w:r w:rsidRPr="00A34388">
        <w:rPr>
          <w:u w:val="single"/>
          <w:lang w:val="es-ES_tradnl"/>
        </w:rPr>
        <w:t>2012/13</w:t>
      </w:r>
    </w:p>
    <w:p w:rsidR="001A2871" w:rsidRPr="00A34388" w:rsidRDefault="001A2871" w:rsidP="001A2871">
      <w:pPr>
        <w:keepNext/>
        <w:keepLines/>
        <w:tabs>
          <w:tab w:val="left" w:pos="709"/>
        </w:tabs>
        <w:jc w:val="both"/>
        <w:rPr>
          <w:rFonts w:cs="Arial"/>
          <w:szCs w:val="20"/>
          <w:lang w:val="es-ES_tradnl"/>
        </w:rPr>
      </w:pPr>
    </w:p>
    <w:p w:rsidR="001A2871" w:rsidRPr="00A34388" w:rsidRDefault="001A2871" w:rsidP="001A2871">
      <w:pPr>
        <w:keepNext/>
        <w:keepLines/>
        <w:tabs>
          <w:tab w:val="left" w:pos="709"/>
        </w:tabs>
        <w:jc w:val="both"/>
        <w:rPr>
          <w:rFonts w:cs="Arial"/>
          <w:szCs w:val="20"/>
          <w:lang w:val="es-ES_tradnl"/>
        </w:rPr>
      </w:pPr>
      <w:r w:rsidRPr="00A34388">
        <w:rPr>
          <w:lang w:val="es-ES_tradnl"/>
        </w:rPr>
        <w:t>16.6.</w:t>
      </w:r>
      <w:r w:rsidRPr="00A34388">
        <w:rPr>
          <w:lang w:val="es-ES_tradnl"/>
        </w:rPr>
        <w:tab/>
        <w:t xml:space="preserve">La utilización del </w:t>
      </w:r>
      <w:r w:rsidR="007038DA" w:rsidRPr="00A34388">
        <w:rPr>
          <w:lang w:val="es-ES_tradnl"/>
        </w:rPr>
        <w:t>86%</w:t>
      </w:r>
      <w:r w:rsidR="007038DA">
        <w:rPr>
          <w:lang w:val="es-ES_tradnl"/>
        </w:rPr>
        <w:t xml:space="preserve"> del </w:t>
      </w:r>
      <w:r w:rsidRPr="00A34388">
        <w:rPr>
          <w:lang w:val="es-ES_tradnl"/>
        </w:rPr>
        <w:t>presupuesto no relativo al personal</w:t>
      </w:r>
      <w:r w:rsidR="007038DA">
        <w:rPr>
          <w:lang w:val="es-ES_tradnl"/>
        </w:rPr>
        <w:t xml:space="preserve"> </w:t>
      </w:r>
      <w:r w:rsidR="009F4808" w:rsidRPr="00A34388">
        <w:rPr>
          <w:lang w:val="es-ES_tradnl"/>
        </w:rPr>
        <w:t xml:space="preserve">se debió fundamentalmente a:  </w:t>
      </w:r>
      <w:r w:rsidRPr="00A34388">
        <w:rPr>
          <w:lang w:val="es-ES_tradnl"/>
        </w:rPr>
        <w:t>i) un ligero retraso en la ejecución de dos de los seis proyectos de estudio de país previstos en el marco del proyecto de la Agenda para el Desarrollo sobre la P.I. y el</w:t>
      </w:r>
      <w:r w:rsidR="009F4808" w:rsidRPr="00A34388">
        <w:rPr>
          <w:lang w:val="es-ES_tradnl"/>
        </w:rPr>
        <w:t xml:space="preserve"> desarrollo socioeconómico;  y </w:t>
      </w:r>
      <w:r w:rsidRPr="00A34388">
        <w:rPr>
          <w:lang w:val="es-ES_tradnl"/>
        </w:rPr>
        <w:t xml:space="preserve">ii) el ahorro relacionado con la </w:t>
      </w:r>
      <w:r w:rsidR="00A741D2" w:rsidRPr="00A34388">
        <w:rPr>
          <w:lang w:val="es-ES_tradnl"/>
        </w:rPr>
        <w:t xml:space="preserve">eficacia </w:t>
      </w:r>
      <w:r w:rsidRPr="00A34388">
        <w:rPr>
          <w:lang w:val="es-ES_tradnl"/>
        </w:rPr>
        <w:t xml:space="preserve">en función de los costos logrado en el proyecto, en particular en servicios contractuales.  </w:t>
      </w:r>
    </w:p>
    <w:p w:rsidR="001A2871" w:rsidRPr="00A34388" w:rsidRDefault="001A2871" w:rsidP="001A2871">
      <w:pPr>
        <w:rPr>
          <w:szCs w:val="20"/>
          <w:lang w:val="es-ES_tradnl"/>
        </w:rPr>
      </w:pPr>
      <w:r w:rsidRPr="00A34388">
        <w:rPr>
          <w:lang w:val="es-ES_tradnl"/>
        </w:rPr>
        <w:br w:type="page"/>
      </w:r>
    </w:p>
    <w:p w:rsidR="00F90BD6" w:rsidRPr="003934C8" w:rsidRDefault="00F90BD6" w:rsidP="00F90BD6">
      <w:pPr>
        <w:pStyle w:val="Heading2"/>
        <w:rPr>
          <w:lang w:val="es-ES"/>
        </w:rPr>
      </w:pPr>
      <w:bookmarkStart w:id="62" w:name="_Toc394319070"/>
      <w:bookmarkStart w:id="63" w:name="_Toc395279674"/>
      <w:r w:rsidRPr="00332758">
        <w:rPr>
          <w:caps w:val="0"/>
          <w:lang w:val="es-ES_tradnl"/>
        </w:rPr>
        <w:lastRenderedPageBreak/>
        <w:t>META ESTRATÉGICA VI</w:t>
      </w:r>
      <w:r w:rsidRPr="00332758">
        <w:rPr>
          <w:lang w:val="es-ES_tradnl"/>
        </w:rPr>
        <w:br/>
      </w:r>
      <w:r w:rsidRPr="00332758">
        <w:rPr>
          <w:lang w:val="es-ES_tradnl"/>
        </w:rPr>
        <w:br/>
      </w:r>
      <w:r w:rsidRPr="003934C8">
        <w:rPr>
          <w:lang w:val="es-ES"/>
        </w:rPr>
        <w:t>Cooperación internacional para fomentar el respeto por la P.I.</w:t>
      </w:r>
      <w:bookmarkEnd w:id="62"/>
      <w:bookmarkEnd w:id="63"/>
      <w:r w:rsidRPr="003934C8">
        <w:rPr>
          <w:lang w:val="es-ES"/>
        </w:rPr>
        <w:t xml:space="preserve"> </w:t>
      </w:r>
    </w:p>
    <w:p w:rsidR="001A2871" w:rsidRPr="00F90BD6" w:rsidRDefault="001A2871" w:rsidP="001A2871">
      <w:pPr>
        <w:jc w:val="center"/>
        <w:rPr>
          <w:lang w:val="es-ES"/>
        </w:rPr>
      </w:pPr>
    </w:p>
    <w:p w:rsidR="001A2871" w:rsidRPr="00A34388" w:rsidRDefault="001A2871" w:rsidP="001A2871">
      <w:pPr>
        <w:jc w:val="center"/>
        <w:rPr>
          <w:lang w:val="es-ES_tradnl"/>
        </w:rPr>
      </w:pPr>
    </w:p>
    <w:p w:rsidR="001A2871" w:rsidRPr="00A34388" w:rsidRDefault="001A2871" w:rsidP="001A2871">
      <w:pPr>
        <w:jc w:val="center"/>
        <w:rPr>
          <w:lang w:val="es-ES_tradnl"/>
        </w:rPr>
      </w:pPr>
    </w:p>
    <w:p w:rsidR="001A2871" w:rsidRPr="00A34388" w:rsidRDefault="001A2871" w:rsidP="001A2871">
      <w:pPr>
        <w:jc w:val="center"/>
        <w:rPr>
          <w:szCs w:val="20"/>
          <w:lang w:val="es-ES_tradnl"/>
        </w:rPr>
      </w:pPr>
      <w:r w:rsidRPr="00332758">
        <w:rPr>
          <w:lang w:val="es-ES_tradnl"/>
        </w:rPr>
        <w:t>CUADRO SOBRE EL RENDIMIENTO BIENAL</w:t>
      </w:r>
    </w:p>
    <w:p w:rsidR="001A2871" w:rsidRPr="00A34388" w:rsidRDefault="001A2871" w:rsidP="001A2871">
      <w:pPr>
        <w:jc w:val="center"/>
        <w:rPr>
          <w:lang w:val="es-ES_tradnl"/>
        </w:rPr>
      </w:pPr>
    </w:p>
    <w:p w:rsidR="001A2871" w:rsidRPr="00A34388" w:rsidRDefault="002B6892" w:rsidP="001A2871">
      <w:pPr>
        <w:autoSpaceDE w:val="0"/>
        <w:autoSpaceDN w:val="0"/>
        <w:adjustRightInd w:val="0"/>
        <w:jc w:val="both"/>
        <w:rPr>
          <w:rFonts w:cs="Arial"/>
          <w:lang w:val="es-ES_tradnl"/>
        </w:rPr>
      </w:pPr>
      <w:r w:rsidRPr="00A34388">
        <w:rPr>
          <w:lang w:val="es-ES_tradnl"/>
        </w:rPr>
        <w:t xml:space="preserve">En el siguiente </w:t>
      </w:r>
      <w:r w:rsidR="001A2871" w:rsidRPr="00A34388">
        <w:rPr>
          <w:lang w:val="es-ES_tradnl"/>
        </w:rPr>
        <w:t xml:space="preserve">cuadro </w:t>
      </w:r>
      <w:r w:rsidRPr="00A34388">
        <w:rPr>
          <w:lang w:val="es-ES_tradnl"/>
        </w:rPr>
        <w:t xml:space="preserve">se incluye una reseña general de la consecución de los </w:t>
      </w:r>
      <w:r w:rsidR="001A2871" w:rsidRPr="00A34388">
        <w:rPr>
          <w:lang w:val="es-ES_tradnl"/>
        </w:rPr>
        <w:t xml:space="preserve">resultados previstos en el bienio 2012/13 </w:t>
      </w:r>
      <w:r w:rsidRPr="00A34388">
        <w:rPr>
          <w:lang w:val="es-ES_tradnl"/>
        </w:rPr>
        <w:t>medi</w:t>
      </w:r>
      <w:r w:rsidR="007C5F75">
        <w:rPr>
          <w:lang w:val="es-ES_tradnl"/>
        </w:rPr>
        <w:t>d</w:t>
      </w:r>
      <w:r w:rsidRPr="00A34388">
        <w:rPr>
          <w:lang w:val="es-ES_tradnl"/>
        </w:rPr>
        <w:t xml:space="preserve">os por los </w:t>
      </w:r>
      <w:r w:rsidR="001A2871" w:rsidRPr="00A34388">
        <w:rPr>
          <w:lang w:val="es-ES_tradnl"/>
        </w:rPr>
        <w:t xml:space="preserve">indicadores </w:t>
      </w:r>
      <w:r w:rsidRPr="00A34388">
        <w:rPr>
          <w:lang w:val="es-ES_tradnl"/>
        </w:rPr>
        <w:t xml:space="preserve">relativos a los </w:t>
      </w:r>
      <w:r w:rsidR="001A2871" w:rsidRPr="00A34388">
        <w:rPr>
          <w:lang w:val="es-ES_tradnl"/>
        </w:rPr>
        <w:t xml:space="preserve">programas que contribuyen a esta meta estratégica.  </w:t>
      </w:r>
    </w:p>
    <w:p w:rsidR="001A2871" w:rsidRDefault="001A2871" w:rsidP="001A2871">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5C4144BF" wp14:editId="4EF74D98">
            <wp:extent cx="4421988" cy="228965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20694" cy="2288987"/>
                    </a:xfrm>
                    <a:prstGeom prst="rect">
                      <a:avLst/>
                    </a:prstGeom>
                    <a:noFill/>
                  </pic:spPr>
                </pic:pic>
              </a:graphicData>
            </a:graphic>
          </wp:inline>
        </w:drawing>
      </w:r>
    </w:p>
    <w:p w:rsidR="00672C0F" w:rsidRPr="00A34388" w:rsidRDefault="00672C0F" w:rsidP="001A2871">
      <w:pPr>
        <w:autoSpaceDE w:val="0"/>
        <w:autoSpaceDN w:val="0"/>
        <w:adjustRightInd w:val="0"/>
        <w:jc w:val="both"/>
        <w:rPr>
          <w:rFonts w:cs="Arial"/>
          <w:lang w:val="es-ES_tradnl"/>
        </w:rPr>
      </w:pPr>
    </w:p>
    <w:p w:rsidR="001A2871" w:rsidRPr="00A34388" w:rsidRDefault="001A2871" w:rsidP="001A2871">
      <w:pPr>
        <w:tabs>
          <w:tab w:val="left" w:pos="1701"/>
        </w:tabs>
        <w:ind w:left="1701" w:hanging="1701"/>
        <w:jc w:val="center"/>
        <w:rPr>
          <w:rFonts w:cs="Arial"/>
          <w:b/>
          <w:bCs/>
          <w:caps/>
          <w:lang w:val="es-ES_tradnl"/>
        </w:rPr>
      </w:pPr>
    </w:p>
    <w:tbl>
      <w:tblPr>
        <w:tblW w:w="0" w:type="auto"/>
        <w:tblInd w:w="98" w:type="dxa"/>
        <w:tblLook w:val="0000" w:firstRow="0" w:lastRow="0" w:firstColumn="0" w:lastColumn="0" w:noHBand="0" w:noVBand="0"/>
      </w:tblPr>
      <w:tblGrid>
        <w:gridCol w:w="3323"/>
        <w:gridCol w:w="3270"/>
        <w:gridCol w:w="1388"/>
        <w:gridCol w:w="1385"/>
      </w:tblGrid>
      <w:tr w:rsidR="001A2871" w:rsidRPr="00A34388" w:rsidTr="00853209">
        <w:tc>
          <w:tcPr>
            <w:tcW w:w="3323" w:type="dxa"/>
            <w:tcBorders>
              <w:top w:val="single" w:sz="4" w:space="0" w:color="auto"/>
              <w:left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270"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388"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385" w:type="dxa"/>
            <w:tcBorders>
              <w:top w:val="single" w:sz="4" w:space="0" w:color="auto"/>
              <w:left w:val="nil"/>
              <w:bottom w:val="single" w:sz="4" w:space="0" w:color="auto"/>
              <w:right w:val="single" w:sz="4" w:space="0" w:color="auto"/>
            </w:tcBorders>
            <w:shd w:val="clear" w:color="auto" w:fill="CCFFFF"/>
            <w:vAlign w:val="center"/>
          </w:tcPr>
          <w:p w:rsidR="001A2871" w:rsidRPr="00332758" w:rsidRDefault="001A2871" w:rsidP="00853209">
            <w:pPr>
              <w:spacing w:before="120" w:after="120"/>
              <w:jc w:val="center"/>
              <w:rPr>
                <w:rFonts w:cs="Arial"/>
                <w:b/>
                <w:bCs/>
                <w:sz w:val="14"/>
                <w:szCs w:val="14"/>
                <w:lang w:val="es-ES_tradnl"/>
              </w:rPr>
            </w:pPr>
            <w:r w:rsidRPr="00332758">
              <w:rPr>
                <w:b/>
                <w:sz w:val="14"/>
                <w:lang w:val="es-ES_tradnl"/>
              </w:rPr>
              <w:t>Clave de colores</w:t>
            </w:r>
          </w:p>
        </w:tc>
      </w:tr>
      <w:tr w:rsidR="001A2871" w:rsidRPr="00A34388" w:rsidTr="00853209">
        <w:tc>
          <w:tcPr>
            <w:tcW w:w="3323" w:type="dxa"/>
            <w:tcBorders>
              <w:top w:val="nil"/>
              <w:left w:val="single" w:sz="4" w:space="0" w:color="auto"/>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Avances en el diálogo internacional sobre políticas entre los Estados miembros de la OMPI para fomentar el respeto por la P.I. sobre la base de la recomendación 45 de la Agenda de la OMPI para el Desarrollo.</w:t>
            </w:r>
          </w:p>
        </w:tc>
        <w:tc>
          <w:tcPr>
            <w:tcW w:w="3270" w:type="dxa"/>
            <w:tcBorders>
              <w:top w:val="nil"/>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Acuerdo constante entre los Estados miembros sobre la labor sustantiva del Comité Asesor de la OMPI sobre Observancia (ACE) en el bienio, incorporando elementos orientados al desarrollo.</w:t>
            </w:r>
          </w:p>
        </w:tc>
        <w:tc>
          <w:tcPr>
            <w:tcW w:w="1388" w:type="dxa"/>
            <w:tcBorders>
              <w:top w:val="nil"/>
              <w:left w:val="nil"/>
              <w:bottom w:val="nil"/>
            </w:tcBorders>
            <w:shd w:val="clear" w:color="auto" w:fill="auto"/>
            <w:tcMar>
              <w:top w:w="113" w:type="dxa"/>
            </w:tcMar>
          </w:tcPr>
          <w:p w:rsidR="001A2871" w:rsidRPr="00A34388" w:rsidRDefault="001A2871" w:rsidP="00853209">
            <w:pPr>
              <w:spacing w:before="80"/>
              <w:ind w:left="179"/>
              <w:rPr>
                <w:rFonts w:cs="Arial"/>
                <w:sz w:val="14"/>
                <w:szCs w:val="14"/>
                <w:lang w:val="es-ES_tradnl"/>
              </w:rPr>
            </w:pPr>
            <w:r w:rsidRPr="00332758">
              <w:rPr>
                <w:sz w:val="14"/>
                <w:lang w:val="es-ES_tradnl"/>
              </w:rPr>
              <w:t>Programa 17</w:t>
            </w:r>
          </w:p>
        </w:tc>
        <w:tc>
          <w:tcPr>
            <w:tcW w:w="1385" w:type="dxa"/>
            <w:tcBorders>
              <w:top w:val="nil"/>
              <w:left w:val="nil"/>
              <w:bottom w:val="nil"/>
              <w:right w:val="single" w:sz="4" w:space="0" w:color="auto"/>
            </w:tcBorders>
          </w:tcPr>
          <w:p w:rsidR="001A2871" w:rsidRPr="00A34388" w:rsidRDefault="001A2871" w:rsidP="00853209">
            <w:pPr>
              <w:ind w:left="179"/>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323" w:type="dxa"/>
            <w:vMerge w:val="restart"/>
            <w:tcBorders>
              <w:top w:val="nil"/>
              <w:left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Cooperación y coordinación sistemáticas y eficaces entre la labor de la OMPI y otras organizaciones internacionales en el ámbito del fomento del respeto por la P.I.</w:t>
            </w:r>
            <w:r w:rsidRPr="00A34388">
              <w:rPr>
                <w:sz w:val="14"/>
                <w:lang w:val="es-ES_tradnl"/>
              </w:rPr>
              <w:t xml:space="preserve"> </w:t>
            </w:r>
          </w:p>
          <w:p w:rsidR="001A2871" w:rsidRPr="00A34388" w:rsidRDefault="001A2871" w:rsidP="00853209">
            <w:pPr>
              <w:spacing w:before="80"/>
              <w:rPr>
                <w:rFonts w:cs="Arial"/>
                <w:sz w:val="14"/>
                <w:szCs w:val="14"/>
                <w:lang w:val="es-ES_tradnl"/>
              </w:rPr>
            </w:pPr>
          </w:p>
        </w:tc>
        <w:tc>
          <w:tcPr>
            <w:tcW w:w="3270" w:type="dxa"/>
            <w:tcBorders>
              <w:top w:val="nil"/>
              <w:left w:val="nil"/>
              <w:bottom w:val="nil"/>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mecanismos de cooperación oficial en vigor.</w:t>
            </w:r>
          </w:p>
        </w:tc>
        <w:tc>
          <w:tcPr>
            <w:tcW w:w="1388" w:type="dxa"/>
            <w:tcBorders>
              <w:top w:val="nil"/>
              <w:left w:val="nil"/>
              <w:bottom w:val="nil"/>
            </w:tcBorders>
            <w:shd w:val="clear" w:color="auto" w:fill="auto"/>
            <w:tcMar>
              <w:top w:w="113" w:type="dxa"/>
            </w:tcMar>
          </w:tcPr>
          <w:p w:rsidR="001A2871" w:rsidRPr="00A34388" w:rsidRDefault="001A2871" w:rsidP="00853209">
            <w:pPr>
              <w:spacing w:before="80"/>
              <w:ind w:left="179"/>
              <w:rPr>
                <w:rFonts w:cs="Arial"/>
                <w:sz w:val="14"/>
                <w:szCs w:val="14"/>
                <w:lang w:val="es-ES_tradnl"/>
              </w:rPr>
            </w:pPr>
            <w:r w:rsidRPr="00332758">
              <w:rPr>
                <w:sz w:val="14"/>
                <w:lang w:val="es-ES_tradnl"/>
              </w:rPr>
              <w:t>Programa 17</w:t>
            </w:r>
          </w:p>
        </w:tc>
        <w:tc>
          <w:tcPr>
            <w:tcW w:w="1385" w:type="dxa"/>
            <w:tcBorders>
              <w:top w:val="nil"/>
              <w:left w:val="nil"/>
              <w:bottom w:val="nil"/>
              <w:right w:val="single" w:sz="4" w:space="0" w:color="auto"/>
            </w:tcBorders>
          </w:tcPr>
          <w:p w:rsidR="001A2871" w:rsidRPr="00A34388" w:rsidRDefault="001A2871" w:rsidP="00853209">
            <w:pPr>
              <w:ind w:left="179"/>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323" w:type="dxa"/>
            <w:vMerge/>
            <w:tcBorders>
              <w:left w:val="single" w:sz="4" w:space="0" w:color="auto"/>
              <w:bottom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p>
        </w:tc>
        <w:tc>
          <w:tcPr>
            <w:tcW w:w="3270" w:type="dxa"/>
            <w:tcBorders>
              <w:top w:val="nil"/>
              <w:left w:val="nil"/>
              <w:bottom w:val="single" w:sz="4" w:space="0" w:color="auto"/>
              <w:right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actividades conjuntas.</w:t>
            </w:r>
          </w:p>
        </w:tc>
        <w:tc>
          <w:tcPr>
            <w:tcW w:w="1388" w:type="dxa"/>
            <w:tcBorders>
              <w:top w:val="nil"/>
              <w:left w:val="nil"/>
              <w:bottom w:val="single" w:sz="4" w:space="0" w:color="auto"/>
            </w:tcBorders>
            <w:shd w:val="clear" w:color="auto" w:fill="auto"/>
            <w:tcMar>
              <w:top w:w="113" w:type="dxa"/>
            </w:tcMar>
          </w:tcPr>
          <w:p w:rsidR="001A2871" w:rsidRPr="00A34388" w:rsidRDefault="001A2871" w:rsidP="00853209">
            <w:pPr>
              <w:spacing w:before="80"/>
              <w:ind w:left="179"/>
              <w:rPr>
                <w:rFonts w:cs="Arial"/>
                <w:sz w:val="14"/>
                <w:szCs w:val="14"/>
                <w:lang w:val="es-ES_tradnl"/>
              </w:rPr>
            </w:pPr>
            <w:r w:rsidRPr="00332758">
              <w:rPr>
                <w:sz w:val="14"/>
                <w:lang w:val="es-ES_tradnl"/>
              </w:rPr>
              <w:t>Programa 17</w:t>
            </w:r>
          </w:p>
        </w:tc>
        <w:tc>
          <w:tcPr>
            <w:tcW w:w="1385" w:type="dxa"/>
            <w:tcBorders>
              <w:top w:val="nil"/>
              <w:left w:val="nil"/>
              <w:bottom w:val="single" w:sz="4" w:space="0" w:color="auto"/>
              <w:right w:val="single" w:sz="4" w:space="0" w:color="auto"/>
            </w:tcBorders>
          </w:tcPr>
          <w:p w:rsidR="001A2871" w:rsidRPr="00A34388" w:rsidRDefault="001A2871" w:rsidP="00853209">
            <w:pPr>
              <w:ind w:left="179"/>
              <w:jc w:val="center"/>
              <w:rPr>
                <w:rFonts w:cs="Arial"/>
                <w:color w:val="008000"/>
                <w:sz w:val="22"/>
                <w:szCs w:val="22"/>
                <w:lang w:val="es-ES_tradnl"/>
              </w:rPr>
            </w:pPr>
            <w:r w:rsidRPr="00A34388">
              <w:rPr>
                <w:rFonts w:cs="Arial"/>
                <w:color w:val="008000"/>
                <w:sz w:val="22"/>
                <w:szCs w:val="22"/>
                <w:lang w:val="es-ES_tradnl"/>
              </w:rPr>
              <w:sym w:font="Wingdings" w:char="F06C"/>
            </w:r>
          </w:p>
        </w:tc>
      </w:tr>
    </w:tbl>
    <w:p w:rsidR="001A2871" w:rsidRPr="00A34388" w:rsidRDefault="001A2871" w:rsidP="001A2871">
      <w:pPr>
        <w:tabs>
          <w:tab w:val="left" w:pos="0"/>
        </w:tabs>
        <w:rPr>
          <w:rFonts w:cs="Arial"/>
          <w:i/>
          <w:sz w:val="22"/>
          <w:szCs w:val="22"/>
          <w:lang w:val="es-ES_tradnl"/>
        </w:rPr>
      </w:pPr>
    </w:p>
    <w:p w:rsidR="001A2871" w:rsidRPr="00A34388" w:rsidRDefault="001A2871" w:rsidP="001A2871">
      <w:pPr>
        <w:tabs>
          <w:tab w:val="left" w:pos="0"/>
        </w:tabs>
        <w:rPr>
          <w:rFonts w:cs="Arial"/>
          <w:iCs/>
          <w:lang w:val="es-ES_tradnl"/>
        </w:rPr>
      </w:pPr>
    </w:p>
    <w:p w:rsidR="001A2871" w:rsidRPr="00A34388" w:rsidRDefault="001A2871" w:rsidP="001A2871">
      <w:pPr>
        <w:rPr>
          <w:rFonts w:ascii="Arial Bold" w:eastAsiaTheme="majorEastAsia" w:hAnsi="Arial Bold" w:cstheme="majorBidi" w:hint="eastAsia"/>
          <w:b/>
          <w:bCs/>
          <w:sz w:val="22"/>
          <w:lang w:val="es-ES_tradnl"/>
        </w:rPr>
      </w:pPr>
      <w:r w:rsidRPr="00A34388">
        <w:rPr>
          <w:lang w:val="es-ES_tradnl"/>
        </w:rPr>
        <w:br w:type="page"/>
      </w:r>
    </w:p>
    <w:p w:rsidR="00F90BD6" w:rsidRPr="003934C8" w:rsidRDefault="00F90BD6" w:rsidP="00F90BD6">
      <w:pPr>
        <w:pStyle w:val="Heading3"/>
        <w:rPr>
          <w:rFonts w:hint="eastAsia"/>
          <w:lang w:val="es-ES"/>
        </w:rPr>
      </w:pPr>
      <w:bookmarkStart w:id="64" w:name="_Toc394319071"/>
      <w:bookmarkStart w:id="65" w:name="_Toc395279675"/>
      <w:r w:rsidRPr="003934C8">
        <w:rPr>
          <w:lang w:val="es-ES"/>
        </w:rPr>
        <w:lastRenderedPageBreak/>
        <w:t>Programa 17</w:t>
      </w:r>
      <w:r w:rsidRPr="003934C8">
        <w:rPr>
          <w:lang w:val="es-ES"/>
        </w:rPr>
        <w:tab/>
        <w:t>Fomentar el respeto por la P.I.</w:t>
      </w:r>
      <w:bookmarkEnd w:id="64"/>
      <w:bookmarkEnd w:id="65"/>
    </w:p>
    <w:p w:rsidR="00F90BD6" w:rsidRPr="007F1DFC" w:rsidRDefault="00F90BD6" w:rsidP="00F90BD6">
      <w:pPr>
        <w:rPr>
          <w:b/>
          <w:sz w:val="22"/>
          <w:szCs w:val="22"/>
          <w:lang w:val="es-ES_tradnl"/>
        </w:rPr>
      </w:pPr>
    </w:p>
    <w:p w:rsidR="00F90BD6" w:rsidRPr="007F1DFC" w:rsidRDefault="00F90BD6" w:rsidP="00F90BD6">
      <w:pPr>
        <w:rPr>
          <w:b/>
          <w:sz w:val="22"/>
          <w:szCs w:val="22"/>
          <w:lang w:val="es-ES_tradnl"/>
        </w:rPr>
      </w:pPr>
      <w:bookmarkStart w:id="66" w:name="_Toc394319072"/>
      <w:bookmarkStart w:id="67" w:name="_Toc394914517"/>
      <w:r w:rsidRPr="007F1DFC">
        <w:rPr>
          <w:b/>
          <w:sz w:val="22"/>
          <w:szCs w:val="22"/>
          <w:lang w:val="es-ES_tradnl"/>
        </w:rPr>
        <w:t>Director del Programa</w:t>
      </w:r>
      <w:r>
        <w:rPr>
          <w:b/>
          <w:sz w:val="22"/>
          <w:szCs w:val="22"/>
          <w:lang w:val="es-ES_tradnl"/>
        </w:rPr>
        <w:tab/>
      </w:r>
      <w:r w:rsidRPr="007F1DFC">
        <w:rPr>
          <w:b/>
          <w:sz w:val="22"/>
          <w:szCs w:val="22"/>
          <w:lang w:val="es-ES_tradnl"/>
        </w:rPr>
        <w:t>Sr. J. C. Wichard</w:t>
      </w:r>
      <w:bookmarkEnd w:id="66"/>
      <w:bookmarkEnd w:id="67"/>
    </w:p>
    <w:p w:rsidR="001A2871" w:rsidRPr="00A34388" w:rsidRDefault="001A2871" w:rsidP="001A2871">
      <w:pPr>
        <w:ind w:left="2268" w:hanging="2268"/>
        <w:rPr>
          <w:rFonts w:cs="Arial"/>
          <w:sz w:val="22"/>
          <w:szCs w:val="22"/>
          <w:lang w:val="es-ES_tradnl"/>
        </w:rPr>
      </w:pPr>
    </w:p>
    <w:p w:rsidR="001A2871" w:rsidRPr="00A34388" w:rsidRDefault="001A2871" w:rsidP="001A2871">
      <w:pPr>
        <w:ind w:left="2268" w:hanging="2268"/>
        <w:rPr>
          <w:rFonts w:cs="Arial"/>
          <w:bCs/>
          <w:sz w:val="22"/>
          <w:szCs w:val="22"/>
          <w:lang w:val="es-ES_tradnl"/>
        </w:rPr>
      </w:pPr>
    </w:p>
    <w:p w:rsidR="001A2871" w:rsidRPr="00A34388" w:rsidRDefault="003E3F45" w:rsidP="001A2871">
      <w:pPr>
        <w:ind w:left="2268" w:hanging="2268"/>
        <w:rPr>
          <w:rFonts w:cs="Arial"/>
          <w:sz w:val="22"/>
          <w:szCs w:val="22"/>
          <w:lang w:val="es-ES_tradnl"/>
        </w:rPr>
      </w:pPr>
      <w:r>
        <w:rPr>
          <w:sz w:val="22"/>
          <w:lang w:val="es-ES_tradnl"/>
        </w:rPr>
        <w:t>AVANCES LOGRADOS EN EL BIENIO 2012/13</w:t>
      </w:r>
    </w:p>
    <w:p w:rsidR="001A2871" w:rsidRPr="00A34388" w:rsidRDefault="001A2871" w:rsidP="001A2871">
      <w:pPr>
        <w:ind w:left="2268" w:hanging="2268"/>
        <w:jc w:val="both"/>
        <w:rPr>
          <w:rFonts w:cs="Arial"/>
          <w:sz w:val="22"/>
          <w:szCs w:val="22"/>
          <w:lang w:val="es-ES_tradnl"/>
        </w:rPr>
      </w:pPr>
    </w:p>
    <w:p w:rsidR="001A2871" w:rsidRPr="00A34388" w:rsidRDefault="001A2871" w:rsidP="001A2871">
      <w:pPr>
        <w:tabs>
          <w:tab w:val="left" w:pos="709"/>
        </w:tabs>
        <w:jc w:val="both"/>
        <w:rPr>
          <w:rFonts w:cs="Arial"/>
          <w:bCs/>
          <w:color w:val="000000"/>
          <w:szCs w:val="20"/>
          <w:lang w:val="es-ES_tradnl"/>
        </w:rPr>
      </w:pPr>
      <w:r w:rsidRPr="00A34388">
        <w:rPr>
          <w:color w:val="000000"/>
          <w:lang w:val="es-ES_tradnl"/>
        </w:rPr>
        <w:t>17</w:t>
      </w:r>
      <w:r w:rsidR="00177A32">
        <w:rPr>
          <w:color w:val="000000"/>
          <w:lang w:val="es-ES_tradnl"/>
        </w:rPr>
        <w:t>.</w:t>
      </w:r>
      <w:r w:rsidRPr="00A34388">
        <w:rPr>
          <w:color w:val="000000"/>
          <w:lang w:val="es-ES_tradnl"/>
        </w:rPr>
        <w:t>1.</w:t>
      </w:r>
      <w:r w:rsidRPr="00A34388">
        <w:rPr>
          <w:lang w:val="es-ES_tradnl"/>
        </w:rPr>
        <w:tab/>
      </w:r>
      <w:r w:rsidRPr="00A34388">
        <w:rPr>
          <w:color w:val="000000"/>
          <w:lang w:val="es-ES_tradnl"/>
        </w:rPr>
        <w:t xml:space="preserve">Mediante un proceso de consulta, el programa 17 reforzó la confianza de los Estados miembros y observadores del Comité Asesor sobre Observancia (ACE) como foro propicio para mantener un diálogo constructivo sobre políticas e intercambiar experiencias en el ámbito del </w:t>
      </w:r>
      <w:r w:rsidR="006E72E8">
        <w:rPr>
          <w:color w:val="000000"/>
          <w:lang w:val="es-ES_tradnl"/>
        </w:rPr>
        <w:t>fomento</w:t>
      </w:r>
      <w:r w:rsidRPr="00A34388">
        <w:rPr>
          <w:color w:val="000000"/>
          <w:lang w:val="es-ES_tradnl"/>
        </w:rPr>
        <w:t xml:space="preserve"> del respeto por la propiedad intelectual.  En su octava sesión, el ACE trabajó </w:t>
      </w:r>
      <w:r w:rsidR="00B85165" w:rsidRPr="00A34388">
        <w:rPr>
          <w:color w:val="000000"/>
          <w:lang w:val="es-ES_tradnl"/>
        </w:rPr>
        <w:t>en favor de la identificación de las causas</w:t>
      </w:r>
      <w:r w:rsidRPr="00A34388">
        <w:rPr>
          <w:color w:val="000000"/>
          <w:lang w:val="es-ES_tradnl"/>
        </w:rPr>
        <w:t>, incluidas las variables socioeconómicas, de la</w:t>
      </w:r>
      <w:r w:rsidR="00B85165" w:rsidRPr="00A34388">
        <w:rPr>
          <w:color w:val="000000"/>
          <w:lang w:val="es-ES_tradnl"/>
        </w:rPr>
        <w:t>s</w:t>
      </w:r>
      <w:r w:rsidRPr="00A34388">
        <w:rPr>
          <w:color w:val="000000"/>
          <w:lang w:val="es-ES_tradnl"/>
        </w:rPr>
        <w:t xml:space="preserve"> </w:t>
      </w:r>
      <w:r w:rsidR="00B85165" w:rsidRPr="00A34388">
        <w:rPr>
          <w:color w:val="000000"/>
          <w:lang w:val="es-ES_tradnl"/>
        </w:rPr>
        <w:t xml:space="preserve">contravenciones </w:t>
      </w:r>
      <w:r w:rsidRPr="00A34388">
        <w:rPr>
          <w:color w:val="000000"/>
          <w:lang w:val="es-ES_tradnl"/>
        </w:rPr>
        <w:t>de los derechos de propiedad intelectual</w:t>
      </w:r>
      <w:r w:rsidR="00B85165" w:rsidRPr="00A34388">
        <w:rPr>
          <w:color w:val="000000"/>
          <w:lang w:val="es-ES_tradnl"/>
        </w:rPr>
        <w:t xml:space="preserve">, del desarrollo de métodos </w:t>
      </w:r>
      <w:r w:rsidRPr="00A34388">
        <w:rPr>
          <w:color w:val="000000"/>
          <w:lang w:val="es-ES_tradnl"/>
        </w:rPr>
        <w:t>analític</w:t>
      </w:r>
      <w:r w:rsidR="00B85165" w:rsidRPr="00A34388">
        <w:rPr>
          <w:color w:val="000000"/>
          <w:lang w:val="es-ES_tradnl"/>
        </w:rPr>
        <w:t>o</w:t>
      </w:r>
      <w:r w:rsidRPr="00A34388">
        <w:rPr>
          <w:color w:val="000000"/>
          <w:lang w:val="es-ES_tradnl"/>
        </w:rPr>
        <w:t xml:space="preserve">s para </w:t>
      </w:r>
      <w:r w:rsidR="00B85165" w:rsidRPr="00A34388">
        <w:rPr>
          <w:color w:val="000000"/>
          <w:lang w:val="es-ES_tradnl"/>
        </w:rPr>
        <w:t xml:space="preserve">medir las consecuencias </w:t>
      </w:r>
      <w:r w:rsidRPr="00A34388">
        <w:rPr>
          <w:color w:val="000000"/>
          <w:lang w:val="es-ES_tradnl"/>
        </w:rPr>
        <w:t>de la falsificación y la piratería</w:t>
      </w:r>
      <w:r w:rsidR="00B85165" w:rsidRPr="00A34388">
        <w:rPr>
          <w:color w:val="000000"/>
          <w:lang w:val="es-ES_tradnl"/>
        </w:rPr>
        <w:t xml:space="preserve">, y del análisis de </w:t>
      </w:r>
      <w:r w:rsidRPr="00A34388">
        <w:rPr>
          <w:color w:val="000000"/>
          <w:lang w:val="es-ES_tradnl"/>
        </w:rPr>
        <w:t xml:space="preserve">modelos alternativos para </w:t>
      </w:r>
      <w:r w:rsidR="00B85165" w:rsidRPr="00A34388">
        <w:rPr>
          <w:color w:val="000000"/>
          <w:lang w:val="es-ES_tradnl"/>
        </w:rPr>
        <w:t>hacer frente a este fenómeno</w:t>
      </w:r>
      <w:r w:rsidRPr="00A34388">
        <w:rPr>
          <w:color w:val="000000"/>
          <w:lang w:val="es-ES_tradnl"/>
        </w:rPr>
        <w:t xml:space="preserve">.  Los Estados miembros acordaron </w:t>
      </w:r>
      <w:r w:rsidR="0016160D" w:rsidRPr="00A34388">
        <w:rPr>
          <w:color w:val="000000"/>
          <w:lang w:val="es-ES_tradnl"/>
        </w:rPr>
        <w:t xml:space="preserve">que </w:t>
      </w:r>
      <w:r w:rsidRPr="00A34388">
        <w:rPr>
          <w:color w:val="000000"/>
          <w:lang w:val="es-ES_tradnl"/>
        </w:rPr>
        <w:t xml:space="preserve">el programa de trabajo </w:t>
      </w:r>
      <w:r w:rsidR="00B85165" w:rsidRPr="00A34388">
        <w:rPr>
          <w:color w:val="000000"/>
          <w:lang w:val="es-ES_tradnl"/>
        </w:rPr>
        <w:t xml:space="preserve">de </w:t>
      </w:r>
      <w:r w:rsidRPr="00A34388">
        <w:rPr>
          <w:color w:val="000000"/>
          <w:lang w:val="es-ES_tradnl"/>
        </w:rPr>
        <w:t xml:space="preserve">la novena </w:t>
      </w:r>
      <w:r w:rsidR="009F4808" w:rsidRPr="00A34388">
        <w:rPr>
          <w:color w:val="000000"/>
          <w:lang w:val="es-ES_tradnl"/>
        </w:rPr>
        <w:t xml:space="preserve">sesión del ACE incluiría tanto </w:t>
      </w:r>
      <w:r w:rsidRPr="00A34388">
        <w:rPr>
          <w:color w:val="000000"/>
          <w:lang w:val="es-ES_tradnl"/>
        </w:rPr>
        <w:t xml:space="preserve">i) </w:t>
      </w:r>
      <w:r w:rsidR="0016160D" w:rsidRPr="00A34388">
        <w:rPr>
          <w:color w:val="000000"/>
          <w:lang w:val="es-ES_tradnl"/>
        </w:rPr>
        <w:t xml:space="preserve">prácticas </w:t>
      </w:r>
      <w:r w:rsidRPr="00A34388">
        <w:rPr>
          <w:color w:val="000000"/>
          <w:lang w:val="es-ES_tradnl"/>
        </w:rPr>
        <w:t>alternativ</w:t>
      </w:r>
      <w:r w:rsidR="0016160D" w:rsidRPr="00A34388">
        <w:rPr>
          <w:color w:val="000000"/>
          <w:lang w:val="es-ES_tradnl"/>
        </w:rPr>
        <w:t>a</w:t>
      </w:r>
      <w:r w:rsidRPr="00A34388">
        <w:rPr>
          <w:color w:val="000000"/>
          <w:lang w:val="es-ES_tradnl"/>
        </w:rPr>
        <w:t>s de resolución de conflicto</w:t>
      </w:r>
      <w:r w:rsidR="009F4808" w:rsidRPr="00A34388">
        <w:rPr>
          <w:color w:val="000000"/>
          <w:lang w:val="es-ES_tradnl"/>
        </w:rPr>
        <w:t xml:space="preserve">s en el ámbito de la P.I. como </w:t>
      </w:r>
      <w:r w:rsidRPr="00A34388">
        <w:rPr>
          <w:color w:val="000000"/>
          <w:lang w:val="es-ES_tradnl"/>
        </w:rPr>
        <w:t xml:space="preserve">ii) actuaciones de carácter preventivo y medidas o experiencias exitosas para reforzar la aplicación de las medidas de observancia.  </w:t>
      </w:r>
    </w:p>
    <w:p w:rsidR="001A2871" w:rsidRPr="00A34388" w:rsidRDefault="001A2871" w:rsidP="001A2871">
      <w:pPr>
        <w:tabs>
          <w:tab w:val="left" w:pos="709"/>
        </w:tabs>
        <w:jc w:val="both"/>
        <w:rPr>
          <w:rFonts w:cs="Arial"/>
          <w:bCs/>
          <w:color w:val="000000"/>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17.2.</w:t>
      </w:r>
      <w:r w:rsidRPr="00A34388">
        <w:rPr>
          <w:lang w:val="es-ES_tradnl"/>
        </w:rPr>
        <w:tab/>
        <w:t xml:space="preserve">El programa 17 respondió a la creciente demanda de asistencia técnica por parte de los Estados miembros (países en desarrollo y PMA), incluida la demanda de asistencia legislativa destinada a adoptar o reforzar el marco jurídico a nivel nacional o regional y de este modo cumplir las normas y obligaciones enumeradas en la Parte III del Acuerdo sobre los ADPIC, y asesorar, cuando sea necesario, sobre la arquitectura institucional de la observancia de los derechos de P.I.  </w:t>
      </w:r>
      <w:r w:rsidRPr="00332758">
        <w:rPr>
          <w:lang w:val="es-ES_tradnl"/>
        </w:rPr>
        <w:t xml:space="preserve">Al prestar este tipo de asistencia, el programa 17 hizo hincapié de forma sistemática en las flexibilidades y opciones que contiene la Parte III y, de conformidad con la recomendación 45 de la Agenda para el Desarrollo, insistió en la necesidad de tener en cuenta los aspectos más amplios y orientados a promover el desarrollo al aplicar las disposiciones relativas a la observancia.  </w:t>
      </w:r>
    </w:p>
    <w:p w:rsidR="001A2871" w:rsidRPr="00A34388" w:rsidRDefault="001A2871" w:rsidP="001A2871">
      <w:pPr>
        <w:tabs>
          <w:tab w:val="left" w:pos="709"/>
        </w:tabs>
        <w:autoSpaceDE w:val="0"/>
        <w:autoSpaceDN w:val="0"/>
        <w:adjustRightInd w:val="0"/>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17.3.</w:t>
      </w:r>
      <w:r w:rsidRPr="00A34388">
        <w:rPr>
          <w:lang w:val="es-ES_tradnl"/>
        </w:rPr>
        <w:tab/>
        <w:t xml:space="preserve">Asimismo, se puso en práctica un número creciente de actividades de creación de capacidad en la esfera del </w:t>
      </w:r>
      <w:r w:rsidR="006E72E8">
        <w:rPr>
          <w:lang w:val="es-ES_tradnl"/>
        </w:rPr>
        <w:t>fomento</w:t>
      </w:r>
      <w:r w:rsidRPr="00A34388">
        <w:rPr>
          <w:lang w:val="es-ES_tradnl"/>
        </w:rPr>
        <w:t xml:space="preserve"> del respeto por la P.I., garantizando que el contenido de estas actividades reflejara debidamente las necesidades formuladas y las realidades socioeconómicas de los Estados miembros participantes, así como un adecuado equilibrio entre los derechos privados y el interés público, en consonancia con la recomendación 45 de la Agenda para el Desarrollo. </w:t>
      </w:r>
    </w:p>
    <w:p w:rsidR="001A2871" w:rsidRPr="00A34388" w:rsidRDefault="001A2871" w:rsidP="001A2871">
      <w:pPr>
        <w:tabs>
          <w:tab w:val="left" w:pos="709"/>
        </w:tabs>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17.4.</w:t>
      </w:r>
      <w:r w:rsidRPr="00A34388">
        <w:rPr>
          <w:lang w:val="es-ES_tradnl"/>
        </w:rPr>
        <w:tab/>
        <w:t>En respuesta a la creciente demanda de los Estados miembros, las actividades citadas abarcaron también el área de la educación y la sensibilización pública sobre la P.I. y trataron de fomentar la participación de los consumidores en la construcción de un entendimiento común de los beneficios sociales de la observancia de los derechos de P.I. y la creación de un entorno propicio para el respeto de los derechos de P.I</w:t>
      </w:r>
      <w:r w:rsidR="00537926" w:rsidRPr="00A34388">
        <w:rPr>
          <w:lang w:val="es-ES_tradnl"/>
        </w:rPr>
        <w:t xml:space="preserve">. </w:t>
      </w:r>
      <w:r w:rsidRPr="00A34388">
        <w:rPr>
          <w:color w:val="000000"/>
          <w:lang w:val="es-ES_tradnl"/>
        </w:rPr>
        <w:t xml:space="preserve"> Dichas actividades tenían por fin potenciar la sensibilización del público como medida preventiva complementaria de las actuales actividades de observancia, así como proporcionar a las autoridades nacionales y a los sectores interesados información sobre cómo desarrollar y aplicar estrategias nacionales de sensibilización para </w:t>
      </w:r>
      <w:r w:rsidR="006E72E8">
        <w:rPr>
          <w:color w:val="000000"/>
          <w:lang w:val="es-ES_tradnl"/>
        </w:rPr>
        <w:t>fomentar</w:t>
      </w:r>
      <w:r w:rsidRPr="00A34388">
        <w:rPr>
          <w:color w:val="000000"/>
          <w:lang w:val="es-ES_tradnl"/>
        </w:rPr>
        <w:t xml:space="preserve"> el respeto por la P.I.</w:t>
      </w:r>
      <w:r w:rsidRPr="00A34388">
        <w:rPr>
          <w:lang w:val="es-ES_tradnl"/>
        </w:rPr>
        <w:t xml:space="preserve">  Además, tras la transferencia en 2012 de los premios y otras actividades de divulgación de la OMPI al programa 17, se concedieron unos 240 galardones de la OMPI a estrategias nacionales de divulgación. </w:t>
      </w:r>
    </w:p>
    <w:p w:rsidR="001A2871" w:rsidRPr="00A34388" w:rsidRDefault="001A2871" w:rsidP="001A2871">
      <w:pPr>
        <w:tabs>
          <w:tab w:val="left" w:pos="709"/>
        </w:tabs>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17.5.</w:t>
      </w:r>
      <w:r w:rsidRPr="00A34388">
        <w:rPr>
          <w:lang w:val="es-ES_tradnl"/>
        </w:rPr>
        <w:tab/>
        <w:t xml:space="preserve">La Secretaría proporciona al ACE un exhaustivo informe de sus actividades en el ámbito del </w:t>
      </w:r>
      <w:r w:rsidR="006E72E8">
        <w:rPr>
          <w:lang w:val="es-ES_tradnl"/>
        </w:rPr>
        <w:t>fomento</w:t>
      </w:r>
      <w:r w:rsidRPr="00A34388">
        <w:rPr>
          <w:lang w:val="es-ES_tradnl"/>
        </w:rPr>
        <w:t xml:space="preserve"> del respeto por los derechos de P.I.</w:t>
      </w:r>
    </w:p>
    <w:p w:rsidR="001A2871" w:rsidRPr="00A34388" w:rsidRDefault="001A2871" w:rsidP="001A2871">
      <w:pPr>
        <w:tabs>
          <w:tab w:val="left" w:pos="709"/>
        </w:tabs>
        <w:autoSpaceDE w:val="0"/>
        <w:autoSpaceDN w:val="0"/>
        <w:adjustRightInd w:val="0"/>
        <w:jc w:val="both"/>
        <w:rPr>
          <w:rFonts w:cs="Arial"/>
          <w:bCs/>
          <w:szCs w:val="20"/>
          <w:lang w:val="es-ES_tradnl"/>
        </w:rPr>
      </w:pPr>
    </w:p>
    <w:p w:rsidR="001A2871" w:rsidRPr="00A34388" w:rsidRDefault="001A2871" w:rsidP="001A2871">
      <w:pPr>
        <w:tabs>
          <w:tab w:val="left" w:pos="709"/>
        </w:tabs>
        <w:jc w:val="both"/>
        <w:rPr>
          <w:rFonts w:cs="Arial"/>
          <w:bCs/>
          <w:szCs w:val="20"/>
          <w:lang w:val="es-ES_tradnl"/>
        </w:rPr>
      </w:pPr>
      <w:r w:rsidRPr="00A34388">
        <w:rPr>
          <w:lang w:val="es-ES_tradnl"/>
        </w:rPr>
        <w:t>17.6.</w:t>
      </w:r>
      <w:r w:rsidRPr="00A34388">
        <w:rPr>
          <w:lang w:val="es-ES_tradnl"/>
        </w:rPr>
        <w:tab/>
        <w:t xml:space="preserve">Por último, el programa 17 siguió cooperando y ejerciendo labores de coordinación con organizaciones intergubernamentales y no gubernamentales, asociaciones de sectores interesados e instituciones académicas, con el fin de integrar los aspectos relacionados con el desarrollo en las líneas de trabajo de las organizaciones colaboradoras.  El enfoque del programa para alcanzar el equilibrio en todas sus actividades, reflejando los intereses tanto de los titulares privados de derechos como de la sociedad civil, recibió el apoyo de organizaciones colaboradoras, como, por ejemplo, en el séptimo Congreso Mundial sobre la Lucha contra la Falsificación y la Piratería que tuvo lugar en Estambul (abril de 2013). </w:t>
      </w:r>
    </w:p>
    <w:p w:rsidR="001A2871" w:rsidRPr="00A34388" w:rsidRDefault="001A2871" w:rsidP="001A2871">
      <w:pPr>
        <w:jc w:val="both"/>
        <w:rPr>
          <w:rFonts w:cs="Arial"/>
          <w:bCs/>
          <w:sz w:val="22"/>
          <w:szCs w:val="22"/>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ind w:left="2268" w:hanging="2268"/>
        <w:jc w:val="both"/>
        <w:rPr>
          <w:rFonts w:cs="Arial"/>
          <w:bCs/>
          <w:sz w:val="22"/>
          <w:szCs w:val="22"/>
          <w:lang w:val="es-ES_tradnl"/>
        </w:rPr>
      </w:pPr>
      <w:r w:rsidRPr="00332758">
        <w:rPr>
          <w:sz w:val="22"/>
          <w:lang w:val="es-ES_tradnl"/>
        </w:rPr>
        <w:lastRenderedPageBreak/>
        <w:t>APLICACIÓN DE LA AGENDA PARA EL DESARROLLO</w:t>
      </w:r>
      <w:r w:rsidRPr="00A34388">
        <w:rPr>
          <w:sz w:val="22"/>
          <w:lang w:val="es-ES_tradnl"/>
        </w:rPr>
        <w:t xml:space="preserve"> </w:t>
      </w:r>
    </w:p>
    <w:p w:rsidR="001A2871" w:rsidRPr="00A34388" w:rsidRDefault="001A2871" w:rsidP="001A2871">
      <w:pPr>
        <w:ind w:left="2268" w:hanging="2268"/>
        <w:jc w:val="both"/>
        <w:rPr>
          <w:rFonts w:cs="Arial"/>
          <w:b/>
          <w:bCs/>
          <w:color w:val="000000"/>
          <w:sz w:val="22"/>
          <w:szCs w:val="22"/>
          <w:lang w:val="es-ES_tradnl"/>
        </w:rPr>
      </w:pPr>
    </w:p>
    <w:p w:rsidR="001A2871" w:rsidRPr="00A34388" w:rsidRDefault="001A2871" w:rsidP="001A2871">
      <w:pPr>
        <w:tabs>
          <w:tab w:val="left" w:pos="709"/>
        </w:tabs>
        <w:jc w:val="both"/>
        <w:rPr>
          <w:rFonts w:cs="Arial"/>
          <w:bCs/>
          <w:szCs w:val="20"/>
          <w:lang w:val="es-ES_tradnl"/>
        </w:rPr>
      </w:pPr>
      <w:r w:rsidRPr="00332758">
        <w:rPr>
          <w:lang w:val="es-ES_tradnl"/>
        </w:rPr>
        <w:t>17.7.</w:t>
      </w:r>
      <w:r w:rsidRPr="00A34388">
        <w:rPr>
          <w:lang w:val="es-ES_tradnl"/>
        </w:rPr>
        <w:tab/>
      </w:r>
      <w:r w:rsidRPr="00332758">
        <w:rPr>
          <w:lang w:val="es-ES_tradnl"/>
        </w:rPr>
        <w:t>El diseño, la planificación y la ejecución de las actividades del programa 17 se basaron en las recomendaciones pertinentes de la Agenda para el Desarrollo, en particular las recomendaciones 1 y 45. </w:t>
      </w:r>
      <w:r w:rsidRPr="00A34388">
        <w:rPr>
          <w:lang w:val="es-ES_tradnl"/>
        </w:rPr>
        <w:t xml:space="preserve">  </w:t>
      </w:r>
    </w:p>
    <w:p w:rsidR="001A2871" w:rsidRPr="00A34388" w:rsidRDefault="001A2871" w:rsidP="001A2871">
      <w:pPr>
        <w:jc w:val="both"/>
        <w:rPr>
          <w:rFonts w:cs="Arial"/>
          <w:bCs/>
          <w:szCs w:val="20"/>
          <w:lang w:val="es-ES_tradnl"/>
        </w:rPr>
      </w:pPr>
    </w:p>
    <w:p w:rsidR="001A2871" w:rsidRPr="00332758" w:rsidRDefault="001A2871" w:rsidP="001A2871">
      <w:pPr>
        <w:tabs>
          <w:tab w:val="left" w:pos="709"/>
        </w:tabs>
        <w:jc w:val="both"/>
        <w:rPr>
          <w:rFonts w:cs="Arial"/>
          <w:bCs/>
          <w:szCs w:val="20"/>
          <w:lang w:val="es-ES_tradnl"/>
        </w:rPr>
      </w:pPr>
      <w:r w:rsidRPr="00332758">
        <w:rPr>
          <w:lang w:val="es-ES_tradnl"/>
        </w:rPr>
        <w:t>17.8.</w:t>
      </w:r>
      <w:r w:rsidRPr="00A34388">
        <w:rPr>
          <w:lang w:val="es-ES_tradnl"/>
        </w:rPr>
        <w:tab/>
      </w:r>
      <w:r w:rsidRPr="00332758">
        <w:rPr>
          <w:lang w:val="es-ES_tradnl"/>
        </w:rPr>
        <w:t>Las actividades del programa en materia de asistencia técnica, creación de capacidad y asistencia legislativa se orientaron principalmente hacia el desarrollo, la demanda, la neutralidad y la transparencia, de conformidad con las recomendaciones arriba señaladas y las recomendaciones 6, 12, 13, y 14.  Por otra parte, el programa de trabajo acordado por el ACE en su octava sesión se basó en la recomendación 45 de la Agenda para el Desarrollo.</w:t>
      </w:r>
    </w:p>
    <w:p w:rsidR="001A2871" w:rsidRPr="00A34388" w:rsidRDefault="001A2871" w:rsidP="001A2871">
      <w:pPr>
        <w:rPr>
          <w:rFonts w:eastAsia="MS Mincho" w:cs="Arial"/>
          <w:sz w:val="22"/>
          <w:szCs w:val="22"/>
          <w:lang w:val="es-ES_tradnl"/>
        </w:rPr>
      </w:pPr>
    </w:p>
    <w:p w:rsidR="001A2871" w:rsidRPr="00A34388" w:rsidRDefault="001A2871" w:rsidP="001A2871">
      <w:pPr>
        <w:ind w:left="2268" w:hanging="2268"/>
        <w:rPr>
          <w:rFonts w:cs="Arial"/>
          <w:sz w:val="22"/>
          <w:szCs w:val="22"/>
          <w:lang w:val="es-ES_tradnl"/>
        </w:rPr>
      </w:pPr>
      <w:r w:rsidRPr="00332758">
        <w:rPr>
          <w:sz w:val="22"/>
          <w:lang w:val="es-ES_tradnl"/>
        </w:rPr>
        <w:t>DATOS SOBRE EL RENDIMIENTO</w:t>
      </w:r>
    </w:p>
    <w:p w:rsidR="001A2871" w:rsidRPr="00A34388" w:rsidRDefault="001A2871" w:rsidP="001A2871">
      <w:pPr>
        <w:ind w:left="2268" w:hanging="2268"/>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6"/>
        <w:gridCol w:w="1495"/>
        <w:gridCol w:w="1709"/>
        <w:gridCol w:w="3251"/>
        <w:gridCol w:w="1276"/>
      </w:tblGrid>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Avances en el diálogo internacional sobre políticas entre los Estados miembros de la OMPI para fomentar el respeto por la P.I. sobre la base de la recomendación 45 de la Agenda de la OMPI para el Desarrollo.</w:t>
            </w:r>
          </w:p>
        </w:tc>
      </w:tr>
      <w:tr w:rsidR="001A2871" w:rsidRPr="00A34388" w:rsidTr="00853209">
        <w:trPr>
          <w:cantSplit/>
        </w:trPr>
        <w:tc>
          <w:tcPr>
            <w:tcW w:w="8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79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13"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37"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Acuerdo constante entre los Estados miembros sobre la labor sustantiva del Comité Asesor de la OMPI sobre Observancia (ACE) en el bienio, incorporando elementos orientados al desarrollo.</w:t>
            </w:r>
          </w:p>
        </w:tc>
        <w:tc>
          <w:tcPr>
            <w:tcW w:w="79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Programa de trabajo actual.</w:t>
            </w:r>
          </w:p>
        </w:tc>
        <w:tc>
          <w:tcPr>
            <w:tcW w:w="913" w:type="pct"/>
            <w:tcBorders>
              <w:bottom w:val="single" w:sz="4" w:space="0" w:color="auto"/>
            </w:tcBorders>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Acuerdo sobre</w:t>
            </w:r>
          </w:p>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programas de trabajo</w:t>
            </w:r>
          </w:p>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específicos para las sesiones octava y novena</w:t>
            </w:r>
          </w:p>
          <w:p w:rsidR="001A2871" w:rsidRPr="00A34388" w:rsidRDefault="001A2871" w:rsidP="00853209">
            <w:pPr>
              <w:rPr>
                <w:rFonts w:cs="Arial"/>
                <w:i/>
                <w:sz w:val="16"/>
                <w:szCs w:val="16"/>
                <w:lang w:val="es-ES_tradnl"/>
              </w:rPr>
            </w:pPr>
            <w:r w:rsidRPr="00A34388">
              <w:rPr>
                <w:sz w:val="16"/>
                <w:lang w:val="es-ES_tradnl"/>
              </w:rPr>
              <w:t xml:space="preserve">del ACE </w:t>
            </w:r>
          </w:p>
        </w:tc>
        <w:tc>
          <w:tcPr>
            <w:tcW w:w="1737"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Durante la octava sesión del ACE, celebrada en diciembre de 2012, se presentaron ocho documentos basados en la meta estratégica VI.  Durante esta sesión, los Estados miembros alcanzaron un acuerdo sobre el siguiente programa de trabajo para la novena sesión:  </w:t>
            </w:r>
            <w:r w:rsidR="009F4808" w:rsidRPr="00A34388">
              <w:rPr>
                <w:sz w:val="16"/>
                <w:lang w:val="es-ES_tradnl"/>
              </w:rPr>
              <w:t>i)</w:t>
            </w:r>
            <w:r w:rsidRPr="00A34388">
              <w:rPr>
                <w:sz w:val="16"/>
                <w:lang w:val="es-ES_tradnl"/>
              </w:rPr>
              <w:t xml:space="preserve"> práctica y funcionamiento de los sistemas de solución extrajudicial de controversias en los ámbitos de la P.I.;  y </w:t>
            </w:r>
            <w:r w:rsidR="009F4808" w:rsidRPr="00A34388">
              <w:rPr>
                <w:sz w:val="16"/>
                <w:lang w:val="es-ES_tradnl"/>
              </w:rPr>
              <w:t>ii)</w:t>
            </w:r>
            <w:r w:rsidRPr="00A34388">
              <w:rPr>
                <w:sz w:val="16"/>
                <w:lang w:val="es-ES_tradnl"/>
              </w:rPr>
              <w:t xml:space="preserve"> actuaciones de carácter preventivo y medidas preventivas y experiencias eficaces como complemento de las medidas de observancia en curso para reducir el mercado de productos falsificados o pirateados.  (WIPO/ACE/8/12).</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A34388" w:rsidRDefault="001A2871" w:rsidP="00853209">
            <w:pPr>
              <w:keepNext/>
              <w:keepLines/>
              <w:jc w:val="center"/>
              <w:rPr>
                <w:rFonts w:cs="Arial"/>
                <w:b/>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452" w:hanging="1452"/>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Marcos de P.I. adaptados y equilibrados en el ámbito legislativo, reglamentario y de política.</w:t>
            </w:r>
          </w:p>
        </w:tc>
      </w:tr>
      <w:tr w:rsidR="001A2871" w:rsidRPr="00A34388" w:rsidTr="00853209">
        <w:trPr>
          <w:cantSplit/>
        </w:trPr>
        <w:tc>
          <w:tcPr>
            <w:tcW w:w="8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79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13"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37"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han recibido asistencia técnica sobre marcos legislativos nuevos o actualizados de observancia de los derechos en los que se tienen en cuenta las flexibilidades previstas en la Parte III del Acuerdo sobre los ADPIC.</w:t>
            </w:r>
          </w:p>
        </w:tc>
        <w:tc>
          <w:tcPr>
            <w:tcW w:w="799" w:type="pct"/>
            <w:tcBorders>
              <w:bottom w:val="single" w:sz="4" w:space="0" w:color="auto"/>
            </w:tcBorders>
            <w:shd w:val="clear" w:color="auto" w:fill="auto"/>
          </w:tcPr>
          <w:p w:rsidR="001A2871" w:rsidRPr="009965E1" w:rsidRDefault="001A2871" w:rsidP="00853209">
            <w:pPr>
              <w:rPr>
                <w:rFonts w:cs="Arial"/>
                <w:i/>
                <w:color w:val="002060"/>
                <w:sz w:val="16"/>
                <w:szCs w:val="16"/>
                <w:lang w:val="es-ES_tradnl"/>
              </w:rPr>
            </w:pPr>
            <w:r w:rsidRPr="009965E1">
              <w:rPr>
                <w:i/>
                <w:color w:val="002060"/>
                <w:sz w:val="16"/>
                <w:lang w:val="es-ES_tradnl"/>
              </w:rPr>
              <w:t xml:space="preserve">Referencia actualizada a fines de 2011:  </w:t>
            </w:r>
          </w:p>
          <w:p w:rsidR="001A2871" w:rsidRPr="009965E1" w:rsidRDefault="001A2871" w:rsidP="00853209">
            <w:pPr>
              <w:rPr>
                <w:rFonts w:cs="Arial"/>
                <w:color w:val="002060"/>
                <w:sz w:val="16"/>
                <w:szCs w:val="16"/>
                <w:lang w:val="es-ES_tradnl"/>
              </w:rPr>
            </w:pPr>
            <w:r w:rsidRPr="009965E1">
              <w:rPr>
                <w:color w:val="002060"/>
                <w:sz w:val="16"/>
                <w:lang w:val="es-ES_tradnl"/>
              </w:rPr>
              <w:t>Un grupo regional (África) y dos países (en 2010/11)</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Un grupo regional (África)</w:t>
            </w:r>
            <w:r w:rsidRPr="00A34388">
              <w:rPr>
                <w:rFonts w:cs="Arial"/>
                <w:sz w:val="16"/>
                <w:szCs w:val="16"/>
                <w:lang w:val="es-ES_tradnl"/>
              </w:rPr>
              <w:br/>
            </w:r>
            <w:r w:rsidRPr="00A34388">
              <w:rPr>
                <w:sz w:val="16"/>
                <w:lang w:val="es-ES_tradnl"/>
              </w:rPr>
              <w:t>Un país</w:t>
            </w:r>
            <w:r w:rsidRPr="00A34388">
              <w:rPr>
                <w:rFonts w:cs="Arial"/>
                <w:sz w:val="16"/>
                <w:szCs w:val="16"/>
                <w:lang w:val="es-ES_tradnl"/>
              </w:rPr>
              <w:br/>
            </w:r>
            <w:r w:rsidRPr="00A34388">
              <w:rPr>
                <w:sz w:val="16"/>
                <w:lang w:val="es-ES_tradnl"/>
              </w:rPr>
              <w:t>(Asia)</w:t>
            </w:r>
          </w:p>
          <w:p w:rsidR="001A2871" w:rsidRPr="00A34388" w:rsidRDefault="001A2871" w:rsidP="00853209">
            <w:pPr>
              <w:rPr>
                <w:rFonts w:cs="Arial"/>
                <w:sz w:val="16"/>
                <w:szCs w:val="16"/>
                <w:lang w:val="es-ES_tradnl"/>
              </w:rPr>
            </w:pPr>
          </w:p>
        </w:tc>
        <w:tc>
          <w:tcPr>
            <w:tcW w:w="913" w:type="pct"/>
            <w:tcBorders>
              <w:bottom w:val="single" w:sz="4" w:space="0" w:color="auto"/>
            </w:tcBorders>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332758">
              <w:rPr>
                <w:sz w:val="16"/>
                <w:lang w:val="es-ES_tradnl"/>
              </w:rPr>
              <w:t>Cuatro países</w:t>
            </w:r>
          </w:p>
          <w:p w:rsidR="001A2871" w:rsidRPr="00A34388" w:rsidRDefault="001A2871" w:rsidP="00853209">
            <w:pPr>
              <w:rPr>
                <w:rFonts w:cs="Arial"/>
                <w:i/>
                <w:sz w:val="16"/>
                <w:szCs w:val="16"/>
                <w:lang w:val="es-ES_tradnl"/>
              </w:rPr>
            </w:pPr>
            <w:r w:rsidRPr="00A34388">
              <w:rPr>
                <w:sz w:val="16"/>
                <w:lang w:val="es-ES_tradnl"/>
              </w:rPr>
              <w:t>(en 2012/13).</w:t>
            </w:r>
          </w:p>
        </w:tc>
        <w:tc>
          <w:tcPr>
            <w:tcW w:w="1737" w:type="pct"/>
            <w:tcBorders>
              <w:bottom w:val="single" w:sz="4" w:space="0" w:color="auto"/>
            </w:tcBorders>
            <w:shd w:val="clear" w:color="auto" w:fill="FFFFFF"/>
            <w:tcMar>
              <w:top w:w="110" w:type="dxa"/>
            </w:tcMar>
          </w:tcPr>
          <w:p w:rsidR="001A2871" w:rsidRPr="00A34388" w:rsidRDefault="009F4808" w:rsidP="00853209">
            <w:pPr>
              <w:pStyle w:val="ListParagraph"/>
              <w:tabs>
                <w:tab w:val="left" w:pos="307"/>
              </w:tabs>
              <w:ind w:left="307" w:hanging="283"/>
              <w:rPr>
                <w:rFonts w:cs="Arial"/>
                <w:sz w:val="16"/>
                <w:szCs w:val="16"/>
                <w:lang w:val="es-ES_tradnl"/>
              </w:rPr>
            </w:pPr>
            <w:r w:rsidRPr="00A34388">
              <w:rPr>
                <w:sz w:val="16"/>
                <w:lang w:val="es-ES_tradnl"/>
              </w:rPr>
              <w:t>i)</w:t>
            </w:r>
            <w:r w:rsidR="001A2871" w:rsidRPr="00A34388">
              <w:rPr>
                <w:lang w:val="es-ES_tradnl"/>
              </w:rPr>
              <w:tab/>
            </w:r>
            <w:r w:rsidR="001A2871" w:rsidRPr="00A34388">
              <w:rPr>
                <w:sz w:val="16"/>
                <w:lang w:val="es-ES_tradnl"/>
              </w:rPr>
              <w:t xml:space="preserve">Se proporcionó asesoramiento legislativo a un grupo regional (África) y nueve países </w:t>
            </w:r>
            <w:r w:rsidR="00D45267" w:rsidRPr="00A34388">
              <w:rPr>
                <w:sz w:val="16"/>
                <w:lang w:val="es-ES_tradnl"/>
              </w:rPr>
              <w:t xml:space="preserve">- </w:t>
            </w:r>
            <w:r w:rsidR="001A2871" w:rsidRPr="00A34388">
              <w:rPr>
                <w:sz w:val="16"/>
                <w:lang w:val="es-ES_tradnl"/>
              </w:rPr>
              <w:t>África (3), Asia y el Pacífico (5), América Latina y el Caribe (1);</w:t>
            </w:r>
          </w:p>
          <w:p w:rsidR="001A2871" w:rsidRPr="00A34388" w:rsidRDefault="009F4808" w:rsidP="00853209">
            <w:pPr>
              <w:pStyle w:val="ListParagraph"/>
              <w:tabs>
                <w:tab w:val="left" w:pos="307"/>
              </w:tabs>
              <w:ind w:left="307" w:hanging="283"/>
              <w:rPr>
                <w:rFonts w:cs="Arial"/>
                <w:sz w:val="16"/>
                <w:szCs w:val="16"/>
                <w:lang w:val="es-ES_tradnl"/>
              </w:rPr>
            </w:pPr>
            <w:r w:rsidRPr="00A34388">
              <w:rPr>
                <w:sz w:val="16"/>
                <w:lang w:val="es-ES_tradnl"/>
              </w:rPr>
              <w:t>ii)</w:t>
            </w:r>
            <w:r w:rsidR="001A2871" w:rsidRPr="00A34388">
              <w:rPr>
                <w:lang w:val="es-ES_tradnl"/>
              </w:rPr>
              <w:tab/>
            </w:r>
            <w:r w:rsidR="001A2871" w:rsidRPr="00A34388">
              <w:rPr>
                <w:sz w:val="16"/>
                <w:lang w:val="es-ES_tradnl"/>
              </w:rPr>
              <w:t>Se llevaron a cabo misiones de diagnóstico en dos países - África (1) y Asia y el Pacífico (1);</w:t>
            </w:r>
          </w:p>
          <w:p w:rsidR="001A2871" w:rsidRPr="00A34388" w:rsidRDefault="009F4808" w:rsidP="00853209">
            <w:pPr>
              <w:pStyle w:val="ListParagraph"/>
              <w:tabs>
                <w:tab w:val="left" w:pos="307"/>
              </w:tabs>
              <w:ind w:left="307" w:hanging="283"/>
              <w:rPr>
                <w:rFonts w:cs="Arial"/>
                <w:sz w:val="16"/>
                <w:szCs w:val="16"/>
                <w:lang w:val="es-ES_tradnl"/>
              </w:rPr>
            </w:pPr>
            <w:r w:rsidRPr="00A34388">
              <w:rPr>
                <w:sz w:val="16"/>
                <w:lang w:val="es-ES_tradnl"/>
              </w:rPr>
              <w:t>iii)</w:t>
            </w:r>
            <w:r w:rsidR="001A2871" w:rsidRPr="00A34388">
              <w:rPr>
                <w:lang w:val="es-ES_tradnl"/>
              </w:rPr>
              <w:tab/>
            </w:r>
            <w:r w:rsidR="001A2871" w:rsidRPr="00A34388">
              <w:rPr>
                <w:sz w:val="16"/>
                <w:lang w:val="es-ES_tradnl"/>
              </w:rPr>
              <w:t xml:space="preserve">Se invitó a Ginebra a expertos jurídicos de cuatro Estados miembros </w:t>
            </w:r>
            <w:r w:rsidR="00D45267" w:rsidRPr="00A34388">
              <w:rPr>
                <w:sz w:val="16"/>
                <w:lang w:val="es-ES_tradnl"/>
              </w:rPr>
              <w:t xml:space="preserve">- </w:t>
            </w:r>
            <w:r w:rsidR="001A2871" w:rsidRPr="00A34388">
              <w:rPr>
                <w:sz w:val="16"/>
                <w:lang w:val="es-ES_tradnl"/>
              </w:rPr>
              <w:t xml:space="preserve">África (2) y Asia y el Pacífico (2). </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957F9C">
            <w:pPr>
              <w:keepNext/>
              <w:keepLines/>
              <w:tabs>
                <w:tab w:val="left" w:pos="1452"/>
              </w:tabs>
              <w:spacing w:before="120" w:after="120"/>
              <w:ind w:left="1701" w:hanging="1701"/>
              <w:rPr>
                <w:rFonts w:cs="Arial"/>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1A2871" w:rsidRPr="00A34388" w:rsidTr="00853209">
        <w:trPr>
          <w:cantSplit/>
        </w:trPr>
        <w:tc>
          <w:tcPr>
            <w:tcW w:w="869" w:type="pct"/>
            <w:tcBorders>
              <w:top w:val="single" w:sz="4" w:space="0" w:color="auto"/>
            </w:tcBorders>
            <w:shd w:val="clear" w:color="auto" w:fill="auto"/>
            <w:vAlign w:val="center"/>
          </w:tcPr>
          <w:p w:rsidR="001A2871" w:rsidRPr="00A34388" w:rsidRDefault="001A2871" w:rsidP="00957F9C">
            <w:pPr>
              <w:keepNext/>
              <w:rPr>
                <w:rFonts w:cs="Arial"/>
                <w:color w:val="808080"/>
                <w:sz w:val="16"/>
                <w:szCs w:val="16"/>
                <w:lang w:val="es-ES_tradnl"/>
              </w:rPr>
            </w:pPr>
            <w:r w:rsidRPr="00332758">
              <w:rPr>
                <w:b/>
                <w:sz w:val="16"/>
                <w:lang w:val="es-ES_tradnl"/>
              </w:rPr>
              <w:t>Indicadores de rendimiento</w:t>
            </w:r>
          </w:p>
        </w:tc>
        <w:tc>
          <w:tcPr>
            <w:tcW w:w="799" w:type="pct"/>
            <w:tcBorders>
              <w:top w:val="single" w:sz="4" w:space="0" w:color="auto"/>
            </w:tcBorders>
            <w:shd w:val="clear" w:color="auto" w:fill="auto"/>
            <w:vAlign w:val="center"/>
          </w:tcPr>
          <w:p w:rsidR="001A2871" w:rsidRPr="00A34388" w:rsidRDefault="001A2871" w:rsidP="00957F9C">
            <w:pPr>
              <w:keepNext/>
              <w:rPr>
                <w:rFonts w:cs="Arial"/>
                <w:b/>
                <w:bCs/>
                <w:color w:val="808080"/>
                <w:sz w:val="16"/>
                <w:szCs w:val="16"/>
                <w:lang w:val="es-ES_tradnl"/>
              </w:rPr>
            </w:pPr>
            <w:r w:rsidRPr="00332758">
              <w:rPr>
                <w:b/>
                <w:sz w:val="16"/>
                <w:lang w:val="es-ES_tradnl"/>
              </w:rPr>
              <w:t>Referencia</w:t>
            </w:r>
          </w:p>
        </w:tc>
        <w:tc>
          <w:tcPr>
            <w:tcW w:w="913" w:type="pct"/>
            <w:tcBorders>
              <w:top w:val="single" w:sz="4" w:space="0" w:color="auto"/>
            </w:tcBorders>
            <w:shd w:val="clear" w:color="auto" w:fill="auto"/>
            <w:tcMar>
              <w:top w:w="110" w:type="dxa"/>
            </w:tcMar>
            <w:vAlign w:val="center"/>
          </w:tcPr>
          <w:p w:rsidR="001A2871" w:rsidRPr="00A34388" w:rsidRDefault="001A2871" w:rsidP="00957F9C">
            <w:pPr>
              <w:keepNext/>
              <w:rPr>
                <w:rFonts w:cs="Arial"/>
                <w:b/>
                <w:color w:val="808080"/>
                <w:sz w:val="16"/>
                <w:szCs w:val="16"/>
                <w:lang w:val="es-ES_tradnl"/>
              </w:rPr>
            </w:pPr>
            <w:r w:rsidRPr="00332758">
              <w:rPr>
                <w:b/>
                <w:sz w:val="16"/>
                <w:lang w:val="es-ES_tradnl"/>
              </w:rPr>
              <w:t>Objetivos</w:t>
            </w:r>
          </w:p>
        </w:tc>
        <w:tc>
          <w:tcPr>
            <w:tcW w:w="1737" w:type="pct"/>
            <w:tcBorders>
              <w:top w:val="single" w:sz="4" w:space="0" w:color="auto"/>
            </w:tcBorders>
            <w:shd w:val="clear" w:color="auto" w:fill="FFFFFF"/>
            <w:tcMar>
              <w:top w:w="110" w:type="dxa"/>
            </w:tcMar>
            <w:vAlign w:val="center"/>
          </w:tcPr>
          <w:p w:rsidR="001A2871" w:rsidRPr="00A34388" w:rsidRDefault="001A2871" w:rsidP="00957F9C">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957F9C">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9" w:type="pct"/>
            <w:shd w:val="clear" w:color="auto" w:fill="auto"/>
          </w:tcPr>
          <w:p w:rsidR="001A2871" w:rsidRPr="00A34388" w:rsidRDefault="001A2871" w:rsidP="00957F9C">
            <w:pPr>
              <w:keepNext/>
              <w:rPr>
                <w:rFonts w:cs="Arial"/>
                <w:sz w:val="16"/>
                <w:szCs w:val="16"/>
                <w:lang w:val="es-ES_tradnl"/>
              </w:rPr>
            </w:pPr>
            <w:r w:rsidRPr="00332758">
              <w:rPr>
                <w:sz w:val="16"/>
                <w:lang w:val="es-ES_tradnl"/>
              </w:rPr>
              <w:t>Inclusión de cuestiones relacionadas con el desarrollo en los programas de formación de la OMPI sobre observancia.</w:t>
            </w:r>
          </w:p>
        </w:tc>
        <w:tc>
          <w:tcPr>
            <w:tcW w:w="799" w:type="pct"/>
            <w:shd w:val="clear" w:color="auto" w:fill="auto"/>
          </w:tcPr>
          <w:p w:rsidR="001A2871" w:rsidRPr="00A34388" w:rsidRDefault="001A2871" w:rsidP="00957F9C">
            <w:pPr>
              <w:keepNext/>
              <w:rPr>
                <w:rFonts w:cs="Arial"/>
                <w:sz w:val="16"/>
                <w:szCs w:val="16"/>
                <w:lang w:val="es-ES_tradnl"/>
              </w:rPr>
            </w:pPr>
            <w:r w:rsidRPr="00332758">
              <w:rPr>
                <w:sz w:val="16"/>
                <w:lang w:val="es-ES_tradnl"/>
              </w:rPr>
              <w:t>No se dispone de datos actualizados.</w:t>
            </w:r>
          </w:p>
        </w:tc>
        <w:tc>
          <w:tcPr>
            <w:tcW w:w="913" w:type="pct"/>
            <w:shd w:val="clear" w:color="auto" w:fill="auto"/>
            <w:tcMar>
              <w:top w:w="110" w:type="dxa"/>
            </w:tcMar>
          </w:tcPr>
          <w:p w:rsidR="001A2871" w:rsidRPr="00A34388" w:rsidRDefault="001A2871" w:rsidP="00957F9C">
            <w:pPr>
              <w:keepNext/>
              <w:rPr>
                <w:rFonts w:cs="Arial"/>
                <w:i/>
                <w:sz w:val="16"/>
                <w:szCs w:val="16"/>
                <w:lang w:val="es-ES_tradnl"/>
              </w:rPr>
            </w:pPr>
            <w:r w:rsidRPr="00A34388">
              <w:rPr>
                <w:sz w:val="16"/>
                <w:lang w:val="es-ES_tradnl"/>
              </w:rPr>
              <w:t>100%</w:t>
            </w:r>
          </w:p>
        </w:tc>
        <w:tc>
          <w:tcPr>
            <w:tcW w:w="1737" w:type="pct"/>
            <w:shd w:val="clear" w:color="auto" w:fill="FFFFFF"/>
            <w:tcMar>
              <w:top w:w="110" w:type="dxa"/>
            </w:tcMar>
          </w:tcPr>
          <w:p w:rsidR="001A2871" w:rsidRPr="00A34388" w:rsidRDefault="001A2871" w:rsidP="00957F9C">
            <w:pPr>
              <w:keepNext/>
              <w:rPr>
                <w:rFonts w:cs="Arial"/>
                <w:sz w:val="16"/>
                <w:szCs w:val="16"/>
                <w:lang w:val="es-ES_tradnl"/>
              </w:rPr>
            </w:pPr>
            <w:r w:rsidRPr="00A34388">
              <w:rPr>
                <w:sz w:val="16"/>
                <w:lang w:val="es-ES_tradnl"/>
              </w:rPr>
              <w:t>100%</w:t>
            </w:r>
          </w:p>
          <w:p w:rsidR="001A2871" w:rsidRPr="00A34388" w:rsidRDefault="001A2871" w:rsidP="00957F9C">
            <w:pPr>
              <w:keepNext/>
              <w:rPr>
                <w:rFonts w:cs="Arial"/>
                <w:sz w:val="16"/>
                <w:szCs w:val="16"/>
                <w:lang w:val="es-ES_tradnl"/>
              </w:rPr>
            </w:pPr>
          </w:p>
          <w:p w:rsidR="001A2871" w:rsidRPr="00A34388" w:rsidRDefault="001A2871" w:rsidP="00957F9C">
            <w:pPr>
              <w:keepNext/>
              <w:rPr>
                <w:rFonts w:cs="Arial"/>
                <w:sz w:val="16"/>
                <w:szCs w:val="16"/>
                <w:lang w:val="es-ES_tradnl"/>
              </w:rPr>
            </w:pPr>
            <w:r w:rsidRPr="00A34388">
              <w:rPr>
                <w:sz w:val="16"/>
                <w:lang w:val="es-ES_tradnl"/>
              </w:rPr>
              <w:t>Todas las actividades incluyen cuestiones relacionadas con el desarrollo de conformidad con la recomendación 45 de la Agenda para el Desarrollo:</w:t>
            </w:r>
          </w:p>
          <w:p w:rsidR="001A2871" w:rsidRPr="00A34388" w:rsidRDefault="001A2871" w:rsidP="00957F9C">
            <w:pPr>
              <w:keepNext/>
              <w:rPr>
                <w:rFonts w:cs="Arial"/>
                <w:sz w:val="16"/>
                <w:szCs w:val="16"/>
                <w:lang w:val="es-ES_tradnl"/>
              </w:rPr>
            </w:pPr>
          </w:p>
          <w:p w:rsidR="001A2871" w:rsidRPr="00A34388" w:rsidRDefault="001A2871" w:rsidP="00957F9C">
            <w:pPr>
              <w:pStyle w:val="ListParagraph"/>
              <w:keepNext/>
              <w:numPr>
                <w:ilvl w:val="0"/>
                <w:numId w:val="48"/>
              </w:numPr>
              <w:ind w:left="307" w:hanging="307"/>
              <w:rPr>
                <w:rFonts w:cs="Arial"/>
                <w:sz w:val="16"/>
                <w:szCs w:val="16"/>
                <w:lang w:val="es-ES_tradnl"/>
              </w:rPr>
            </w:pPr>
            <w:r w:rsidRPr="00A34388">
              <w:rPr>
                <w:sz w:val="16"/>
                <w:lang w:val="es-ES_tradnl"/>
              </w:rPr>
              <w:t>22 actividades sub(regionales) y 15 actividades nacionales de creación de capacidad</w:t>
            </w:r>
          </w:p>
          <w:p w:rsidR="001A2871" w:rsidRPr="00A34388" w:rsidRDefault="001A2871" w:rsidP="00957F9C">
            <w:pPr>
              <w:pStyle w:val="ListParagraph"/>
              <w:keepNext/>
              <w:numPr>
                <w:ilvl w:val="0"/>
                <w:numId w:val="48"/>
              </w:numPr>
              <w:ind w:left="307" w:hanging="307"/>
              <w:rPr>
                <w:rFonts w:cs="Arial"/>
                <w:sz w:val="16"/>
                <w:szCs w:val="16"/>
                <w:lang w:val="es-ES_tradnl"/>
              </w:rPr>
            </w:pPr>
            <w:r w:rsidRPr="00A34388">
              <w:rPr>
                <w:sz w:val="16"/>
                <w:lang w:val="es-ES_tradnl"/>
              </w:rPr>
              <w:t>Cuatro reuniones consultivas sobre el fomento del respeto por las estrategias de P.I.</w:t>
            </w:r>
          </w:p>
          <w:p w:rsidR="001A2871" w:rsidRPr="00A34388" w:rsidRDefault="001A2871" w:rsidP="00957F9C">
            <w:pPr>
              <w:pStyle w:val="ListParagraph"/>
              <w:keepNext/>
              <w:numPr>
                <w:ilvl w:val="0"/>
                <w:numId w:val="48"/>
              </w:numPr>
              <w:ind w:left="307" w:hanging="307"/>
              <w:rPr>
                <w:rFonts w:cs="Arial"/>
                <w:sz w:val="16"/>
                <w:szCs w:val="16"/>
                <w:lang w:val="es-ES_tradnl"/>
              </w:rPr>
            </w:pPr>
            <w:r w:rsidRPr="00A34388">
              <w:rPr>
                <w:sz w:val="16"/>
                <w:lang w:val="es-ES_tradnl"/>
              </w:rPr>
              <w:t>El programa 17 participó, centrándose en el fomento del respeto por la P.I., en 11 programas de formación generales de la OMPI</w:t>
            </w:r>
          </w:p>
        </w:tc>
        <w:tc>
          <w:tcPr>
            <w:tcW w:w="682" w:type="pct"/>
            <w:shd w:val="clear" w:color="auto" w:fill="auto"/>
            <w:tcMar>
              <w:top w:w="110" w:type="dxa"/>
            </w:tcMar>
          </w:tcPr>
          <w:p w:rsidR="001A2871" w:rsidRPr="00332758" w:rsidRDefault="001A2871" w:rsidP="00957F9C">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86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Porcentaje de funcionarios de observancia que recibieron formación y que están satisfechos con la formación recibida y su utilidad en la vida profesional.</w:t>
            </w:r>
          </w:p>
          <w:p w:rsidR="001A2871" w:rsidRPr="00A34388" w:rsidRDefault="001A2871" w:rsidP="00853209">
            <w:pPr>
              <w:rPr>
                <w:rFonts w:cs="Arial"/>
                <w:sz w:val="16"/>
                <w:szCs w:val="16"/>
                <w:lang w:val="es-ES_tradnl"/>
              </w:rPr>
            </w:pPr>
          </w:p>
        </w:tc>
        <w:tc>
          <w:tcPr>
            <w:tcW w:w="799"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No se dispone de datos actualizados.</w:t>
            </w:r>
          </w:p>
        </w:tc>
        <w:tc>
          <w:tcPr>
            <w:tcW w:w="913" w:type="pct"/>
            <w:tcBorders>
              <w:bottom w:val="single" w:sz="4" w:space="0" w:color="auto"/>
            </w:tcBorders>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75%</w:t>
            </w:r>
          </w:p>
        </w:tc>
        <w:tc>
          <w:tcPr>
            <w:tcW w:w="1737"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El porcentaje medio de satisfacción expresado por los participantes en las actividades de formación de capacidad superó el 85%.</w:t>
            </w:r>
          </w:p>
        </w:tc>
        <w:tc>
          <w:tcPr>
            <w:tcW w:w="682" w:type="pct"/>
            <w:tcBorders>
              <w:bottom w:val="single" w:sz="4" w:space="0" w:color="auto"/>
            </w:tcBorders>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A34388" w:rsidRDefault="001A2871" w:rsidP="00853209">
            <w:pPr>
              <w:keepNext/>
              <w:keepLines/>
              <w:tabs>
                <w:tab w:val="left" w:pos="1452"/>
              </w:tabs>
              <w:spacing w:before="120" w:after="120"/>
              <w:ind w:left="1701" w:hanging="1701"/>
              <w:rPr>
                <w:rFonts w:cs="Arial"/>
                <w:b/>
                <w:bCs/>
                <w:sz w:val="16"/>
                <w:szCs w:val="16"/>
                <w:lang w:val="es-ES_tradnl"/>
              </w:rPr>
            </w:pPr>
            <w:r w:rsidRPr="00A34388">
              <w:rPr>
                <w:b/>
                <w:color w:val="000000"/>
                <w:sz w:val="16"/>
                <w:lang w:val="es-ES_tradnl"/>
              </w:rPr>
              <w:t>Resultado previsto:</w:t>
            </w:r>
            <w:r w:rsidRPr="00A34388">
              <w:rPr>
                <w:lang w:val="es-ES_tradnl"/>
              </w:rPr>
              <w:tab/>
            </w:r>
            <w:r w:rsidRPr="00332758">
              <w:rPr>
                <w:sz w:val="16"/>
                <w:lang w:val="es-ES_tradnl"/>
              </w:rPr>
              <w:t>Cooperación y coordinación sistemáticas y eficaces entre la labor de la OMPI y otras organizaciones internacionales en el ámbito del fomento del respeto por la P.I.</w:t>
            </w:r>
          </w:p>
        </w:tc>
      </w:tr>
      <w:tr w:rsidR="001A2871" w:rsidRPr="00A34388" w:rsidTr="00853209">
        <w:trPr>
          <w:cantSplit/>
        </w:trPr>
        <w:tc>
          <w:tcPr>
            <w:tcW w:w="869"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799"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13"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737"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9" w:type="pct"/>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mecanismos de cooperación oficial en vigor.</w:t>
            </w:r>
          </w:p>
        </w:tc>
        <w:tc>
          <w:tcPr>
            <w:tcW w:w="799" w:type="pct"/>
            <w:shd w:val="clear" w:color="auto" w:fill="auto"/>
          </w:tcPr>
          <w:p w:rsidR="001A2871" w:rsidRPr="00A34388" w:rsidRDefault="001A2871" w:rsidP="00853209">
            <w:pPr>
              <w:keepNext/>
              <w:keepLines/>
              <w:rPr>
                <w:rFonts w:cs="Arial"/>
                <w:sz w:val="16"/>
                <w:szCs w:val="16"/>
                <w:lang w:val="es-ES_tradnl"/>
              </w:rPr>
            </w:pPr>
            <w:r w:rsidRPr="00A34388">
              <w:rPr>
                <w:sz w:val="16"/>
                <w:lang w:val="es-ES_tradnl"/>
              </w:rPr>
              <w:t>Tres.</w:t>
            </w:r>
          </w:p>
        </w:tc>
        <w:tc>
          <w:tcPr>
            <w:tcW w:w="913" w:type="pct"/>
            <w:shd w:val="clear" w:color="auto" w:fill="auto"/>
            <w:tcMar>
              <w:top w:w="110" w:type="dxa"/>
            </w:tcMar>
          </w:tcPr>
          <w:p w:rsidR="001A2871" w:rsidRPr="00A34388" w:rsidRDefault="001A2871" w:rsidP="00853209">
            <w:pPr>
              <w:rPr>
                <w:rFonts w:cs="Arial"/>
                <w:i/>
                <w:sz w:val="16"/>
                <w:szCs w:val="16"/>
                <w:lang w:val="es-ES_tradnl"/>
              </w:rPr>
            </w:pPr>
            <w:r w:rsidRPr="00332758">
              <w:rPr>
                <w:sz w:val="16"/>
                <w:lang w:val="es-ES_tradnl"/>
              </w:rPr>
              <w:t>Cuatro.</w:t>
            </w:r>
            <w:r w:rsidRPr="00A34388">
              <w:rPr>
                <w:sz w:val="16"/>
                <w:lang w:val="es-ES_tradnl"/>
              </w:rPr>
              <w:t xml:space="preserve"> </w:t>
            </w:r>
          </w:p>
        </w:tc>
        <w:tc>
          <w:tcPr>
            <w:tcW w:w="1737" w:type="pct"/>
            <w:shd w:val="clear" w:color="auto" w:fill="FFFFFF"/>
            <w:tcMar>
              <w:top w:w="110" w:type="dxa"/>
            </w:tcMar>
          </w:tcPr>
          <w:p w:rsidR="001A2871" w:rsidRPr="00A34388" w:rsidRDefault="001A2871" w:rsidP="00853209">
            <w:pPr>
              <w:rPr>
                <w:rFonts w:cs="Arial"/>
                <w:sz w:val="16"/>
                <w:szCs w:val="16"/>
                <w:lang w:val="es-ES_tradnl"/>
              </w:rPr>
            </w:pPr>
            <w:r w:rsidRPr="00332758">
              <w:rPr>
                <w:sz w:val="16"/>
                <w:lang w:val="es-ES_tradnl"/>
              </w:rPr>
              <w:t>Cuatro.</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869" w:type="pct"/>
            <w:shd w:val="clear" w:color="auto" w:fill="auto"/>
          </w:tcPr>
          <w:p w:rsidR="001A2871" w:rsidRPr="00A34388" w:rsidRDefault="001A2871" w:rsidP="00853209">
            <w:pPr>
              <w:keepNext/>
              <w:keepLines/>
              <w:rPr>
                <w:rFonts w:cs="Arial"/>
                <w:sz w:val="16"/>
                <w:szCs w:val="16"/>
                <w:lang w:val="es-ES_tradnl"/>
              </w:rPr>
            </w:pPr>
            <w:r w:rsidRPr="00332758">
              <w:rPr>
                <w:sz w:val="16"/>
                <w:lang w:val="es-ES_tradnl"/>
              </w:rPr>
              <w:t>Número de actividades conjuntas.</w:t>
            </w:r>
            <w:r w:rsidRPr="00A34388">
              <w:rPr>
                <w:sz w:val="16"/>
                <w:lang w:val="es-ES_tradnl"/>
              </w:rPr>
              <w:t xml:space="preserve"> </w:t>
            </w:r>
          </w:p>
        </w:tc>
        <w:tc>
          <w:tcPr>
            <w:tcW w:w="799" w:type="pct"/>
            <w:shd w:val="clear" w:color="auto" w:fill="auto"/>
          </w:tcPr>
          <w:p w:rsidR="001A2871" w:rsidRPr="00A34388" w:rsidRDefault="001A2871" w:rsidP="00853209">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35 (en 2010/11)</w:t>
            </w:r>
          </w:p>
          <w:p w:rsidR="001A2871" w:rsidRPr="00A34388" w:rsidRDefault="001A2871" w:rsidP="00853209">
            <w:pPr>
              <w:rPr>
                <w:rFonts w:cs="Arial"/>
                <w:i/>
                <w:sz w:val="16"/>
                <w:szCs w:val="16"/>
                <w:lang w:val="es-ES_tradnl"/>
              </w:rPr>
            </w:pPr>
          </w:p>
          <w:p w:rsidR="001A2871" w:rsidRPr="00A34388" w:rsidRDefault="001A2871" w:rsidP="00853209">
            <w:pPr>
              <w:keepNext/>
              <w:keepLines/>
              <w:rPr>
                <w:rFonts w:cs="Arial"/>
                <w:sz w:val="16"/>
                <w:szCs w:val="16"/>
                <w:lang w:val="es-ES_tradnl"/>
              </w:rPr>
            </w:pPr>
            <w:r w:rsidRPr="00A34388">
              <w:rPr>
                <w:i/>
                <w:sz w:val="16"/>
                <w:lang w:val="es-ES_tradnl"/>
              </w:rPr>
              <w:t>Referencia original (Presup. por prog. 2012/13):</w:t>
            </w:r>
            <w:r w:rsidRPr="00A34388">
              <w:rPr>
                <w:sz w:val="16"/>
                <w:lang w:val="es-ES_tradnl"/>
              </w:rPr>
              <w:t xml:space="preserve">  30</w:t>
            </w:r>
          </w:p>
          <w:p w:rsidR="001A2871" w:rsidRPr="00A34388" w:rsidRDefault="001A2871" w:rsidP="00853209">
            <w:pPr>
              <w:autoSpaceDE w:val="0"/>
              <w:autoSpaceDN w:val="0"/>
              <w:adjustRightInd w:val="0"/>
              <w:rPr>
                <w:rFonts w:cs="Arial"/>
                <w:sz w:val="16"/>
                <w:szCs w:val="16"/>
                <w:lang w:val="es-ES_tradnl"/>
              </w:rPr>
            </w:pPr>
          </w:p>
        </w:tc>
        <w:tc>
          <w:tcPr>
            <w:tcW w:w="913" w:type="pct"/>
            <w:shd w:val="clear" w:color="auto" w:fill="auto"/>
            <w:tcMar>
              <w:top w:w="110" w:type="dxa"/>
            </w:tcMar>
          </w:tcPr>
          <w:p w:rsidR="001A2871" w:rsidRPr="00A34388" w:rsidRDefault="001A2871" w:rsidP="00853209">
            <w:pPr>
              <w:rPr>
                <w:rFonts w:cs="Arial"/>
                <w:sz w:val="16"/>
                <w:szCs w:val="16"/>
                <w:lang w:val="es-ES_tradnl"/>
              </w:rPr>
            </w:pPr>
            <w:r w:rsidRPr="00A34388">
              <w:rPr>
                <w:sz w:val="16"/>
                <w:lang w:val="es-ES_tradnl"/>
              </w:rPr>
              <w:t>30 (en 2012/13)</w:t>
            </w:r>
          </w:p>
        </w:tc>
        <w:tc>
          <w:tcPr>
            <w:tcW w:w="1737" w:type="pct"/>
            <w:shd w:val="clear" w:color="auto" w:fill="FFFFFF"/>
            <w:tcMar>
              <w:top w:w="110" w:type="dxa"/>
            </w:tcMar>
          </w:tcPr>
          <w:p w:rsidR="001A2871" w:rsidRPr="00A34388" w:rsidRDefault="001A2871" w:rsidP="00853209">
            <w:pPr>
              <w:rPr>
                <w:rFonts w:cs="Arial"/>
                <w:sz w:val="16"/>
                <w:szCs w:val="16"/>
                <w:lang w:val="es-ES_tradnl"/>
              </w:rPr>
            </w:pPr>
            <w:r w:rsidRPr="00332758">
              <w:rPr>
                <w:sz w:val="16"/>
                <w:lang w:val="es-ES_tradnl"/>
              </w:rPr>
              <w:t>Se organizaron 39 actividades conjuntamente con organismos que cooperan con la OMPI y partes interesadas, y/o para las que se contó con la participación del programa 17.</w:t>
            </w:r>
          </w:p>
        </w:tc>
        <w:tc>
          <w:tcPr>
            <w:tcW w:w="682" w:type="pct"/>
            <w:shd w:val="clear" w:color="auto" w:fill="auto"/>
            <w:tcMar>
              <w:top w:w="110" w:type="dxa"/>
            </w:tcMar>
          </w:tcPr>
          <w:p w:rsidR="001A2871" w:rsidRPr="00A34388" w:rsidRDefault="001A2871" w:rsidP="00853209">
            <w:pPr>
              <w:keepNext/>
              <w:keepLines/>
              <w:jc w:val="center"/>
              <w:rPr>
                <w:rFonts w:cs="Arial"/>
                <w:bCs/>
                <w:color w:val="008000"/>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1A2871" w:rsidRPr="00A34388" w:rsidRDefault="001A2871" w:rsidP="001A2871">
      <w:pPr>
        <w:rPr>
          <w:rFonts w:cs="Arial"/>
          <w:sz w:val="22"/>
          <w:szCs w:val="22"/>
          <w:lang w:val="es-ES_tradnl"/>
        </w:rPr>
      </w:pPr>
    </w:p>
    <w:p w:rsidR="001A2871" w:rsidRPr="00A34388" w:rsidRDefault="001A2871" w:rsidP="001A2871">
      <w:pPr>
        <w:rPr>
          <w:rFonts w:cs="Arial"/>
          <w:sz w:val="22"/>
          <w:szCs w:val="22"/>
          <w:lang w:val="es-ES_tradnl"/>
        </w:rPr>
      </w:pPr>
    </w:p>
    <w:p w:rsidR="004C0FD5" w:rsidRPr="00A34388" w:rsidRDefault="004C0FD5">
      <w:pPr>
        <w:rPr>
          <w:sz w:val="22"/>
          <w:lang w:val="es-ES_tradnl"/>
        </w:rPr>
      </w:pPr>
      <w:r w:rsidRPr="00A34388">
        <w:rPr>
          <w:sz w:val="22"/>
          <w:lang w:val="es-ES_tradnl"/>
        </w:rPr>
        <w:br w:type="page"/>
      </w:r>
    </w:p>
    <w:p w:rsidR="001A2871" w:rsidRPr="00A34388" w:rsidRDefault="001A2871" w:rsidP="001A2871">
      <w:pPr>
        <w:rPr>
          <w:rFonts w:cs="Arial"/>
          <w:sz w:val="22"/>
          <w:szCs w:val="22"/>
          <w:lang w:val="es-ES_tradnl"/>
        </w:rPr>
      </w:pPr>
      <w:r w:rsidRPr="00A34388">
        <w:rPr>
          <w:sz w:val="22"/>
          <w:lang w:val="es-ES_tradnl"/>
        </w:rPr>
        <w:lastRenderedPageBreak/>
        <w:t>UTILIZACIÓN DEL PRESUPUESTO Y GASTOS REALES</w:t>
      </w:r>
    </w:p>
    <w:p w:rsidR="001A2871" w:rsidRPr="00A34388" w:rsidRDefault="001A2871" w:rsidP="001A2871">
      <w:pPr>
        <w:rPr>
          <w:rFonts w:cs="Arial"/>
          <w:szCs w:val="20"/>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i/>
          <w:iCs/>
          <w:sz w:val="20"/>
          <w:szCs w:val="20"/>
          <w:lang w:val="es-ES_tradnl"/>
        </w:rPr>
      </w:pPr>
      <w:r w:rsidRPr="00332758">
        <w:rPr>
          <w:i/>
          <w:sz w:val="20"/>
          <w:lang w:val="es-ES_tradnl"/>
        </w:rPr>
        <w:t>(en miles de francos suizos)</w:t>
      </w:r>
    </w:p>
    <w:p w:rsidR="001A2871" w:rsidRPr="00A34388" w:rsidRDefault="001A2871" w:rsidP="001A2871">
      <w:pPr>
        <w:rPr>
          <w:rFonts w:cs="Arial"/>
          <w:szCs w:val="20"/>
          <w:lang w:val="es-ES_tradnl"/>
        </w:rPr>
      </w:pPr>
      <w:r w:rsidRPr="00A34388">
        <w:rPr>
          <w:lang w:val="es-ES_tradnl"/>
        </w:rPr>
        <w:t xml:space="preserve"> </w:t>
      </w:r>
    </w:p>
    <w:tbl>
      <w:tblPr>
        <w:tblW w:w="0" w:type="auto"/>
        <w:tblInd w:w="103" w:type="dxa"/>
        <w:tblLook w:val="04A0" w:firstRow="1" w:lastRow="0" w:firstColumn="1" w:lastColumn="0" w:noHBand="0" w:noVBand="1"/>
      </w:tblPr>
      <w:tblGrid>
        <w:gridCol w:w="637"/>
        <w:gridCol w:w="4188"/>
        <w:gridCol w:w="1512"/>
        <w:gridCol w:w="1512"/>
        <w:gridCol w:w="1512"/>
      </w:tblGrid>
      <w:tr w:rsidR="001A2871" w:rsidRPr="00A34388" w:rsidTr="0085320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63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I.4</w:t>
            </w:r>
          </w:p>
        </w:tc>
        <w:tc>
          <w:tcPr>
            <w:tcW w:w="4188"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Marcos de P.I. adaptados y equilibrados en el ámbito legislativo, reglamentario y de política.</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311</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282</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292 </w:t>
            </w:r>
          </w:p>
        </w:tc>
      </w:tr>
      <w:tr w:rsidR="001A2871" w:rsidRPr="00A34388" w:rsidTr="00853209">
        <w:tc>
          <w:tcPr>
            <w:tcW w:w="63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III.2</w:t>
            </w:r>
          </w:p>
        </w:tc>
        <w:tc>
          <w:tcPr>
            <w:tcW w:w="4188"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1.261</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1.300 </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1.403</w:t>
            </w:r>
          </w:p>
        </w:tc>
      </w:tr>
      <w:tr w:rsidR="001A2871" w:rsidRPr="00A34388" w:rsidTr="00853209">
        <w:tc>
          <w:tcPr>
            <w:tcW w:w="63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VI.1</w:t>
            </w:r>
          </w:p>
        </w:tc>
        <w:tc>
          <w:tcPr>
            <w:tcW w:w="4188"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Avances en el diálogo internacional sobre políticas entre los Estados miembros de la OMPI para fomentar el respeto por la P.I. sobre la base de la recomendación 45 de la Agenda de la OMPI para el Desarrollo.</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635 </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469 </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349 </w:t>
            </w:r>
          </w:p>
        </w:tc>
      </w:tr>
      <w:tr w:rsidR="001A2871" w:rsidRPr="00A34388" w:rsidTr="00853209">
        <w:tc>
          <w:tcPr>
            <w:tcW w:w="637" w:type="dxa"/>
            <w:tcBorders>
              <w:top w:val="nil"/>
              <w:left w:val="single" w:sz="4" w:space="0" w:color="auto"/>
              <w:bottom w:val="nil"/>
              <w:right w:val="nil"/>
            </w:tcBorders>
            <w:shd w:val="clear" w:color="000000" w:fill="FFFFFF"/>
            <w:noWrap/>
            <w:hideMark/>
          </w:tcPr>
          <w:p w:rsidR="001A2871" w:rsidRPr="00A34388" w:rsidRDefault="001A2871" w:rsidP="00853209">
            <w:pPr>
              <w:spacing w:before="120"/>
              <w:jc w:val="center"/>
              <w:rPr>
                <w:rFonts w:cs="Arial"/>
                <w:color w:val="808080"/>
                <w:sz w:val="16"/>
                <w:szCs w:val="16"/>
                <w:lang w:val="es-ES_tradnl"/>
              </w:rPr>
            </w:pPr>
            <w:r w:rsidRPr="00332758">
              <w:rPr>
                <w:sz w:val="16"/>
                <w:lang w:val="es-ES_tradnl"/>
              </w:rPr>
              <w:t>VI.2</w:t>
            </w:r>
          </w:p>
        </w:tc>
        <w:tc>
          <w:tcPr>
            <w:tcW w:w="4188" w:type="dxa"/>
            <w:tcBorders>
              <w:top w:val="nil"/>
              <w:left w:val="nil"/>
              <w:bottom w:val="nil"/>
              <w:right w:val="nil"/>
            </w:tcBorders>
            <w:shd w:val="clear" w:color="000000" w:fill="FFFFFF"/>
            <w:hideMark/>
          </w:tcPr>
          <w:p w:rsidR="001A2871" w:rsidRPr="00A34388" w:rsidRDefault="001A2871" w:rsidP="00853209">
            <w:pPr>
              <w:spacing w:before="120"/>
              <w:rPr>
                <w:rFonts w:cs="Arial"/>
                <w:color w:val="808080"/>
                <w:sz w:val="16"/>
                <w:szCs w:val="16"/>
                <w:lang w:val="es-ES_tradnl"/>
              </w:rPr>
            </w:pPr>
            <w:r w:rsidRPr="00332758">
              <w:rPr>
                <w:sz w:val="16"/>
                <w:lang w:val="es-ES_tradnl"/>
              </w:rPr>
              <w:t>Cooperación y coordinación sistemáticas y eficaces entre la labor de la OMPI y otras organizaciones internacionales en el ámbito del fomento del respeto por la P.I.</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785 </w:t>
            </w:r>
          </w:p>
        </w:tc>
        <w:tc>
          <w:tcPr>
            <w:tcW w:w="1512" w:type="dxa"/>
            <w:tcBorders>
              <w:top w:val="nil"/>
              <w:left w:val="nil"/>
              <w:bottom w:val="nil"/>
              <w:right w:val="nil"/>
            </w:tcBorders>
            <w:shd w:val="clear" w:color="000000" w:fill="FFFFFF"/>
            <w:vAlign w:val="center"/>
            <w:hideMark/>
          </w:tcPr>
          <w:p w:rsidR="001A2871" w:rsidRPr="00A34388" w:rsidRDefault="001A2871" w:rsidP="00853209">
            <w:pPr>
              <w:spacing w:before="120"/>
              <w:jc w:val="right"/>
              <w:rPr>
                <w:rFonts w:cs="Arial"/>
                <w:color w:val="808080"/>
                <w:sz w:val="16"/>
                <w:szCs w:val="16"/>
                <w:lang w:val="es-ES_tradnl"/>
              </w:rPr>
            </w:pPr>
            <w:r w:rsidRPr="00332758">
              <w:rPr>
                <w:sz w:val="16"/>
                <w:lang w:val="es-ES_tradnl"/>
              </w:rPr>
              <w:t xml:space="preserve">741 </w:t>
            </w:r>
          </w:p>
        </w:tc>
        <w:tc>
          <w:tcPr>
            <w:tcW w:w="1512" w:type="dxa"/>
            <w:tcBorders>
              <w:top w:val="nil"/>
              <w:left w:val="nil"/>
              <w:bottom w:val="nil"/>
              <w:right w:val="single" w:sz="4" w:space="0" w:color="auto"/>
            </w:tcBorders>
            <w:shd w:val="clear" w:color="000000" w:fill="FFFFFF"/>
            <w:vAlign w:val="center"/>
            <w:hideMark/>
          </w:tcPr>
          <w:p w:rsidR="001A2871" w:rsidRPr="00332758" w:rsidRDefault="001A2871" w:rsidP="00853209">
            <w:pPr>
              <w:spacing w:before="120"/>
              <w:jc w:val="right"/>
              <w:rPr>
                <w:rFonts w:cs="Arial"/>
                <w:sz w:val="16"/>
                <w:szCs w:val="16"/>
                <w:lang w:val="es-ES_tradnl"/>
              </w:rPr>
            </w:pPr>
            <w:r w:rsidRPr="00332758">
              <w:rPr>
                <w:sz w:val="16"/>
                <w:lang w:val="es-ES_tradnl"/>
              </w:rPr>
              <w:t xml:space="preserve">721 </w:t>
            </w:r>
          </w:p>
        </w:tc>
      </w:tr>
      <w:tr w:rsidR="001A2871" w:rsidRPr="00A34388" w:rsidTr="00853209">
        <w:tc>
          <w:tcPr>
            <w:tcW w:w="637" w:type="dxa"/>
            <w:tcBorders>
              <w:top w:val="nil"/>
              <w:left w:val="single" w:sz="4" w:space="0" w:color="auto"/>
              <w:bottom w:val="single" w:sz="4" w:space="0" w:color="auto"/>
              <w:right w:val="nil"/>
            </w:tcBorders>
            <w:shd w:val="clear" w:color="000000" w:fill="FFFFFF"/>
            <w:noWrap/>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VIII.1</w:t>
            </w:r>
          </w:p>
        </w:tc>
        <w:tc>
          <w:tcPr>
            <w:tcW w:w="4188" w:type="dxa"/>
            <w:tcBorders>
              <w:top w:val="nil"/>
              <w:left w:val="nil"/>
              <w:bottom w:val="single" w:sz="4" w:space="0" w:color="auto"/>
              <w:right w:val="nil"/>
            </w:tcBorders>
            <w:shd w:val="clear" w:color="000000" w:fill="FFFFFF"/>
            <w:hideMark/>
          </w:tcPr>
          <w:p w:rsidR="001A2871" w:rsidRPr="00A34388" w:rsidRDefault="001A2871" w:rsidP="00853209">
            <w:pPr>
              <w:spacing w:before="120" w:after="120"/>
              <w:rPr>
                <w:rFonts w:cs="Arial"/>
                <w:color w:val="808080"/>
                <w:sz w:val="16"/>
                <w:szCs w:val="16"/>
                <w:lang w:val="es-ES_tradnl"/>
              </w:rPr>
            </w:pPr>
            <w:r w:rsidRPr="00332758">
              <w:rPr>
                <w:sz w:val="16"/>
                <w:lang w:val="es-ES_tradnl"/>
              </w:rPr>
              <w:t>Comunicación más eficaz con el público en general acerca de la P.I. y la función de la OMPI.</w:t>
            </w:r>
          </w:p>
        </w:tc>
        <w:tc>
          <w:tcPr>
            <w:tcW w:w="1512"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0</w:t>
            </w:r>
          </w:p>
        </w:tc>
        <w:tc>
          <w:tcPr>
            <w:tcW w:w="1512" w:type="dxa"/>
            <w:tcBorders>
              <w:top w:val="nil"/>
              <w:left w:val="nil"/>
              <w:bottom w:val="single" w:sz="4" w:space="0" w:color="auto"/>
              <w:right w:val="nil"/>
            </w:tcBorders>
            <w:shd w:val="clear" w:color="000000" w:fill="FFFFFF"/>
            <w:vAlign w:val="center"/>
            <w:hideMark/>
          </w:tcPr>
          <w:p w:rsidR="001A2871" w:rsidRPr="00A34388" w:rsidRDefault="001A2871" w:rsidP="00853209">
            <w:pPr>
              <w:spacing w:before="120" w:after="120"/>
              <w:jc w:val="right"/>
              <w:rPr>
                <w:rFonts w:cs="Arial"/>
                <w:color w:val="808080"/>
                <w:sz w:val="16"/>
                <w:szCs w:val="16"/>
                <w:lang w:val="es-ES_tradnl"/>
              </w:rPr>
            </w:pPr>
            <w:r w:rsidRPr="00332758">
              <w:rPr>
                <w:sz w:val="16"/>
                <w:lang w:val="es-ES_tradnl"/>
              </w:rPr>
              <w:t xml:space="preserve">42 </w:t>
            </w:r>
          </w:p>
        </w:tc>
        <w:tc>
          <w:tcPr>
            <w:tcW w:w="1512" w:type="dxa"/>
            <w:tcBorders>
              <w:top w:val="nil"/>
              <w:left w:val="nil"/>
              <w:bottom w:val="single" w:sz="4" w:space="0" w:color="auto"/>
              <w:right w:val="single" w:sz="4" w:space="0" w:color="auto"/>
            </w:tcBorders>
            <w:shd w:val="clear" w:color="000000" w:fill="FFFFFF"/>
            <w:vAlign w:val="center"/>
            <w:hideMark/>
          </w:tcPr>
          <w:p w:rsidR="001A2871" w:rsidRPr="00332758" w:rsidRDefault="001A2871" w:rsidP="00853209">
            <w:pPr>
              <w:spacing w:before="120" w:after="120"/>
              <w:jc w:val="right"/>
              <w:rPr>
                <w:rFonts w:cs="Arial"/>
                <w:sz w:val="16"/>
                <w:szCs w:val="16"/>
                <w:lang w:val="es-ES_tradnl"/>
              </w:rPr>
            </w:pPr>
            <w:r w:rsidRPr="00332758">
              <w:rPr>
                <w:sz w:val="16"/>
                <w:lang w:val="es-ES_tradnl"/>
              </w:rPr>
              <w:t xml:space="preserve">38 </w:t>
            </w:r>
          </w:p>
        </w:tc>
      </w:tr>
      <w:tr w:rsidR="001A2871" w:rsidRPr="00A34388" w:rsidTr="00853209">
        <w:tc>
          <w:tcPr>
            <w:tcW w:w="637" w:type="dxa"/>
            <w:tcBorders>
              <w:top w:val="nil"/>
              <w:left w:val="single" w:sz="4" w:space="0" w:color="auto"/>
              <w:bottom w:val="single" w:sz="4" w:space="0" w:color="auto"/>
              <w:right w:val="nil"/>
            </w:tcBorders>
            <w:shd w:val="clear" w:color="000000" w:fill="CCFFFF"/>
            <w:noWrap/>
            <w:vAlign w:val="bottom"/>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 </w:t>
            </w:r>
          </w:p>
        </w:tc>
        <w:tc>
          <w:tcPr>
            <w:tcW w:w="4188" w:type="dxa"/>
            <w:tcBorders>
              <w:top w:val="nil"/>
              <w:left w:val="nil"/>
              <w:bottom w:val="single" w:sz="4" w:space="0" w:color="auto"/>
              <w:right w:val="nil"/>
            </w:tcBorders>
            <w:shd w:val="clear" w:color="000000" w:fill="CCFFFF"/>
            <w:noWrap/>
            <w:vAlign w:val="center"/>
            <w:hideMark/>
          </w:tcPr>
          <w:p w:rsidR="001A2871" w:rsidRPr="00A34388" w:rsidRDefault="001A2871" w:rsidP="00853209">
            <w:pPr>
              <w:spacing w:before="120" w:after="120"/>
              <w:rPr>
                <w:rFonts w:cs="Arial"/>
                <w:b/>
                <w:bCs/>
                <w:color w:val="808080"/>
                <w:sz w:val="16"/>
                <w:szCs w:val="16"/>
                <w:lang w:val="es-ES_tradnl"/>
              </w:rPr>
            </w:pPr>
            <w:r w:rsidRPr="00332758">
              <w:rPr>
                <w:b/>
                <w:sz w:val="16"/>
                <w:lang w:val="es-ES_tradnl"/>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2.992</w:t>
            </w:r>
          </w:p>
        </w:tc>
        <w:tc>
          <w:tcPr>
            <w:tcW w:w="1512" w:type="dxa"/>
            <w:tcBorders>
              <w:top w:val="nil"/>
              <w:left w:val="nil"/>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jc w:val="right"/>
              <w:rPr>
                <w:rFonts w:cs="Arial"/>
                <w:b/>
                <w:bCs/>
                <w:color w:val="808080"/>
                <w:sz w:val="16"/>
                <w:szCs w:val="16"/>
                <w:lang w:val="es-ES_tradnl"/>
              </w:rPr>
            </w:pPr>
            <w:r w:rsidRPr="00332758">
              <w:rPr>
                <w:b/>
                <w:sz w:val="16"/>
                <w:lang w:val="es-ES_tradnl"/>
              </w:rPr>
              <w:t>2.833</w:t>
            </w:r>
          </w:p>
        </w:tc>
        <w:tc>
          <w:tcPr>
            <w:tcW w:w="1512" w:type="dxa"/>
            <w:tcBorders>
              <w:top w:val="nil"/>
              <w:left w:val="nil"/>
              <w:bottom w:val="single" w:sz="4" w:space="0" w:color="auto"/>
              <w:right w:val="single" w:sz="4" w:space="0" w:color="auto"/>
            </w:tcBorders>
            <w:shd w:val="clear" w:color="000000" w:fill="CCFFFF"/>
            <w:vAlign w:val="center"/>
            <w:hideMark/>
          </w:tcPr>
          <w:p w:rsidR="001A2871" w:rsidRPr="00332758" w:rsidRDefault="001A2871" w:rsidP="00853209">
            <w:pPr>
              <w:spacing w:before="120" w:after="120"/>
              <w:jc w:val="right"/>
              <w:rPr>
                <w:rFonts w:cs="Arial"/>
                <w:b/>
                <w:bCs/>
                <w:sz w:val="16"/>
                <w:szCs w:val="16"/>
                <w:lang w:val="es-ES_tradnl"/>
              </w:rPr>
            </w:pPr>
            <w:r w:rsidRPr="00332758">
              <w:rPr>
                <w:b/>
                <w:sz w:val="16"/>
                <w:lang w:val="es-ES_tradnl"/>
              </w:rPr>
              <w:t>2.804</w:t>
            </w:r>
          </w:p>
        </w:tc>
      </w:tr>
    </w:tbl>
    <w:p w:rsidR="001A2871" w:rsidRPr="00A34388" w:rsidRDefault="001A2871" w:rsidP="001A2871">
      <w:pPr>
        <w:pStyle w:val="NormalWeb"/>
        <w:spacing w:before="0" w:beforeAutospacing="0" w:after="0" w:afterAutospacing="0"/>
        <w:jc w:val="center"/>
        <w:rPr>
          <w:color w:val="000000"/>
          <w:sz w:val="22"/>
          <w:szCs w:val="22"/>
          <w:lang w:val="es-ES_tradnl"/>
        </w:rPr>
      </w:pPr>
    </w:p>
    <w:p w:rsidR="001A2871" w:rsidRPr="00A34388" w:rsidRDefault="001A2871" w:rsidP="001A2871">
      <w:pPr>
        <w:rPr>
          <w:rFonts w:cs="Arial"/>
          <w:color w:val="000000"/>
          <w:szCs w:val="20"/>
          <w:lang w:val="es-ES_tradnl"/>
        </w:rPr>
      </w:pPr>
    </w:p>
    <w:p w:rsidR="001A2871" w:rsidRPr="00A34388" w:rsidRDefault="001A2871" w:rsidP="001A2871">
      <w:pPr>
        <w:pStyle w:val="NormalWeb"/>
        <w:spacing w:before="0" w:beforeAutospacing="0" w:after="0" w:afterAutospacing="0"/>
        <w:jc w:val="center"/>
        <w:rPr>
          <w:color w:val="000000"/>
          <w:sz w:val="20"/>
          <w:szCs w:val="20"/>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A34388" w:rsidRDefault="001A2871" w:rsidP="001A2871">
      <w:pPr>
        <w:pStyle w:val="NormalWeb"/>
        <w:spacing w:before="0" w:beforeAutospacing="0" w:after="0" w:afterAutospacing="0"/>
        <w:jc w:val="center"/>
        <w:rPr>
          <w:i/>
          <w:iCs/>
          <w:color w:val="000000"/>
          <w:sz w:val="20"/>
          <w:szCs w:val="20"/>
          <w:lang w:val="es-ES_tradnl"/>
        </w:rPr>
      </w:pPr>
      <w:r w:rsidRPr="00A34388">
        <w:rPr>
          <w:i/>
          <w:color w:val="000000"/>
          <w:sz w:val="20"/>
          <w:lang w:val="es-ES_tradnl"/>
        </w:rPr>
        <w:t>(en miles de francos suizos)</w:t>
      </w:r>
    </w:p>
    <w:p w:rsidR="001A2871" w:rsidRPr="00A34388" w:rsidRDefault="001A2871" w:rsidP="001A2871">
      <w:pPr>
        <w:rPr>
          <w:rFonts w:cs="Arial"/>
          <w:szCs w:val="20"/>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1A2871" w:rsidRPr="00A34388" w:rsidTr="00853209">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120" w:after="120"/>
              <w:rPr>
                <w:rFonts w:cs="Arial"/>
                <w:color w:val="000000"/>
                <w:sz w:val="18"/>
                <w:szCs w:val="18"/>
                <w:lang w:val="es-ES_tradnl"/>
              </w:rPr>
            </w:pPr>
            <w:r w:rsidRPr="00A34388">
              <w:rPr>
                <w:color w:val="000000"/>
                <w:sz w:val="18"/>
                <w:lang w:val="es-ES_tradnl"/>
              </w:rPr>
              <w:t> </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Presupuesto aprobado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808080"/>
                <w:sz w:val="16"/>
                <w:szCs w:val="16"/>
                <w:lang w:val="es-ES_tradnl"/>
              </w:rPr>
            </w:pPr>
            <w:r w:rsidRPr="00332758">
              <w:rPr>
                <w:sz w:val="16"/>
                <w:lang w:val="es-ES_tradnl"/>
              </w:rPr>
              <w:t>Gastos en 2012/13</w:t>
            </w:r>
          </w:p>
        </w:tc>
        <w:tc>
          <w:tcPr>
            <w:tcW w:w="1737"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120" w:after="120"/>
              <w:jc w:val="center"/>
              <w:rPr>
                <w:rFonts w:cs="Arial"/>
                <w:bCs/>
                <w:color w:val="000000"/>
                <w:sz w:val="16"/>
                <w:szCs w:val="16"/>
                <w:lang w:val="es-ES_tradnl"/>
              </w:rPr>
            </w:pPr>
            <w:r w:rsidRPr="00332758">
              <w:rPr>
                <w:sz w:val="16"/>
                <w:lang w:val="es-ES_tradnl"/>
              </w:rPr>
              <w:t>Índice de utilización</w:t>
            </w:r>
          </w:p>
        </w:tc>
      </w:tr>
      <w:tr w:rsidR="001A2871"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8"/>
                <w:szCs w:val="18"/>
                <w:lang w:val="es-ES_tradnl"/>
              </w:rPr>
            </w:pPr>
            <w:r w:rsidRPr="00332758">
              <w:rPr>
                <w:sz w:val="18"/>
                <w:lang w:val="es-ES_tradnl"/>
              </w:rPr>
              <w:t xml:space="preserve">Recursos de personal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2.192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2.057</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2.057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100%</w:t>
            </w:r>
          </w:p>
        </w:tc>
      </w:tr>
      <w:tr w:rsidR="001A2871"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rPr>
                <w:rFonts w:cs="Arial"/>
                <w:color w:val="808080"/>
                <w:sz w:val="18"/>
                <w:szCs w:val="18"/>
                <w:lang w:val="es-ES_tradnl"/>
              </w:rPr>
            </w:pPr>
            <w:r w:rsidRPr="00332758">
              <w:rPr>
                <w:sz w:val="18"/>
                <w:lang w:val="es-ES_tradnl"/>
              </w:rPr>
              <w:t xml:space="preserve">Recursos no relativos al personal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800</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776</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color w:val="808080"/>
                <w:sz w:val="16"/>
                <w:szCs w:val="16"/>
                <w:lang w:val="es-ES_tradnl"/>
              </w:rPr>
            </w:pPr>
            <w:r w:rsidRPr="00332758">
              <w:rPr>
                <w:sz w:val="16"/>
                <w:lang w:val="es-ES_tradnl"/>
              </w:rPr>
              <w:t>747</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sz w:val="16"/>
                <w:szCs w:val="16"/>
                <w:lang w:val="es-ES_tradnl"/>
              </w:rPr>
            </w:pPr>
            <w:r w:rsidRPr="00332758">
              <w:rPr>
                <w:sz w:val="16"/>
                <w:lang w:val="es-ES_tradnl"/>
              </w:rPr>
              <w:t>96%</w:t>
            </w:r>
          </w:p>
        </w:tc>
      </w:tr>
      <w:tr w:rsidR="001A2871" w:rsidRPr="00A34388" w:rsidTr="00853209">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120" w:after="120"/>
              <w:jc w:val="right"/>
              <w:rPr>
                <w:rFonts w:cs="Arial"/>
                <w:b/>
                <w:bCs/>
                <w:color w:val="808080"/>
                <w:sz w:val="18"/>
                <w:szCs w:val="18"/>
                <w:lang w:val="es-ES_tradnl"/>
              </w:rPr>
            </w:pPr>
            <w:r w:rsidRPr="00332758">
              <w:rPr>
                <w:b/>
                <w:sz w:val="18"/>
                <w:lang w:val="es-ES_tradnl"/>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2.992</w:t>
            </w:r>
          </w:p>
        </w:tc>
        <w:tc>
          <w:tcPr>
            <w:tcW w:w="1737"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2.833</w:t>
            </w:r>
          </w:p>
        </w:tc>
        <w:tc>
          <w:tcPr>
            <w:tcW w:w="1736"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120" w:after="120"/>
              <w:jc w:val="center"/>
              <w:rPr>
                <w:rFonts w:cs="Arial"/>
                <w:b/>
                <w:bCs/>
                <w:color w:val="808080"/>
                <w:sz w:val="16"/>
                <w:szCs w:val="16"/>
                <w:lang w:val="es-ES_tradnl"/>
              </w:rPr>
            </w:pPr>
            <w:r w:rsidRPr="00332758">
              <w:rPr>
                <w:b/>
                <w:sz w:val="16"/>
                <w:lang w:val="es-ES_tradnl"/>
              </w:rPr>
              <w:t>2.804</w:t>
            </w:r>
          </w:p>
        </w:tc>
        <w:tc>
          <w:tcPr>
            <w:tcW w:w="1737"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120" w:after="120"/>
              <w:jc w:val="center"/>
              <w:rPr>
                <w:rFonts w:cs="Arial"/>
                <w:b/>
                <w:bCs/>
                <w:sz w:val="16"/>
                <w:szCs w:val="16"/>
                <w:lang w:val="es-ES_tradnl"/>
              </w:rPr>
            </w:pPr>
            <w:r w:rsidRPr="00332758">
              <w:rPr>
                <w:b/>
                <w:sz w:val="16"/>
                <w:lang w:val="es-ES_tradnl"/>
              </w:rPr>
              <w:t>99%</w:t>
            </w:r>
          </w:p>
        </w:tc>
      </w:tr>
    </w:tbl>
    <w:p w:rsidR="001A2871" w:rsidRPr="00A34388" w:rsidRDefault="001A2871" w:rsidP="001A2871">
      <w:pPr>
        <w:rPr>
          <w:rFonts w:cs="Arial"/>
          <w:szCs w:val="20"/>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NOTAS:</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1A2871">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keepNext/>
        <w:autoSpaceDE w:val="0"/>
        <w:autoSpaceDN w:val="0"/>
        <w:rPr>
          <w:rFonts w:cs="Arial"/>
          <w:sz w:val="16"/>
          <w:szCs w:val="16"/>
          <w:lang w:val="es-ES_tradnl"/>
        </w:rPr>
      </w:pPr>
    </w:p>
    <w:p w:rsidR="001A2871" w:rsidRPr="00A34388" w:rsidRDefault="001A2871" w:rsidP="004C0FD5">
      <w:pPr>
        <w:keepNext/>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keepNext/>
        <w:autoSpaceDE w:val="0"/>
        <w:autoSpaceDN w:val="0"/>
        <w:rPr>
          <w:sz w:val="16"/>
          <w:szCs w:val="16"/>
          <w:lang w:val="es-ES_tradnl"/>
        </w:rPr>
      </w:pPr>
    </w:p>
    <w:p w:rsidR="001A2871" w:rsidRPr="00332758" w:rsidRDefault="001A2871" w:rsidP="001A2871">
      <w:pPr>
        <w:rPr>
          <w:rFonts w:cs="Arial"/>
          <w:szCs w:val="20"/>
          <w:lang w:val="es-ES_tradnl"/>
        </w:rPr>
      </w:pPr>
    </w:p>
    <w:p w:rsidR="001A2871" w:rsidRPr="00332758" w:rsidRDefault="001A2871" w:rsidP="001A2871">
      <w:pPr>
        <w:keepNext/>
        <w:keepLines/>
        <w:tabs>
          <w:tab w:val="left" w:pos="709"/>
        </w:tabs>
        <w:jc w:val="both"/>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keepNext/>
        <w:keepLines/>
        <w:tabs>
          <w:tab w:val="left" w:pos="709"/>
        </w:tabs>
        <w:jc w:val="both"/>
        <w:rPr>
          <w:rFonts w:cs="Arial"/>
          <w:szCs w:val="20"/>
          <w:u w:val="single"/>
          <w:lang w:val="es-ES_tradnl"/>
        </w:rPr>
      </w:pPr>
    </w:p>
    <w:p w:rsidR="001A2871" w:rsidRPr="00A34388" w:rsidRDefault="001A2871" w:rsidP="001A2871">
      <w:pPr>
        <w:keepNext/>
        <w:tabs>
          <w:tab w:val="left" w:pos="709"/>
        </w:tabs>
        <w:autoSpaceDE w:val="0"/>
        <w:autoSpaceDN w:val="0"/>
        <w:jc w:val="both"/>
        <w:rPr>
          <w:rFonts w:cs="Arial"/>
          <w:szCs w:val="20"/>
          <w:lang w:val="es-ES_tradnl"/>
        </w:rPr>
      </w:pPr>
      <w:r w:rsidRPr="00332758">
        <w:rPr>
          <w:lang w:val="es-ES_tradnl"/>
        </w:rPr>
        <w:t>17.9.</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tabs>
          <w:tab w:val="left" w:pos="709"/>
        </w:tabs>
        <w:jc w:val="both"/>
        <w:rPr>
          <w:rFonts w:cs="Arial"/>
          <w:szCs w:val="20"/>
          <w:lang w:val="es-ES_tradnl"/>
        </w:rPr>
      </w:pPr>
    </w:p>
    <w:p w:rsidR="001A2871" w:rsidRPr="00A34388" w:rsidRDefault="001A2871" w:rsidP="001A2871">
      <w:pPr>
        <w:keepNext/>
        <w:keepLines/>
        <w:tabs>
          <w:tab w:val="left" w:pos="709"/>
        </w:tabs>
        <w:jc w:val="both"/>
        <w:rPr>
          <w:rFonts w:cs="Arial"/>
          <w:szCs w:val="20"/>
          <w:lang w:val="es-ES_tradnl"/>
        </w:rPr>
      </w:pPr>
      <w:r w:rsidRPr="00A34388">
        <w:rPr>
          <w:lang w:val="es-ES_tradnl"/>
        </w:rPr>
        <w:lastRenderedPageBreak/>
        <w:t>17.10.</w:t>
      </w:r>
      <w:r w:rsidRPr="00A34388">
        <w:rPr>
          <w:lang w:val="es-ES_tradnl"/>
        </w:rPr>
        <w:tab/>
        <w:t xml:space="preserve">La ligera reducción neta </w:t>
      </w:r>
      <w:r w:rsidR="0029126D" w:rsidRPr="00A34388">
        <w:rPr>
          <w:lang w:val="es-ES_tradnl"/>
        </w:rPr>
        <w:t xml:space="preserve">experimentada por </w:t>
      </w:r>
      <w:r w:rsidRPr="00A34388">
        <w:rPr>
          <w:lang w:val="es-ES_tradnl"/>
        </w:rPr>
        <w:t xml:space="preserve">la asignación </w:t>
      </w:r>
      <w:r w:rsidR="0029126D" w:rsidRPr="00A34388">
        <w:rPr>
          <w:lang w:val="es-ES_tradnl"/>
        </w:rPr>
        <w:t xml:space="preserve">de </w:t>
      </w:r>
      <w:r w:rsidRPr="00A34388">
        <w:rPr>
          <w:lang w:val="es-ES_tradnl"/>
        </w:rPr>
        <w:t xml:space="preserve">recursos de personal refleja la transferencia del programa de premios desde el programa 19, con los recursos de personal asociados, así como </w:t>
      </w:r>
      <w:r w:rsidR="0029126D" w:rsidRPr="00A34388">
        <w:rPr>
          <w:lang w:val="es-ES_tradnl"/>
        </w:rPr>
        <w:t xml:space="preserve">el traslado desde el programa </w:t>
      </w:r>
      <w:r w:rsidRPr="00A34388">
        <w:rPr>
          <w:lang w:val="es-ES_tradnl"/>
        </w:rPr>
        <w:t xml:space="preserve">de un puesto temporal con el fin de reforzar el trabajo del </w:t>
      </w:r>
      <w:r w:rsidR="009856E1">
        <w:rPr>
          <w:lang w:val="es-ES_tradnl"/>
        </w:rPr>
        <w:t xml:space="preserve">Grupo </w:t>
      </w:r>
      <w:r w:rsidRPr="00A34388">
        <w:rPr>
          <w:lang w:val="es-ES_tradnl"/>
        </w:rPr>
        <w:t xml:space="preserve">del Caribe en el </w:t>
      </w:r>
      <w:r w:rsidR="0029126D" w:rsidRPr="00A34388">
        <w:rPr>
          <w:lang w:val="es-ES_tradnl"/>
        </w:rPr>
        <w:t xml:space="preserve">marco del </w:t>
      </w:r>
      <w:r w:rsidRPr="00A34388">
        <w:rPr>
          <w:lang w:val="es-ES_tradnl"/>
        </w:rPr>
        <w:t>programa 9.</w:t>
      </w:r>
    </w:p>
    <w:p w:rsidR="001A2871" w:rsidRPr="00A34388" w:rsidRDefault="001A2871" w:rsidP="001A2871">
      <w:pPr>
        <w:keepNext/>
        <w:keepLines/>
        <w:tabs>
          <w:tab w:val="left" w:pos="709"/>
        </w:tabs>
        <w:jc w:val="both"/>
        <w:rPr>
          <w:rFonts w:cs="Arial"/>
          <w:szCs w:val="20"/>
          <w:u w:val="single"/>
          <w:lang w:val="es-ES_tradnl"/>
        </w:rPr>
      </w:pPr>
    </w:p>
    <w:p w:rsidR="001A2871" w:rsidRPr="00A34388" w:rsidRDefault="001A2871" w:rsidP="001A2871">
      <w:pPr>
        <w:keepNext/>
        <w:keepLines/>
        <w:tabs>
          <w:tab w:val="left" w:pos="709"/>
        </w:tabs>
        <w:jc w:val="both"/>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A741D2" w:rsidRPr="00A34388">
        <w:rPr>
          <w:u w:val="single"/>
          <w:lang w:val="es-ES_tradnl"/>
        </w:rPr>
        <w:t>en 2012</w:t>
      </w:r>
      <w:r w:rsidRPr="00A34388">
        <w:rPr>
          <w:u w:val="single"/>
          <w:lang w:val="es-ES_tradnl"/>
        </w:rPr>
        <w:t>/13</w:t>
      </w:r>
    </w:p>
    <w:p w:rsidR="001A2871" w:rsidRPr="00A34388" w:rsidRDefault="001A2871" w:rsidP="001A2871">
      <w:pPr>
        <w:tabs>
          <w:tab w:val="left" w:pos="709"/>
        </w:tabs>
        <w:jc w:val="both"/>
        <w:rPr>
          <w:rFonts w:cs="Arial"/>
          <w:szCs w:val="20"/>
          <w:lang w:val="es-ES_tradnl"/>
        </w:rPr>
      </w:pPr>
    </w:p>
    <w:p w:rsidR="001A2871" w:rsidRPr="00A34388" w:rsidRDefault="001A2871" w:rsidP="001A2871">
      <w:pPr>
        <w:tabs>
          <w:tab w:val="left" w:pos="709"/>
        </w:tabs>
        <w:autoSpaceDE w:val="0"/>
        <w:autoSpaceDN w:val="0"/>
        <w:adjustRightInd w:val="0"/>
        <w:jc w:val="both"/>
        <w:rPr>
          <w:rFonts w:eastAsia="Batang" w:cs="Arial"/>
          <w:szCs w:val="20"/>
          <w:lang w:val="es-ES_tradnl"/>
        </w:rPr>
      </w:pPr>
      <w:r w:rsidRPr="00A34388">
        <w:rPr>
          <w:lang w:val="es-ES_tradnl"/>
        </w:rPr>
        <w:t>17.11.</w:t>
      </w:r>
      <w:r w:rsidRPr="00A34388">
        <w:rPr>
          <w:lang w:val="es-ES_tradnl"/>
        </w:rPr>
        <w:tab/>
        <w:t xml:space="preserve">La utilización del presupuesto, que asciende al 96%, refleja un nivel de gastos ligeramente inferior al previsto </w:t>
      </w:r>
      <w:r w:rsidR="00A741D2" w:rsidRPr="00A34388">
        <w:rPr>
          <w:lang w:val="es-ES_tradnl"/>
        </w:rPr>
        <w:t xml:space="preserve">relacionado </w:t>
      </w:r>
      <w:r w:rsidRPr="00A34388">
        <w:rPr>
          <w:lang w:val="es-ES_tradnl"/>
        </w:rPr>
        <w:t xml:space="preserve">con la organización del Comité Asesor sobre Observancia (ACE), fundamentalmente debido al ahorro de costos en viajes de terceros. </w:t>
      </w:r>
    </w:p>
    <w:p w:rsidR="001A2871" w:rsidRPr="00A34388" w:rsidRDefault="001A2871" w:rsidP="001A2871">
      <w:pPr>
        <w:rPr>
          <w:rFonts w:cs="Arial"/>
          <w:szCs w:val="20"/>
          <w:lang w:val="es-ES_tradnl"/>
        </w:rPr>
      </w:pPr>
    </w:p>
    <w:p w:rsidR="001A2871" w:rsidRPr="00A34388" w:rsidRDefault="001A2871" w:rsidP="001A2871">
      <w:pPr>
        <w:rPr>
          <w:szCs w:val="20"/>
          <w:lang w:val="es-ES_tradnl"/>
        </w:rPr>
      </w:pPr>
      <w:r w:rsidRPr="00A34388">
        <w:rPr>
          <w:lang w:val="es-ES_tradnl"/>
        </w:rPr>
        <w:br w:type="page"/>
      </w:r>
    </w:p>
    <w:p w:rsidR="00F90BD6" w:rsidRPr="00332758" w:rsidRDefault="00F90BD6" w:rsidP="00F90BD6">
      <w:pPr>
        <w:pStyle w:val="Heading2"/>
        <w:rPr>
          <w:lang w:val="es-ES_tradnl"/>
        </w:rPr>
      </w:pPr>
      <w:bookmarkStart w:id="68" w:name="_Toc394319073"/>
      <w:bookmarkStart w:id="69" w:name="_Toc395279676"/>
      <w:r w:rsidRPr="00332758">
        <w:rPr>
          <w:caps w:val="0"/>
          <w:lang w:val="es-ES_tradnl"/>
        </w:rPr>
        <w:lastRenderedPageBreak/>
        <w:t>META ESTRATÉGICA VII</w:t>
      </w:r>
      <w:r w:rsidRPr="00332758">
        <w:rPr>
          <w:lang w:val="es-ES_tradnl"/>
        </w:rPr>
        <w:br/>
      </w:r>
      <w:r w:rsidRPr="00332758">
        <w:rPr>
          <w:lang w:val="es-ES_tradnl"/>
        </w:rPr>
        <w:br/>
        <w:t>Vínculos entre la P.I. y los problemas mundiales de política pública</w:t>
      </w:r>
      <w:bookmarkEnd w:id="68"/>
      <w:bookmarkEnd w:id="69"/>
      <w:r w:rsidRPr="00332758">
        <w:rPr>
          <w:lang w:val="es-ES_tradnl"/>
        </w:rPr>
        <w:t xml:space="preserve"> </w:t>
      </w:r>
    </w:p>
    <w:p w:rsidR="001A2871" w:rsidRPr="00A34388" w:rsidRDefault="001A2871" w:rsidP="001A2871">
      <w:pPr>
        <w:rPr>
          <w:lang w:val="es-ES_tradnl"/>
        </w:rPr>
      </w:pPr>
    </w:p>
    <w:p w:rsidR="001A2871" w:rsidRPr="00A34388" w:rsidRDefault="001A2871" w:rsidP="001A2871">
      <w:pPr>
        <w:rPr>
          <w:lang w:val="es-ES_tradnl"/>
        </w:rPr>
      </w:pPr>
    </w:p>
    <w:p w:rsidR="001A2871" w:rsidRPr="00A34388" w:rsidRDefault="001A2871" w:rsidP="001A2871">
      <w:pPr>
        <w:rPr>
          <w:lang w:val="es-ES_tradnl"/>
        </w:rPr>
      </w:pPr>
    </w:p>
    <w:p w:rsidR="001A2871" w:rsidRPr="00A34388" w:rsidRDefault="001A2871" w:rsidP="001A2871">
      <w:pPr>
        <w:jc w:val="center"/>
        <w:rPr>
          <w:szCs w:val="20"/>
          <w:lang w:val="es-ES_tradnl"/>
        </w:rPr>
      </w:pPr>
      <w:r w:rsidRPr="00332758">
        <w:rPr>
          <w:lang w:val="es-ES_tradnl"/>
        </w:rPr>
        <w:t>CUADRO SOBRE EL RENDIMIENTO BIENAL</w:t>
      </w:r>
    </w:p>
    <w:p w:rsidR="001A2871" w:rsidRPr="00A34388" w:rsidRDefault="001A2871" w:rsidP="001A2871">
      <w:pPr>
        <w:rPr>
          <w:lang w:val="es-ES_tradnl"/>
        </w:rPr>
      </w:pPr>
    </w:p>
    <w:p w:rsidR="001A2871" w:rsidRPr="00A34388" w:rsidRDefault="0029126D" w:rsidP="001A2871">
      <w:pPr>
        <w:autoSpaceDE w:val="0"/>
        <w:autoSpaceDN w:val="0"/>
        <w:adjustRightInd w:val="0"/>
        <w:jc w:val="both"/>
        <w:rPr>
          <w:rFonts w:cs="Arial"/>
          <w:lang w:val="es-ES_tradnl"/>
        </w:rPr>
      </w:pPr>
      <w:r w:rsidRPr="00A34388">
        <w:rPr>
          <w:lang w:val="es-ES_tradnl"/>
        </w:rPr>
        <w:t xml:space="preserve">En el siguiente </w:t>
      </w:r>
      <w:r w:rsidR="001A2871" w:rsidRPr="00A34388">
        <w:rPr>
          <w:lang w:val="es-ES_tradnl"/>
        </w:rPr>
        <w:t xml:space="preserve">cuadro </w:t>
      </w:r>
      <w:r w:rsidRPr="00A34388">
        <w:rPr>
          <w:lang w:val="es-ES_tradnl"/>
        </w:rPr>
        <w:t xml:space="preserve">se incluye una reseña general de la consecución de los </w:t>
      </w:r>
      <w:r w:rsidR="001A2871" w:rsidRPr="00A34388">
        <w:rPr>
          <w:lang w:val="es-ES_tradnl"/>
        </w:rPr>
        <w:t xml:space="preserve">resultados previstos en el bienio 2012/13 </w:t>
      </w:r>
      <w:r w:rsidRPr="00A34388">
        <w:rPr>
          <w:lang w:val="es-ES_tradnl"/>
        </w:rPr>
        <w:t xml:space="preserve">medidos por los </w:t>
      </w:r>
      <w:r w:rsidR="001A2871" w:rsidRPr="00A34388">
        <w:rPr>
          <w:lang w:val="es-ES_tradnl"/>
        </w:rPr>
        <w:t xml:space="preserve">indicadores </w:t>
      </w:r>
      <w:r w:rsidRPr="00A34388">
        <w:rPr>
          <w:lang w:val="es-ES_tradnl"/>
        </w:rPr>
        <w:t xml:space="preserve">relativos a </w:t>
      </w:r>
      <w:r w:rsidR="001A2871" w:rsidRPr="00A34388">
        <w:rPr>
          <w:lang w:val="es-ES_tradnl"/>
        </w:rPr>
        <w:t xml:space="preserve">los programas que contribuyen a esta meta estratégica.  </w:t>
      </w:r>
    </w:p>
    <w:p w:rsidR="001A2871" w:rsidRPr="00A34388" w:rsidRDefault="001A2871" w:rsidP="001A2871">
      <w:pPr>
        <w:autoSpaceDE w:val="0"/>
        <w:autoSpaceDN w:val="0"/>
        <w:adjustRightInd w:val="0"/>
        <w:jc w:val="both"/>
        <w:rPr>
          <w:rFonts w:cs="Arial"/>
          <w:lang w:val="es-ES_tradnl"/>
        </w:rPr>
      </w:pPr>
    </w:p>
    <w:p w:rsidR="001A2871" w:rsidRPr="00A34388" w:rsidRDefault="00672C0F" w:rsidP="00672C0F">
      <w:pPr>
        <w:autoSpaceDE w:val="0"/>
        <w:autoSpaceDN w:val="0"/>
        <w:adjustRightInd w:val="0"/>
        <w:jc w:val="center"/>
        <w:rPr>
          <w:rFonts w:cs="Arial"/>
          <w:lang w:val="es-ES_tradnl"/>
        </w:rPr>
      </w:pPr>
      <w:r>
        <w:rPr>
          <w:rFonts w:cs="Arial"/>
          <w:noProof/>
        </w:rPr>
        <w:drawing>
          <wp:inline distT="0" distB="0" distL="0" distR="0" wp14:anchorId="6AF3D58F" wp14:editId="2754D23A">
            <wp:extent cx="4458489" cy="2106329"/>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56161" cy="2105229"/>
                    </a:xfrm>
                    <a:prstGeom prst="rect">
                      <a:avLst/>
                    </a:prstGeom>
                    <a:noFill/>
                  </pic:spPr>
                </pic:pic>
              </a:graphicData>
            </a:graphic>
          </wp:inline>
        </w:drawing>
      </w:r>
    </w:p>
    <w:p w:rsidR="001A2871" w:rsidRPr="00A34388" w:rsidRDefault="001A2871" w:rsidP="001A2871">
      <w:pPr>
        <w:autoSpaceDE w:val="0"/>
        <w:autoSpaceDN w:val="0"/>
        <w:adjustRightInd w:val="0"/>
        <w:jc w:val="center"/>
        <w:rPr>
          <w:rFonts w:cs="Arial"/>
          <w:lang w:val="es-ES_tradnl"/>
        </w:rPr>
      </w:pPr>
    </w:p>
    <w:p w:rsidR="001A2871" w:rsidRPr="00A34388" w:rsidRDefault="001A2871" w:rsidP="001A2871">
      <w:pPr>
        <w:autoSpaceDE w:val="0"/>
        <w:autoSpaceDN w:val="0"/>
        <w:adjustRightInd w:val="0"/>
        <w:jc w:val="both"/>
        <w:rPr>
          <w:rFonts w:cs="Arial"/>
          <w:lang w:val="es-ES_tradnl"/>
        </w:rPr>
      </w:pPr>
    </w:p>
    <w:p w:rsidR="001A2871" w:rsidRPr="00A34388" w:rsidRDefault="001A2871" w:rsidP="001A2871">
      <w:pPr>
        <w:tabs>
          <w:tab w:val="left" w:pos="0"/>
        </w:tabs>
        <w:rPr>
          <w:rFonts w:cs="Arial"/>
          <w:i/>
          <w:sz w:val="22"/>
          <w:szCs w:val="22"/>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1A2871" w:rsidRPr="00A34388" w:rsidTr="00853209">
        <w:tc>
          <w:tcPr>
            <w:tcW w:w="3242"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Resultados previstos</w:t>
            </w:r>
          </w:p>
        </w:tc>
        <w:tc>
          <w:tcPr>
            <w:tcW w:w="3409"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366" w:type="dxa"/>
            <w:tcBorders>
              <w:top w:val="single" w:sz="4" w:space="0" w:color="auto"/>
              <w:bottom w:val="single" w:sz="4" w:space="0" w:color="auto"/>
            </w:tcBorders>
            <w:shd w:val="clear" w:color="auto" w:fill="CCFFFF"/>
            <w:vAlign w:val="center"/>
          </w:tcPr>
          <w:p w:rsidR="001A2871" w:rsidRPr="00A34388" w:rsidRDefault="001A2871" w:rsidP="00853209">
            <w:pPr>
              <w:spacing w:before="120" w:after="120"/>
              <w:jc w:val="center"/>
              <w:rPr>
                <w:rFonts w:cs="Arial"/>
                <w:b/>
                <w:bCs/>
                <w:color w:val="808080"/>
                <w:sz w:val="14"/>
                <w:szCs w:val="14"/>
                <w:lang w:val="es-ES_tradnl"/>
              </w:rPr>
            </w:pPr>
            <w:r w:rsidRPr="00332758">
              <w:rPr>
                <w:b/>
                <w:sz w:val="14"/>
                <w:lang w:val="es-ES_tradnl"/>
              </w:rPr>
              <w:t>Programas responsables</w:t>
            </w:r>
          </w:p>
        </w:tc>
        <w:tc>
          <w:tcPr>
            <w:tcW w:w="1349" w:type="dxa"/>
            <w:tcBorders>
              <w:top w:val="single" w:sz="4" w:space="0" w:color="auto"/>
              <w:bottom w:val="single" w:sz="4" w:space="0" w:color="auto"/>
            </w:tcBorders>
            <w:shd w:val="clear" w:color="auto" w:fill="CCFFFF"/>
            <w:vAlign w:val="center"/>
          </w:tcPr>
          <w:p w:rsidR="001A2871" w:rsidRPr="00332758" w:rsidRDefault="001A2871" w:rsidP="00853209">
            <w:pPr>
              <w:spacing w:before="120" w:after="120"/>
              <w:jc w:val="center"/>
              <w:rPr>
                <w:rFonts w:cs="Arial"/>
                <w:b/>
                <w:bCs/>
                <w:sz w:val="14"/>
                <w:szCs w:val="14"/>
                <w:lang w:val="es-ES_tradnl"/>
              </w:rPr>
            </w:pPr>
            <w:r w:rsidRPr="00332758">
              <w:rPr>
                <w:b/>
                <w:sz w:val="14"/>
                <w:lang w:val="es-ES_tradnl"/>
              </w:rPr>
              <w:t>Clave de colores</w:t>
            </w:r>
          </w:p>
        </w:tc>
      </w:tr>
      <w:tr w:rsidR="001A2871" w:rsidRPr="00A34388" w:rsidTr="00853209">
        <w:tc>
          <w:tcPr>
            <w:tcW w:w="3242" w:type="dxa"/>
            <w:vMerge w:val="restart"/>
            <w:tcBorders>
              <w:top w:val="single" w:sz="4" w:space="0" w:color="auto"/>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Conocimiento más adecuado entre los encargados de la adopción de políticas de la relación existente entre los desafíos mundiales y la innovación y la P.I. como base para formular políticas de manera más eficaz</w:t>
            </w:r>
            <w:r w:rsidRPr="00A34388">
              <w:rPr>
                <w:b/>
                <w:color w:val="000000"/>
                <w:sz w:val="14"/>
                <w:lang w:val="es-ES_tradnl"/>
              </w:rPr>
              <w:t>.</w:t>
            </w:r>
          </w:p>
        </w:tc>
        <w:tc>
          <w:tcPr>
            <w:tcW w:w="3409" w:type="dxa"/>
            <w:tcBorders>
              <w:top w:val="single" w:sz="4" w:space="0" w:color="auto"/>
              <w:bottom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Referencias a la labor de la OMPI en el ámbito de los desafíos mundiales en otros procesos de política.</w:t>
            </w:r>
          </w:p>
        </w:tc>
        <w:tc>
          <w:tcPr>
            <w:tcW w:w="1366" w:type="dxa"/>
            <w:tcBorders>
              <w:top w:val="single" w:sz="4" w:space="0" w:color="auto"/>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r w:rsidRPr="00A34388">
              <w:rPr>
                <w:sz w:val="14"/>
                <w:lang w:val="es-ES_tradnl"/>
              </w:rPr>
              <w:t xml:space="preserve"> </w:t>
            </w:r>
          </w:p>
        </w:tc>
        <w:tc>
          <w:tcPr>
            <w:tcW w:w="1349" w:type="dxa"/>
            <w:tcBorders>
              <w:top w:val="single" w:sz="4" w:space="0" w:color="auto"/>
              <w:bottom w:val="nil"/>
            </w:tcBorders>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409" w:type="dxa"/>
            <w:tcBorders>
              <w:top w:val="nil"/>
              <w:bottom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Mayor utilización del material que se ofrece en la página web de la División de Desafíos Mundiales.</w:t>
            </w:r>
          </w:p>
        </w:tc>
        <w:tc>
          <w:tcPr>
            <w:tcW w:w="1366" w:type="dxa"/>
            <w:tcBorders>
              <w:top w:val="nil"/>
              <w:bottom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p>
        </w:tc>
        <w:tc>
          <w:tcPr>
            <w:tcW w:w="1349" w:type="dxa"/>
            <w:tcBorders>
              <w:top w:val="nil"/>
              <w:bottom w:val="nil"/>
            </w:tcBorders>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vMerge/>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p>
        </w:tc>
        <w:tc>
          <w:tcPr>
            <w:tcW w:w="3409" w:type="dxa"/>
            <w:tcBorders>
              <w:top w:val="nil"/>
            </w:tcBorders>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Comentarios de los participantes en foros de política.</w:t>
            </w:r>
          </w:p>
        </w:tc>
        <w:tc>
          <w:tcPr>
            <w:tcW w:w="1366" w:type="dxa"/>
            <w:tcBorders>
              <w:top w:val="nil"/>
            </w:tcBorders>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r w:rsidRPr="00A34388">
              <w:rPr>
                <w:sz w:val="14"/>
                <w:lang w:val="es-ES_tradnl"/>
              </w:rPr>
              <w:t xml:space="preserve"> </w:t>
            </w:r>
          </w:p>
        </w:tc>
        <w:tc>
          <w:tcPr>
            <w:tcW w:w="1349" w:type="dxa"/>
            <w:tcBorders>
              <w:top w:val="nil"/>
            </w:tcBorders>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La OMPI constituye una fuente fidedigna de apoyo, asistencia y referencia para la información sobre la innovación y la P.I. en los pertinentes procesos de políticas públicas</w:t>
            </w:r>
            <w:r w:rsidRPr="00A34388">
              <w:rPr>
                <w:color w:val="FF00FF"/>
                <w:sz w:val="14"/>
                <w:lang w:val="es-ES_tradnl"/>
              </w:rPr>
              <w:t>.</w:t>
            </w:r>
            <w:r w:rsidRPr="00A34388">
              <w:rPr>
                <w:sz w:val="14"/>
                <w:lang w:val="es-ES_tradnl"/>
              </w:rPr>
              <w:t xml:space="preserve"> </w:t>
            </w:r>
          </w:p>
        </w:tc>
        <w:tc>
          <w:tcPr>
            <w:tcW w:w="3409"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y diversidad de peticiones concretas de Estados miembros y organizaciones internacionales que solicitan aportaciones de la OMPI en relación con la P.I. y las cuestiones mundiales de política pública.</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r w:rsidRPr="00A34388">
              <w:rPr>
                <w:sz w:val="14"/>
                <w:lang w:val="es-ES_tradnl"/>
              </w:rPr>
              <w:t xml:space="preserve"> </w:t>
            </w:r>
          </w:p>
        </w:tc>
        <w:tc>
          <w:tcPr>
            <w:tcW w:w="1349"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vMerge w:val="restart"/>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Las herramientas de P.I. se utilizan para la transferencia de tecnología por parte de países desarrollados a países en desarrollo, especialmente los países menos adelantados, para responder a los desafíos mundiales</w:t>
            </w:r>
            <w:r w:rsidRPr="00A34388">
              <w:rPr>
                <w:color w:val="FF00FF"/>
                <w:sz w:val="14"/>
                <w:lang w:val="es-ES_tradnl"/>
              </w:rPr>
              <w:t>.</w:t>
            </w:r>
          </w:p>
        </w:tc>
        <w:tc>
          <w:tcPr>
            <w:tcW w:w="3409"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participantes en plataformas de P.I.</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r w:rsidRPr="00A34388">
              <w:rPr>
                <w:sz w:val="14"/>
                <w:lang w:val="es-ES_tradnl"/>
              </w:rPr>
              <w:t xml:space="preserve"> </w:t>
            </w:r>
          </w:p>
        </w:tc>
        <w:tc>
          <w:tcPr>
            <w:tcW w:w="1349" w:type="dxa"/>
          </w:tcPr>
          <w:p w:rsidR="001A2871" w:rsidRPr="00A34388" w:rsidRDefault="001A2871" w:rsidP="00853209">
            <w:pPr>
              <w:jc w:val="center"/>
              <w:rPr>
                <w:rFonts w:cs="Arial"/>
                <w:color w:val="00B05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vMerge/>
            <w:shd w:val="clear" w:color="auto" w:fill="auto"/>
            <w:tcMar>
              <w:top w:w="113" w:type="dxa"/>
            </w:tcMar>
          </w:tcPr>
          <w:p w:rsidR="001A2871" w:rsidRPr="00A34388" w:rsidRDefault="001A2871" w:rsidP="00853209">
            <w:pPr>
              <w:spacing w:before="80"/>
              <w:rPr>
                <w:rFonts w:cs="Arial"/>
                <w:sz w:val="14"/>
                <w:szCs w:val="14"/>
                <w:lang w:val="es-ES_tradnl"/>
              </w:rPr>
            </w:pPr>
          </w:p>
        </w:tc>
        <w:tc>
          <w:tcPr>
            <w:tcW w:w="3409"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de transacciones realizadas por medio de la(s) plataforma(s).</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p>
        </w:tc>
        <w:tc>
          <w:tcPr>
            <w:tcW w:w="1349" w:type="dxa"/>
          </w:tcPr>
          <w:p w:rsidR="001A2871" w:rsidRPr="00A34388" w:rsidRDefault="001A2871" w:rsidP="00853209">
            <w:pPr>
              <w:jc w:val="center"/>
              <w:rPr>
                <w:rFonts w:cs="Arial"/>
                <w:sz w:val="22"/>
                <w:szCs w:val="22"/>
                <w:lang w:val="es-ES_tradnl"/>
              </w:rPr>
            </w:pPr>
            <w:r w:rsidRPr="00A34388">
              <w:rPr>
                <w:rFonts w:cs="Arial"/>
                <w:color w:val="E36C0A" w:themeColor="accent6" w:themeShade="BF"/>
                <w:sz w:val="22"/>
                <w:szCs w:val="22"/>
                <w:lang w:val="es-ES_tradnl"/>
              </w:rPr>
              <w:sym w:font="Wingdings" w:char="F06C"/>
            </w:r>
          </w:p>
        </w:tc>
      </w:tr>
      <w:tr w:rsidR="001A2871" w:rsidRPr="00A34388" w:rsidTr="00853209">
        <w:tc>
          <w:tcPr>
            <w:tcW w:w="3242" w:type="dxa"/>
            <w:shd w:val="clear" w:color="auto" w:fill="auto"/>
            <w:tcMar>
              <w:top w:w="113" w:type="dxa"/>
            </w:tcMar>
          </w:tcPr>
          <w:p w:rsidR="001A2871" w:rsidRPr="00A34388" w:rsidRDefault="001A2871" w:rsidP="00853209">
            <w:pPr>
              <w:spacing w:before="80"/>
              <w:rPr>
                <w:rFonts w:cs="Arial"/>
                <w:color w:val="808080"/>
                <w:sz w:val="14"/>
                <w:szCs w:val="14"/>
                <w:lang w:val="es-ES_tradnl"/>
              </w:rPr>
            </w:pPr>
            <w:r w:rsidRPr="00332758">
              <w:rPr>
                <w:sz w:val="14"/>
                <w:lang w:val="es-ES_tradnl"/>
              </w:rPr>
              <w:t>La OMPI es el foro pertinente para analizar y debatir cuestiones en el ámbito de la P.I. y la política de competencia</w:t>
            </w:r>
          </w:p>
        </w:tc>
        <w:tc>
          <w:tcPr>
            <w:tcW w:w="3409" w:type="dxa"/>
            <w:shd w:val="clear" w:color="auto" w:fill="auto"/>
            <w:tcMar>
              <w:top w:w="113" w:type="dxa"/>
            </w:tcMar>
          </w:tcPr>
          <w:p w:rsidR="001A2871" w:rsidRPr="00A34388" w:rsidRDefault="001A2871" w:rsidP="00853209">
            <w:pPr>
              <w:spacing w:before="80"/>
              <w:rPr>
                <w:rFonts w:cs="Arial"/>
                <w:color w:val="000000"/>
                <w:sz w:val="14"/>
                <w:szCs w:val="14"/>
                <w:lang w:val="es-ES_tradnl"/>
              </w:rPr>
            </w:pPr>
            <w:r w:rsidRPr="00332758">
              <w:rPr>
                <w:sz w:val="14"/>
                <w:lang w:val="es-ES_tradnl"/>
              </w:rPr>
              <w:t>Número de países que solicitan aportaciones concretas de la OMPI en relación con la P.I. y las cuestiones relativas al Derecho de competencia.</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p>
        </w:tc>
        <w:tc>
          <w:tcPr>
            <w:tcW w:w="1349"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1A2871" w:rsidRPr="00A34388" w:rsidTr="00853209">
        <w:tc>
          <w:tcPr>
            <w:tcW w:w="3242" w:type="dxa"/>
            <w:shd w:val="clear" w:color="auto" w:fill="auto"/>
            <w:tcMar>
              <w:top w:w="113" w:type="dxa"/>
            </w:tcMar>
          </w:tcPr>
          <w:p w:rsidR="001A2871" w:rsidRPr="00A34388" w:rsidRDefault="001A2871" w:rsidP="00853209">
            <w:pPr>
              <w:spacing w:before="80"/>
              <w:ind w:firstLineChars="100" w:firstLine="140"/>
              <w:rPr>
                <w:rFonts w:cs="Arial"/>
                <w:sz w:val="14"/>
                <w:szCs w:val="14"/>
                <w:lang w:val="es-ES_tradnl"/>
              </w:rPr>
            </w:pPr>
            <w:r w:rsidRPr="00A34388">
              <w:rPr>
                <w:sz w:val="14"/>
                <w:lang w:val="es-ES_tradnl"/>
              </w:rPr>
              <w:t> </w:t>
            </w:r>
          </w:p>
        </w:tc>
        <w:tc>
          <w:tcPr>
            <w:tcW w:w="3409" w:type="dxa"/>
            <w:shd w:val="clear" w:color="auto" w:fill="auto"/>
            <w:tcMar>
              <w:top w:w="113" w:type="dxa"/>
            </w:tcMar>
          </w:tcPr>
          <w:p w:rsidR="001A2871" w:rsidRPr="00A34388" w:rsidRDefault="001A2871" w:rsidP="00853209">
            <w:pPr>
              <w:spacing w:before="80"/>
              <w:rPr>
                <w:rFonts w:cs="Arial"/>
                <w:sz w:val="14"/>
                <w:szCs w:val="14"/>
                <w:lang w:val="es-ES_tradnl"/>
              </w:rPr>
            </w:pPr>
            <w:r w:rsidRPr="00332758">
              <w:rPr>
                <w:sz w:val="14"/>
                <w:lang w:val="es-ES_tradnl"/>
              </w:rPr>
              <w:t>Número y diversidad de sectores interesados (oficinas de P.I., autoridades encargadas de cuestiones de competencia, OIG y ONG) que entablan diálogo con la OMPI.</w:t>
            </w:r>
          </w:p>
        </w:tc>
        <w:tc>
          <w:tcPr>
            <w:tcW w:w="1366" w:type="dxa"/>
            <w:shd w:val="clear" w:color="auto" w:fill="auto"/>
            <w:tcMar>
              <w:top w:w="113" w:type="dxa"/>
            </w:tcMar>
          </w:tcPr>
          <w:p w:rsidR="001A2871" w:rsidRPr="00A34388" w:rsidRDefault="001A2871" w:rsidP="00853209">
            <w:pPr>
              <w:spacing w:before="80"/>
              <w:jc w:val="center"/>
              <w:rPr>
                <w:rFonts w:cs="Arial"/>
                <w:sz w:val="14"/>
                <w:szCs w:val="14"/>
                <w:lang w:val="es-ES_tradnl"/>
              </w:rPr>
            </w:pPr>
            <w:r w:rsidRPr="00332758">
              <w:rPr>
                <w:sz w:val="14"/>
                <w:lang w:val="es-ES_tradnl"/>
              </w:rPr>
              <w:t>Programa 18</w:t>
            </w:r>
          </w:p>
        </w:tc>
        <w:tc>
          <w:tcPr>
            <w:tcW w:w="1349" w:type="dxa"/>
          </w:tcPr>
          <w:p w:rsidR="001A2871" w:rsidRPr="00A34388" w:rsidRDefault="001A2871" w:rsidP="00853209">
            <w:pPr>
              <w:jc w:val="center"/>
              <w:rPr>
                <w:rFonts w:cs="Arial"/>
                <w:color w:val="008000"/>
                <w:sz w:val="22"/>
                <w:szCs w:val="22"/>
                <w:lang w:val="es-ES_tradnl"/>
              </w:rPr>
            </w:pPr>
            <w:r w:rsidRPr="00A34388">
              <w:rPr>
                <w:rFonts w:cs="Arial"/>
                <w:color w:val="008000"/>
                <w:sz w:val="22"/>
                <w:szCs w:val="22"/>
                <w:lang w:val="es-ES_tradnl"/>
              </w:rPr>
              <w:sym w:font="Wingdings" w:char="F06C"/>
            </w:r>
          </w:p>
        </w:tc>
      </w:tr>
    </w:tbl>
    <w:p w:rsidR="001A2871" w:rsidRPr="00A34388" w:rsidRDefault="001A2871" w:rsidP="001A2871">
      <w:pPr>
        <w:tabs>
          <w:tab w:val="left" w:pos="0"/>
        </w:tabs>
        <w:rPr>
          <w:rFonts w:cs="Arial"/>
          <w:iCs/>
          <w:lang w:val="es-ES_tradnl"/>
        </w:rPr>
      </w:pPr>
    </w:p>
    <w:p w:rsidR="001A2871" w:rsidRPr="00A34388" w:rsidRDefault="001A2871" w:rsidP="001A2871">
      <w:pPr>
        <w:rPr>
          <w:rFonts w:ascii="Arial Bold" w:eastAsiaTheme="majorEastAsia" w:hAnsi="Arial Bold" w:cstheme="majorBidi" w:hint="eastAsia"/>
          <w:b/>
          <w:bCs/>
          <w:sz w:val="22"/>
          <w:lang w:val="es-ES_tradnl"/>
        </w:rPr>
      </w:pPr>
      <w:r w:rsidRPr="00A34388">
        <w:rPr>
          <w:lang w:val="es-ES_tradnl"/>
        </w:rPr>
        <w:br w:type="page"/>
      </w:r>
    </w:p>
    <w:p w:rsidR="00F90BD6" w:rsidRPr="003934C8" w:rsidRDefault="00F90BD6" w:rsidP="00F90BD6">
      <w:pPr>
        <w:pStyle w:val="Heading3"/>
        <w:rPr>
          <w:rFonts w:hint="eastAsia"/>
          <w:lang w:val="es-ES"/>
        </w:rPr>
      </w:pPr>
      <w:bookmarkStart w:id="70" w:name="_Toc394319074"/>
      <w:bookmarkStart w:id="71" w:name="_Toc395279677"/>
      <w:r w:rsidRPr="003934C8">
        <w:rPr>
          <w:lang w:val="es-ES"/>
        </w:rPr>
        <w:lastRenderedPageBreak/>
        <w:t>Programa 18</w:t>
      </w:r>
      <w:r w:rsidRPr="003934C8">
        <w:rPr>
          <w:lang w:val="es-ES"/>
        </w:rPr>
        <w:tab/>
        <w:t>La P.I. y los desafíos mundiales</w:t>
      </w:r>
      <w:bookmarkEnd w:id="70"/>
      <w:bookmarkEnd w:id="71"/>
    </w:p>
    <w:p w:rsidR="00F90BD6" w:rsidRPr="00353D5C" w:rsidRDefault="00F90BD6" w:rsidP="00F90BD6">
      <w:pPr>
        <w:rPr>
          <w:b/>
          <w:sz w:val="22"/>
          <w:szCs w:val="22"/>
          <w:lang w:val="es-ES_tradnl"/>
        </w:rPr>
      </w:pPr>
    </w:p>
    <w:p w:rsidR="00F90BD6" w:rsidRPr="00353D5C" w:rsidRDefault="00F90BD6" w:rsidP="00F90BD6">
      <w:pPr>
        <w:tabs>
          <w:tab w:val="left" w:pos="2694"/>
        </w:tabs>
        <w:rPr>
          <w:b/>
          <w:sz w:val="22"/>
          <w:szCs w:val="22"/>
          <w:lang w:val="es-ES_tradnl"/>
        </w:rPr>
      </w:pPr>
      <w:bookmarkStart w:id="72" w:name="_Toc394319075"/>
      <w:bookmarkStart w:id="73" w:name="_Toc394914520"/>
      <w:r w:rsidRPr="00353D5C">
        <w:rPr>
          <w:b/>
          <w:sz w:val="22"/>
          <w:szCs w:val="22"/>
          <w:lang w:val="es-ES_tradnl"/>
        </w:rPr>
        <w:t>Director del Programa</w:t>
      </w:r>
      <w:r w:rsidRPr="00353D5C">
        <w:rPr>
          <w:b/>
          <w:sz w:val="22"/>
          <w:szCs w:val="22"/>
          <w:lang w:val="es-ES_tradnl"/>
        </w:rPr>
        <w:tab/>
        <w:t>Sr. J. C. Wichard</w:t>
      </w:r>
      <w:bookmarkEnd w:id="72"/>
      <w:bookmarkEnd w:id="73"/>
    </w:p>
    <w:p w:rsidR="001A2871" w:rsidRPr="00A34388" w:rsidRDefault="001A2871" w:rsidP="001A2871">
      <w:pPr>
        <w:rPr>
          <w:rFonts w:cs="Arial"/>
          <w:sz w:val="22"/>
          <w:szCs w:val="22"/>
          <w:lang w:val="es-ES_tradnl"/>
        </w:rPr>
      </w:pPr>
    </w:p>
    <w:p w:rsidR="001A2871" w:rsidRPr="00A34388" w:rsidRDefault="001A2871" w:rsidP="001A2871">
      <w:pPr>
        <w:rPr>
          <w:rFonts w:cs="Arial"/>
          <w:bCs/>
          <w:color w:val="000000" w:themeColor="text1"/>
          <w:sz w:val="22"/>
          <w:szCs w:val="22"/>
          <w:lang w:val="es-ES_tradnl"/>
        </w:rPr>
      </w:pPr>
    </w:p>
    <w:p w:rsidR="001A2871" w:rsidRPr="00A34388" w:rsidRDefault="003E3F45" w:rsidP="001A2871">
      <w:pPr>
        <w:rPr>
          <w:rFonts w:cs="Arial"/>
          <w:color w:val="000000" w:themeColor="text1"/>
          <w:sz w:val="22"/>
          <w:szCs w:val="22"/>
          <w:lang w:val="es-ES_tradnl"/>
        </w:rPr>
      </w:pPr>
      <w:r>
        <w:rPr>
          <w:color w:val="000000" w:themeColor="text1"/>
          <w:sz w:val="22"/>
          <w:lang w:val="es-ES_tradnl"/>
        </w:rPr>
        <w:t>AVANCES LOGRADOS EN EL BIENIO 2012/13</w:t>
      </w:r>
    </w:p>
    <w:p w:rsidR="001A2871" w:rsidRPr="00A34388" w:rsidRDefault="001A2871" w:rsidP="001A2871">
      <w:pPr>
        <w:rPr>
          <w:rFonts w:cs="Arial"/>
          <w:color w:val="000000" w:themeColor="text1"/>
          <w:sz w:val="22"/>
          <w:szCs w:val="22"/>
          <w:lang w:val="es-ES_tradnl"/>
        </w:rPr>
      </w:pPr>
    </w:p>
    <w:p w:rsidR="001A2871" w:rsidRPr="00A34388" w:rsidRDefault="001A2871" w:rsidP="001A2871">
      <w:pPr>
        <w:pStyle w:val="Default"/>
        <w:tabs>
          <w:tab w:val="left" w:pos="709"/>
        </w:tabs>
        <w:jc w:val="both"/>
        <w:rPr>
          <w:color w:val="000000" w:themeColor="text1"/>
          <w:sz w:val="20"/>
          <w:szCs w:val="20"/>
          <w:lang w:val="es-ES_tradnl"/>
        </w:rPr>
      </w:pPr>
      <w:r w:rsidRPr="00332758">
        <w:rPr>
          <w:color w:val="auto"/>
          <w:sz w:val="20"/>
          <w:lang w:val="es-ES_tradnl"/>
        </w:rPr>
        <w:t>18.1.</w:t>
      </w:r>
      <w:r w:rsidRPr="00A34388">
        <w:rPr>
          <w:lang w:val="es-ES_tradnl"/>
        </w:rPr>
        <w:tab/>
      </w:r>
      <w:r w:rsidRPr="00332758">
        <w:rPr>
          <w:color w:val="auto"/>
          <w:sz w:val="20"/>
          <w:lang w:val="es-ES_tradnl"/>
        </w:rPr>
        <w:t>En este programa se abordan la innovación y la P.I. desde la perspectiva de varios problemas mundiales de carácter urgente que están relacionados entre sí, especialmente los de la salud mundial, el cambio climático y la seguridad alimentaria.</w:t>
      </w:r>
      <w:r w:rsidRPr="00A34388">
        <w:rPr>
          <w:color w:val="000000" w:themeColor="text1"/>
          <w:sz w:val="20"/>
          <w:lang w:val="es-ES_tradnl"/>
        </w:rPr>
        <w:t xml:space="preserve">  En 2012/13, el programa continuó contribuyendo a una mejor comprensión, por parte de los responsables de la adopción de políticas, de la relación entre los desafíos mundiales, la innovación y la P.I., incluidas dos plataformas de múltiples interesados sobre innovación y transferencia de tecnología (WIPO Re:Search y WIPO GREEN), y siguió colaborando con la OMS y la OMC para abordar la confluencia de la salud, la propiedad intelectual, la innovación y el comercio.  </w:t>
      </w:r>
      <w:r w:rsidRPr="00332758">
        <w:rPr>
          <w:color w:val="auto"/>
          <w:sz w:val="20"/>
          <w:lang w:val="es-ES_tradnl"/>
        </w:rPr>
        <w:t xml:space="preserve">El programa siguió gozando del apoyo y los comentarios positivos de una amplia gama de sectores interesados hacia la labor desempeñada por la OMPI en el ámbito de la P.I. y los desafíos mundiales.  </w:t>
      </w:r>
    </w:p>
    <w:p w:rsidR="001A2871" w:rsidRPr="00A34388" w:rsidRDefault="001A2871" w:rsidP="001A2871">
      <w:pPr>
        <w:pStyle w:val="Default"/>
        <w:tabs>
          <w:tab w:val="left" w:pos="709"/>
        </w:tabs>
        <w:jc w:val="both"/>
        <w:rPr>
          <w:color w:val="000000" w:themeColor="text1"/>
          <w:sz w:val="20"/>
          <w:szCs w:val="20"/>
          <w:lang w:val="es-ES_tradnl"/>
        </w:rPr>
      </w:pPr>
    </w:p>
    <w:p w:rsidR="001A2871" w:rsidRPr="00A34388" w:rsidRDefault="001A2871" w:rsidP="001A2871">
      <w:pPr>
        <w:tabs>
          <w:tab w:val="left" w:pos="709"/>
        </w:tabs>
        <w:jc w:val="both"/>
        <w:rPr>
          <w:rFonts w:cs="Arial"/>
          <w:color w:val="000000" w:themeColor="text1"/>
          <w:szCs w:val="20"/>
          <w:lang w:val="es-ES_tradnl"/>
        </w:rPr>
      </w:pPr>
      <w:r w:rsidRPr="00A34388">
        <w:rPr>
          <w:color w:val="000000" w:themeColor="text1"/>
          <w:lang w:val="es-ES_tradnl"/>
        </w:rPr>
        <w:t xml:space="preserve">18.2. </w:t>
      </w:r>
      <w:r w:rsidRPr="00A34388">
        <w:rPr>
          <w:lang w:val="es-ES_tradnl"/>
        </w:rPr>
        <w:tab/>
      </w:r>
      <w:r w:rsidRPr="00A34388">
        <w:rPr>
          <w:color w:val="000000" w:themeColor="text1"/>
          <w:lang w:val="es-ES_tradnl"/>
        </w:rPr>
        <w:t xml:space="preserve">En estrecha colaboración con una serie de sectores pertinentes de la OMPI, sobre todo con el programa 20, las iniciativas adoptadas se han traducido en un mayor reconocimiento de la OMPI como fuente fiable de apoyo, cooperación y referencia en aspectos relacionados con las políticas públicas y la propiedad intelectual, lo que ha dado lugar a continuas invitaciones a la Organización a contribuir y participar en foros de políticas públicas organizados por otras organizaciones, incluidas la OMS, la OMC, las ONG, las universidades e instituciones como el Instituto Universitario de Altos Estudios Internacionales y Desarrollo.  La organización de tres Seminarios sobre Desafíos Mundiales auspiciados por la OMPI en 2012 proporcionó un foro para que los participantes intercambiaran ideas, experiencias e información relacionadas con cada uno de los tres ámbitos de actuación </w:t>
      </w:r>
      <w:r w:rsidR="001D7B21" w:rsidRPr="00A34388">
        <w:rPr>
          <w:color w:val="000000" w:themeColor="text1"/>
          <w:lang w:val="es-ES_tradnl"/>
        </w:rPr>
        <w:t xml:space="preserve">clave </w:t>
      </w:r>
      <w:r w:rsidRPr="00A34388">
        <w:rPr>
          <w:color w:val="000000" w:themeColor="text1"/>
          <w:lang w:val="es-ES_tradnl"/>
        </w:rPr>
        <w:t xml:space="preserve">del programa.  Además, en julio de 2013 se organizó un simposio técnico conjunto de la OMS, la OMC y la OMPI sobre "La innovación en el campo de la medicina – Cambios en la forma de realizarla", que pone de relieve la importancia de la cooperación entre todos los sectores y los sectores interesados para lograr mejores resultados. </w:t>
      </w:r>
    </w:p>
    <w:p w:rsidR="001A2871" w:rsidRPr="00A34388" w:rsidRDefault="001A2871" w:rsidP="001A2871">
      <w:pPr>
        <w:pStyle w:val="Default"/>
        <w:tabs>
          <w:tab w:val="left" w:pos="709"/>
        </w:tabs>
        <w:jc w:val="both"/>
        <w:rPr>
          <w:bCs/>
          <w:color w:val="000000" w:themeColor="text1"/>
          <w:sz w:val="20"/>
          <w:szCs w:val="20"/>
          <w:lang w:val="es-ES_tradnl"/>
        </w:rPr>
      </w:pPr>
    </w:p>
    <w:p w:rsidR="001A2871" w:rsidRPr="00A34388" w:rsidRDefault="001A2871" w:rsidP="001A2871">
      <w:pPr>
        <w:pStyle w:val="Default"/>
        <w:tabs>
          <w:tab w:val="left" w:pos="709"/>
        </w:tabs>
        <w:jc w:val="both"/>
        <w:rPr>
          <w:bCs/>
          <w:color w:val="000000" w:themeColor="text1"/>
          <w:sz w:val="20"/>
          <w:szCs w:val="20"/>
          <w:lang w:val="es-ES_tradnl"/>
        </w:rPr>
      </w:pPr>
      <w:r w:rsidRPr="00A34388">
        <w:rPr>
          <w:color w:val="000000" w:themeColor="text1"/>
          <w:sz w:val="20"/>
          <w:lang w:val="es-ES_tradnl"/>
        </w:rPr>
        <w:t xml:space="preserve">18.3. </w:t>
      </w:r>
      <w:r w:rsidRPr="00A34388">
        <w:rPr>
          <w:lang w:val="es-ES_tradnl"/>
        </w:rPr>
        <w:tab/>
      </w:r>
      <w:r w:rsidRPr="00A34388">
        <w:rPr>
          <w:color w:val="000000" w:themeColor="text1"/>
          <w:sz w:val="20"/>
          <w:lang w:val="es-ES_tradnl"/>
        </w:rPr>
        <w:t xml:space="preserve">La cooperación trilateral con la OMS y la OMC se centró también en la mejora de la comprensión de los ámbitos de convergencia entre salud, propiedad intelectual y comercio que tienen los responsables de la adopción de políticas.  Cabe destacar que la colaboración se tradujo en la publicación en 2013 del estudio técnico conjunto titulado </w:t>
      </w:r>
      <w:r w:rsidRPr="00A34388">
        <w:rPr>
          <w:i/>
          <w:color w:val="000000" w:themeColor="text1"/>
          <w:sz w:val="20"/>
          <w:lang w:val="es-ES_tradnl"/>
        </w:rPr>
        <w:t>Promoting Access to Medical Technologies and Innovation (“Promover el acceso a las tecnologías y la innovación en medicina</w:t>
      </w:r>
      <w:r w:rsidRPr="00A34388">
        <w:rPr>
          <w:color w:val="000000" w:themeColor="text1"/>
          <w:sz w:val="20"/>
          <w:lang w:val="es-ES_tradnl"/>
        </w:rPr>
        <w:t>”)</w:t>
      </w:r>
      <w:r w:rsidRPr="00A34388">
        <w:rPr>
          <w:rStyle w:val="FootnoteReference"/>
          <w:i/>
          <w:color w:val="000000" w:themeColor="text1"/>
          <w:sz w:val="20"/>
          <w:lang w:val="es-ES_tradnl"/>
        </w:rPr>
        <w:footnoteReference w:id="35"/>
      </w:r>
      <w:r w:rsidRPr="00A34388">
        <w:rPr>
          <w:i/>
          <w:sz w:val="20"/>
          <w:lang w:val="es-ES_tradnl"/>
        </w:rPr>
        <w:t>,</w:t>
      </w:r>
      <w:r w:rsidRPr="00A34388">
        <w:rPr>
          <w:color w:val="000000" w:themeColor="text1"/>
          <w:sz w:val="20"/>
          <w:lang w:val="es-ES_tradnl"/>
        </w:rPr>
        <w:t xml:space="preserve"> que proporciona un repaso detallado de la situación actual, así como abundantes fuentes de información empírica sobre todos los aspectos de estas esferas.  Además, el estudio constituye una guía sobre los marcos institucional y jurídico disponibles para abordar la confluencia de estos tres ámbitos, especialmente en el contexto de los mandatos de las tres organizaciones y en apoyo a sus iniciativas de creación de capacidad.  </w:t>
      </w:r>
    </w:p>
    <w:p w:rsidR="001A2871" w:rsidRPr="00A34388" w:rsidRDefault="001A2871" w:rsidP="001A2871">
      <w:pPr>
        <w:pStyle w:val="Default"/>
        <w:tabs>
          <w:tab w:val="left" w:pos="567"/>
          <w:tab w:val="left" w:pos="709"/>
        </w:tabs>
        <w:jc w:val="both"/>
        <w:rPr>
          <w:color w:val="000000" w:themeColor="text1"/>
          <w:sz w:val="20"/>
          <w:szCs w:val="20"/>
          <w:lang w:val="es-ES_tradnl"/>
        </w:rPr>
      </w:pPr>
    </w:p>
    <w:p w:rsidR="001A2871" w:rsidRPr="00A34388" w:rsidRDefault="001A2871" w:rsidP="001A2871">
      <w:pPr>
        <w:pStyle w:val="Default"/>
        <w:tabs>
          <w:tab w:val="left" w:pos="709"/>
        </w:tabs>
        <w:jc w:val="both"/>
        <w:rPr>
          <w:color w:val="000000" w:themeColor="text1"/>
          <w:sz w:val="20"/>
          <w:szCs w:val="20"/>
          <w:lang w:val="es-ES_tradnl"/>
        </w:rPr>
      </w:pPr>
      <w:r w:rsidRPr="00A34388">
        <w:rPr>
          <w:color w:val="000000" w:themeColor="text1"/>
          <w:sz w:val="20"/>
          <w:lang w:val="es-ES_tradnl"/>
        </w:rPr>
        <w:t xml:space="preserve">18.4. </w:t>
      </w:r>
      <w:r w:rsidRPr="00A34388">
        <w:rPr>
          <w:lang w:val="es-ES_tradnl"/>
        </w:rPr>
        <w:tab/>
      </w:r>
      <w:r w:rsidRPr="00A34388">
        <w:rPr>
          <w:color w:val="000000" w:themeColor="text1"/>
          <w:sz w:val="20"/>
          <w:lang w:val="es-ES_tradnl"/>
        </w:rPr>
        <w:t xml:space="preserve">Un importante hito durante el bienio fue </w:t>
      </w:r>
      <w:r w:rsidR="009856E1">
        <w:rPr>
          <w:color w:val="000000" w:themeColor="text1"/>
          <w:sz w:val="20"/>
          <w:lang w:val="es-ES_tradnl"/>
        </w:rPr>
        <w:t>la puesta en funcionamiento</w:t>
      </w:r>
      <w:r w:rsidRPr="00A34388">
        <w:rPr>
          <w:color w:val="000000" w:themeColor="text1"/>
          <w:sz w:val="20"/>
          <w:lang w:val="es-ES_tradnl"/>
        </w:rPr>
        <w:t xml:space="preserve"> de </w:t>
      </w:r>
      <w:r w:rsidR="009856E1">
        <w:rPr>
          <w:color w:val="000000" w:themeColor="text1"/>
          <w:sz w:val="20"/>
          <w:lang w:val="es-ES_tradnl"/>
        </w:rPr>
        <w:t xml:space="preserve">la </w:t>
      </w:r>
      <w:r w:rsidR="009856E1" w:rsidRPr="00A34388">
        <w:rPr>
          <w:color w:val="000000" w:themeColor="text1"/>
          <w:sz w:val="20"/>
          <w:lang w:val="es-ES_tradnl"/>
        </w:rPr>
        <w:t xml:space="preserve">plataforma </w:t>
      </w:r>
      <w:r w:rsidRPr="00A34388">
        <w:rPr>
          <w:color w:val="000000" w:themeColor="text1"/>
          <w:sz w:val="20"/>
          <w:lang w:val="es-ES_tradnl"/>
        </w:rPr>
        <w:t xml:space="preserve">WIPO GREEN en noviembre de 2013.  WIPO GREEN es un mercado interactivo que promueve la innovación y la difusión de tecnologías verdes al establecer vínculos entre los que buscan soluciones innovadoras y proveedores de tecnologías y servicios.  Entre sus socios se cuentan OIG, como PNUMA y el Centro y Red de Tecnología del Clima, instituciones del sector público, pequeñas y grandes empresas y varias ONG.  El creciente número de socios y su voluntad de mejorar la calidad y cantidad de registros incluidos en la base de datos de WIPO GREEN demuestran el potencial que WIPO GREEN tiene para apoyar la transferencia de tecnología de países desarrollados a países en desarrollo y las colaboraciones sur-sur.  Al final de 2013, la base de datos de WIPO GREEN contaba con 737 registros.  Durante esta fase de construcción, se continuó haciendo hincapié en la formación de un grupo sólido de colaboradores y el incremento del número de registros, con el objetivo de promover una mayor interacción en el mercado y el uso transaccional de la plataforma en el futuro.  Por lo tanto, durante el bienio no se llevaron a cabo transacciones. </w:t>
      </w:r>
    </w:p>
    <w:p w:rsidR="001A2871" w:rsidRPr="00A34388" w:rsidRDefault="001A2871" w:rsidP="001A2871">
      <w:pPr>
        <w:pStyle w:val="Default"/>
        <w:tabs>
          <w:tab w:val="left" w:pos="567"/>
          <w:tab w:val="left" w:pos="709"/>
        </w:tabs>
        <w:jc w:val="both"/>
        <w:rPr>
          <w:color w:val="000000" w:themeColor="text1"/>
          <w:sz w:val="20"/>
          <w:szCs w:val="20"/>
          <w:lang w:val="es-ES_tradnl"/>
        </w:rPr>
      </w:pPr>
    </w:p>
    <w:p w:rsidR="001A2871" w:rsidRPr="00A34388" w:rsidRDefault="001A2871" w:rsidP="001A2871">
      <w:pPr>
        <w:pStyle w:val="Default"/>
        <w:tabs>
          <w:tab w:val="left" w:pos="709"/>
        </w:tabs>
        <w:jc w:val="both"/>
        <w:rPr>
          <w:color w:val="000000" w:themeColor="text1"/>
          <w:sz w:val="20"/>
          <w:szCs w:val="20"/>
          <w:lang w:val="es-ES_tradnl"/>
        </w:rPr>
      </w:pPr>
      <w:r w:rsidRPr="00A34388">
        <w:rPr>
          <w:color w:val="000000" w:themeColor="text1"/>
          <w:sz w:val="20"/>
          <w:lang w:val="es-ES_tradnl"/>
        </w:rPr>
        <w:t xml:space="preserve">18.5. </w:t>
      </w:r>
      <w:r w:rsidRPr="00A34388">
        <w:rPr>
          <w:lang w:val="es-ES_tradnl"/>
        </w:rPr>
        <w:tab/>
      </w:r>
      <w:r w:rsidRPr="00A34388">
        <w:rPr>
          <w:color w:val="000000" w:themeColor="text1"/>
          <w:sz w:val="20"/>
          <w:lang w:val="es-ES_tradnl"/>
        </w:rPr>
        <w:t xml:space="preserve">WIPO Re:Search – </w:t>
      </w:r>
      <w:r w:rsidRPr="00A34388">
        <w:rPr>
          <w:i/>
          <w:color w:val="000000" w:themeColor="text1"/>
          <w:sz w:val="20"/>
          <w:lang w:val="es-ES_tradnl"/>
        </w:rPr>
        <w:t>Compartir la innovación en la lucha contra las enfermedades tropicales desatendidas</w:t>
      </w:r>
      <w:r w:rsidRPr="00A34388">
        <w:rPr>
          <w:color w:val="000000" w:themeColor="text1"/>
          <w:sz w:val="20"/>
          <w:lang w:val="es-ES_tradnl"/>
        </w:rPr>
        <w:t xml:space="preserve"> –</w:t>
      </w:r>
      <w:r w:rsidRPr="00A34388">
        <w:rPr>
          <w:i/>
          <w:color w:val="000000" w:themeColor="text1"/>
          <w:sz w:val="20"/>
          <w:lang w:val="es-ES_tradnl"/>
        </w:rPr>
        <w:t xml:space="preserve"> </w:t>
      </w:r>
      <w:r w:rsidRPr="00A34388">
        <w:rPr>
          <w:color w:val="000000" w:themeColor="text1"/>
          <w:sz w:val="20"/>
          <w:lang w:val="es-ES_tradnl"/>
        </w:rPr>
        <w:t xml:space="preserve">registró avances significativos durante el bienio, logrando un mayor reconocimiento como plataforma de apoyo a la innovación y la transferencia de tecnología relacionada con la investigación en el ámbito de </w:t>
      </w:r>
      <w:r w:rsidR="009856E1">
        <w:rPr>
          <w:color w:val="000000" w:themeColor="text1"/>
          <w:sz w:val="20"/>
          <w:lang w:val="es-ES_tradnl"/>
        </w:rPr>
        <w:t xml:space="preserve">las </w:t>
      </w:r>
      <w:r w:rsidRPr="00A34388">
        <w:rPr>
          <w:color w:val="000000" w:themeColor="text1"/>
          <w:sz w:val="20"/>
          <w:lang w:val="es-ES_tradnl"/>
        </w:rPr>
        <w:t xml:space="preserve">enfermedades tropicales desatendidas, la tuberculosis y la malaria.  Entre los hitos </w:t>
      </w:r>
      <w:r w:rsidRPr="00A34388">
        <w:rPr>
          <w:color w:val="000000" w:themeColor="text1"/>
          <w:sz w:val="20"/>
          <w:lang w:val="es-ES_tradnl"/>
        </w:rPr>
        <w:lastRenderedPageBreak/>
        <w:t xml:space="preserve">logrados por el consorcio en 2012 cabe </w:t>
      </w:r>
      <w:r w:rsidR="00AF265D" w:rsidRPr="00A34388">
        <w:rPr>
          <w:color w:val="000000" w:themeColor="text1"/>
          <w:sz w:val="20"/>
          <w:lang w:val="es-ES_tradnl"/>
        </w:rPr>
        <w:t xml:space="preserve">citar la incorporación de 30 nuevos miembros y 11 acuerdos de investigación en colaboración;  en 2013 se incorporaron 19 nuevos miembros y 33 nuevos acuerdos de investigación, con lo que al final del bienio el número total de miembros ascendía a 80 y el de colaboraciones a 44, lo que, en términos de número de miembros, </w:t>
      </w:r>
      <w:r w:rsidR="003B2DF6" w:rsidRPr="00A34388">
        <w:rPr>
          <w:color w:val="000000" w:themeColor="text1"/>
          <w:sz w:val="20"/>
          <w:lang w:val="es-ES_tradnl"/>
        </w:rPr>
        <w:t xml:space="preserve">supuso </w:t>
      </w:r>
      <w:r w:rsidR="00AF265D" w:rsidRPr="00A34388">
        <w:rPr>
          <w:color w:val="000000" w:themeColor="text1"/>
          <w:sz w:val="20"/>
          <w:lang w:val="es-ES_tradnl"/>
        </w:rPr>
        <w:t xml:space="preserve">un incremento del 260% desde </w:t>
      </w:r>
      <w:r w:rsidR="0016160D" w:rsidRPr="00A34388">
        <w:rPr>
          <w:color w:val="000000" w:themeColor="text1"/>
          <w:sz w:val="20"/>
          <w:lang w:val="es-ES_tradnl"/>
        </w:rPr>
        <w:t xml:space="preserve">la puesta en marcha del consorcio </w:t>
      </w:r>
      <w:r w:rsidR="00AF265D" w:rsidRPr="00A34388">
        <w:rPr>
          <w:color w:val="000000" w:themeColor="text1"/>
          <w:sz w:val="20"/>
          <w:lang w:val="es-ES_tradnl"/>
        </w:rPr>
        <w:t>en octubre de 2011.</w:t>
      </w:r>
      <w:r w:rsidRPr="00332758">
        <w:rPr>
          <w:color w:val="auto"/>
          <w:sz w:val="20"/>
          <w:lang w:val="es-ES_tradnl"/>
        </w:rPr>
        <w:t xml:space="preserve">  Por otra parte, entre los Miembros del </w:t>
      </w:r>
      <w:r w:rsidRPr="00332758">
        <w:rPr>
          <w:i/>
          <w:color w:val="auto"/>
          <w:sz w:val="20"/>
          <w:lang w:val="es-ES_tradnl"/>
        </w:rPr>
        <w:t xml:space="preserve">WIPO Re:Search </w:t>
      </w:r>
      <w:r w:rsidRPr="00332758">
        <w:rPr>
          <w:color w:val="auto"/>
          <w:sz w:val="20"/>
          <w:lang w:val="es-ES_tradnl"/>
        </w:rPr>
        <w:t xml:space="preserve">se encuentran 15 países de África, lo que adquiere una relevancia especial en el marco de los objetivos de política más amplios formulados en la A.D.  </w:t>
      </w:r>
      <w:r w:rsidRPr="00A34388">
        <w:rPr>
          <w:color w:val="000000" w:themeColor="text1"/>
          <w:sz w:val="20"/>
          <w:lang w:val="es-ES_tradnl"/>
        </w:rPr>
        <w:t xml:space="preserve">Además del incremento del número de colaboraciones de investigación, el potencial de la plataforma para la transferencia de tecnología de países desarrollados a países en desarrollo en cuanto a los activos de propiedad intelectual, incluidos conocimientos especializados y capacidad técnica, se plasmó en la concesión de licencias sabáticas de investigación a cinco científicos biomédicos africanos en instituciones de investigación extranjeras gracias a un fondo fiduciario </w:t>
      </w:r>
      <w:r w:rsidR="00905B45" w:rsidRPr="00A34388">
        <w:rPr>
          <w:color w:val="000000" w:themeColor="text1"/>
          <w:sz w:val="20"/>
          <w:lang w:val="es-ES_tradnl"/>
        </w:rPr>
        <w:t xml:space="preserve">dotado </w:t>
      </w:r>
      <w:r w:rsidRPr="00A34388">
        <w:rPr>
          <w:color w:val="000000" w:themeColor="text1"/>
          <w:sz w:val="20"/>
          <w:lang w:val="es-ES_tradnl"/>
        </w:rPr>
        <w:t>por el Gobierno australiano.</w:t>
      </w:r>
    </w:p>
    <w:p w:rsidR="001A2871" w:rsidRPr="00A34388" w:rsidRDefault="001A2871" w:rsidP="001A2871">
      <w:pPr>
        <w:pStyle w:val="Default"/>
        <w:tabs>
          <w:tab w:val="left" w:pos="567"/>
          <w:tab w:val="left" w:pos="709"/>
        </w:tabs>
        <w:jc w:val="both"/>
        <w:rPr>
          <w:color w:val="000000" w:themeColor="text1"/>
          <w:sz w:val="20"/>
          <w:szCs w:val="20"/>
          <w:lang w:val="es-ES_tradnl"/>
        </w:rPr>
      </w:pPr>
    </w:p>
    <w:p w:rsidR="001A2871" w:rsidRPr="00A34388" w:rsidRDefault="001A2871" w:rsidP="001A2871">
      <w:pPr>
        <w:tabs>
          <w:tab w:val="left" w:pos="709"/>
        </w:tabs>
        <w:jc w:val="both"/>
        <w:rPr>
          <w:rFonts w:cs="Arial"/>
          <w:bCs/>
          <w:color w:val="000000"/>
          <w:szCs w:val="20"/>
          <w:lang w:val="es-ES_tradnl"/>
        </w:rPr>
      </w:pPr>
      <w:r w:rsidRPr="00332758">
        <w:rPr>
          <w:lang w:val="es-ES_tradnl"/>
        </w:rPr>
        <w:t>18.6.</w:t>
      </w:r>
      <w:r w:rsidRPr="00A34388">
        <w:rPr>
          <w:lang w:val="es-ES_tradnl"/>
        </w:rPr>
        <w:tab/>
      </w:r>
      <w:r w:rsidRPr="00332758">
        <w:rPr>
          <w:lang w:val="es-ES_tradnl"/>
        </w:rPr>
        <w:t xml:space="preserve">Por lo que se refiere a la relación entre la propiedad intelectual y las políticas en materia de competencia, en el bienio siguió creciendo el número de solicitudes presentadas por los Estados miembros para que la Secretaría participe en un diálogo y les ayude a comprender mejor la conexión existente entre la propiedad intelectual y la competencia.  Además, se ha establecido un mecanismo de cooperación estructurado aunque de carácter informal con otros organismos pertinentes en este ámbito, entre los cuales cabe destacar la OCDE, la UNCTAD y la OMC así como con </w:t>
      </w:r>
      <w:r w:rsidRPr="00332758">
        <w:rPr>
          <w:i/>
          <w:lang w:val="es-ES_tradnl"/>
        </w:rPr>
        <w:t>International Competition Network</w:t>
      </w:r>
      <w:r w:rsidRPr="00332758">
        <w:rPr>
          <w:lang w:val="es-ES_tradnl"/>
        </w:rPr>
        <w:t xml:space="preserve">.  </w:t>
      </w:r>
      <w:r w:rsidRPr="00A34388">
        <w:rPr>
          <w:color w:val="000000"/>
          <w:lang w:val="es-ES_tradnl"/>
        </w:rPr>
        <w:t xml:space="preserve">Todos los objetivos bienales se lograron plenamente, con la excepción de una de las dos encuestas, en la que los cuestionarios cumplimentados por los Estados miembros se devolvieron más tarde de lo previsto, lo que retrasó el proceso. </w:t>
      </w:r>
    </w:p>
    <w:p w:rsidR="001A2871" w:rsidRPr="00A34388" w:rsidRDefault="001A2871" w:rsidP="001A2871">
      <w:pPr>
        <w:tabs>
          <w:tab w:val="left" w:pos="709"/>
        </w:tabs>
        <w:jc w:val="both"/>
        <w:rPr>
          <w:rFonts w:cs="Arial"/>
          <w:bCs/>
          <w:sz w:val="22"/>
          <w:szCs w:val="22"/>
          <w:lang w:val="es-ES_tradnl"/>
        </w:rPr>
      </w:pPr>
    </w:p>
    <w:p w:rsidR="001A2871" w:rsidRPr="00A34388" w:rsidRDefault="001A2871" w:rsidP="001A2871">
      <w:pPr>
        <w:jc w:val="both"/>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1A2871" w:rsidRPr="00A34388" w:rsidRDefault="001A2871" w:rsidP="001A2871">
      <w:pPr>
        <w:jc w:val="both"/>
        <w:rPr>
          <w:rFonts w:cs="Arial"/>
          <w:b/>
          <w:bCs/>
          <w:color w:val="000000"/>
          <w:sz w:val="22"/>
          <w:szCs w:val="22"/>
          <w:lang w:val="es-ES_tradnl"/>
        </w:rPr>
      </w:pPr>
    </w:p>
    <w:p w:rsidR="001A2871" w:rsidRPr="00A34388" w:rsidRDefault="001A2871" w:rsidP="001A2871">
      <w:pPr>
        <w:tabs>
          <w:tab w:val="left" w:pos="709"/>
        </w:tabs>
        <w:jc w:val="both"/>
        <w:rPr>
          <w:rFonts w:eastAsia="MS Mincho" w:cs="Arial"/>
          <w:szCs w:val="20"/>
          <w:lang w:val="es-ES_tradnl"/>
        </w:rPr>
      </w:pPr>
      <w:r w:rsidRPr="00332758">
        <w:rPr>
          <w:lang w:val="es-ES_tradnl"/>
        </w:rPr>
        <w:t>18.7.</w:t>
      </w:r>
      <w:r w:rsidRPr="00A34388">
        <w:rPr>
          <w:lang w:val="es-ES_tradnl"/>
        </w:rPr>
        <w:tab/>
      </w:r>
      <w:r w:rsidRPr="00332758">
        <w:rPr>
          <w:lang w:val="es-ES_tradnl"/>
        </w:rPr>
        <w:t xml:space="preserve">El diseño, la planificación y la ejecución de las actividades del programa 18 se basaron en las recomendaciones pertinentes de la Agenda para el Desarrollo.  El programa contribuyó a la ejecución de la Agenda para el Desarrollo participando en las iniciativas de suministro de información sobre análisis de la actividad de patentamiento y las políticas públicas relacionadas con la seguridad alimentaria, la salud y el cambio climático que forman parte del proyecto de creación de instrumentos de acceso a la información sobre patentes.  </w:t>
      </w:r>
      <w:r w:rsidRPr="00A34388">
        <w:rPr>
          <w:color w:val="000000"/>
          <w:lang w:val="es-ES_tradnl"/>
        </w:rPr>
        <w:t xml:space="preserve">Tanto la primera como la segunda fase de este proyecto se completaron durante el bienio, en 2012 y 2013, respectivamente, y en 2012 se llevó a cabo una evaluación de la primera fase.  </w:t>
      </w:r>
      <w:r w:rsidRPr="00332758">
        <w:rPr>
          <w:lang w:val="es-ES_tradnl"/>
        </w:rPr>
        <w:t xml:space="preserve">Además, el programa también tomó parte en la ejecución del proyecto sobre propiedad intelectual y políticas en materia de competencia.  </w:t>
      </w:r>
      <w:r w:rsidRPr="00A34388">
        <w:rPr>
          <w:color w:val="000000"/>
          <w:lang w:val="es-ES_tradnl"/>
        </w:rPr>
        <w:t xml:space="preserve">El proyecto finalizó en 2012 y se integró en el trabajo principal del programa en 2013.  </w:t>
      </w:r>
      <w:r w:rsidRPr="00332758">
        <w:rPr>
          <w:lang w:val="es-ES_tradnl"/>
        </w:rPr>
        <w:t xml:space="preserve">En el marco de este proyecto se llevaron a cabo y fueron sometidos a debate en el CDIP los siguientes estudios: “Interacción de los organismos encargados de propiedad intelectual y derecho de la competencia: Resumen de las respuestas de los Estados miembros” (CDPI/8/INF/4); “Relación entre el agotamiento de los derechos de propiedad intelectual y las leyes de competencia” (CDPI/8/INF/5); “Análisis sobre los estudios económicos y jurídicos sobre los efectos de los derechos de P.I. como obstáculo” (CDPI/8/INF/6 Corr.); y el estudio sobre el uso anticompetitivo de los procedimientos judiciales para hacer valer derechos de propiedad intelectual (P.I.): litigios temerarios (documento CDIP/9/INF/6).  </w:t>
      </w:r>
      <w:r w:rsidRPr="00A34388">
        <w:rPr>
          <w:color w:val="000000"/>
          <w:lang w:val="es-ES_tradnl"/>
        </w:rPr>
        <w:t>Igualmente, el programa contribuyó a la ejecución de los siguientes proyectos de la A.D.:  Propiedad intelectual y la transferencia de la tecnología:  desafíos comunes y búsqueda de soluciones;  Proyectos de colaboración abierta y modelos de P.I.;  y Propiedad intelectual y fuga de cerebros.</w:t>
      </w:r>
    </w:p>
    <w:p w:rsidR="001A2871" w:rsidRPr="00A34388" w:rsidRDefault="001A2871" w:rsidP="001A2871">
      <w:pPr>
        <w:rPr>
          <w:rFonts w:eastAsia="MS Mincho" w:cs="Arial"/>
          <w:sz w:val="22"/>
          <w:szCs w:val="22"/>
          <w:lang w:val="es-ES_tradnl"/>
        </w:rPr>
      </w:pPr>
    </w:p>
    <w:p w:rsidR="001A2871" w:rsidRPr="00A34388" w:rsidRDefault="001A2871" w:rsidP="001A2871">
      <w:pPr>
        <w:rPr>
          <w:rFonts w:eastAsia="MS Mincho" w:cs="Arial"/>
          <w:sz w:val="22"/>
          <w:szCs w:val="22"/>
          <w:lang w:val="es-ES_tradnl"/>
        </w:rPr>
      </w:pPr>
    </w:p>
    <w:p w:rsidR="004C0FD5" w:rsidRPr="00332758" w:rsidRDefault="004C0FD5">
      <w:pPr>
        <w:rPr>
          <w:sz w:val="22"/>
          <w:lang w:val="es-ES_tradnl"/>
        </w:rPr>
      </w:pPr>
      <w:r w:rsidRPr="00332758">
        <w:rPr>
          <w:sz w:val="22"/>
          <w:lang w:val="es-ES_tradnl"/>
        </w:rPr>
        <w:br w:type="page"/>
      </w:r>
    </w:p>
    <w:p w:rsidR="001A2871" w:rsidRPr="00A34388" w:rsidRDefault="001A2871" w:rsidP="001A2871">
      <w:pPr>
        <w:rPr>
          <w:rFonts w:cs="Arial"/>
          <w:sz w:val="22"/>
          <w:szCs w:val="22"/>
          <w:lang w:val="es-ES_tradnl"/>
        </w:rPr>
      </w:pPr>
      <w:r w:rsidRPr="00332758">
        <w:rPr>
          <w:sz w:val="22"/>
          <w:lang w:val="es-ES_tradnl"/>
        </w:rPr>
        <w:lastRenderedPageBreak/>
        <w:t>DATOS SOBRE EL RENDIMIENTO</w:t>
      </w:r>
    </w:p>
    <w:p w:rsidR="001A2871" w:rsidRPr="00A34388" w:rsidRDefault="001A2871" w:rsidP="001A2871">
      <w:pPr>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2"/>
        <w:gridCol w:w="1695"/>
        <w:gridCol w:w="1372"/>
        <w:gridCol w:w="3402"/>
        <w:gridCol w:w="1276"/>
      </w:tblGrid>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53209">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Conocimiento más adecuado entre los encargados de la adopción de políticas de la relación existente entre los desafíos mundiales y la innovación y la P.I. como base para formular políticas de manera más eficaz.</w:t>
            </w:r>
          </w:p>
        </w:tc>
      </w:tr>
      <w:tr w:rsidR="001A2871" w:rsidRPr="00A34388" w:rsidTr="00853209">
        <w:trPr>
          <w:cantSplit/>
        </w:trPr>
        <w:tc>
          <w:tcPr>
            <w:tcW w:w="861"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06"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733"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818"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1" w:type="pct"/>
            <w:shd w:val="clear" w:color="auto" w:fill="auto"/>
          </w:tcPr>
          <w:p w:rsidR="001A2871" w:rsidRPr="00A34388" w:rsidRDefault="001A2871" w:rsidP="00853209">
            <w:pPr>
              <w:rPr>
                <w:rFonts w:cs="Arial"/>
                <w:sz w:val="16"/>
                <w:szCs w:val="16"/>
                <w:lang w:val="es-ES_tradnl"/>
              </w:rPr>
            </w:pPr>
            <w:r w:rsidRPr="00332758">
              <w:rPr>
                <w:sz w:val="16"/>
                <w:lang w:val="es-ES_tradnl"/>
              </w:rPr>
              <w:t>Referencias a la labor de la OMPI en el ámbito de los desafíos mundiales en otros procesos de política.</w:t>
            </w:r>
          </w:p>
        </w:tc>
        <w:tc>
          <w:tcPr>
            <w:tcW w:w="906" w:type="pct"/>
            <w:shd w:val="clear" w:color="auto" w:fill="auto"/>
          </w:tcPr>
          <w:p w:rsidR="001A2871" w:rsidRPr="009965E1" w:rsidRDefault="001A2871" w:rsidP="00853209">
            <w:pPr>
              <w:rPr>
                <w:rFonts w:cs="Arial"/>
                <w:bCs/>
                <w:color w:val="002060"/>
                <w:sz w:val="16"/>
                <w:szCs w:val="16"/>
                <w:lang w:val="es-ES_tradnl"/>
              </w:rPr>
            </w:pPr>
            <w:r w:rsidRPr="009965E1">
              <w:rPr>
                <w:i/>
                <w:color w:val="002060"/>
                <w:sz w:val="16"/>
                <w:lang w:val="es-ES_tradnl"/>
              </w:rPr>
              <w:t>Referencia actualizada a fines de 2011:</w:t>
            </w:r>
          </w:p>
          <w:p w:rsidR="001A2871" w:rsidRPr="009965E1" w:rsidRDefault="001A2871" w:rsidP="00853209">
            <w:pPr>
              <w:rPr>
                <w:rFonts w:cs="Arial"/>
                <w:bCs/>
                <w:color w:val="002060"/>
                <w:sz w:val="16"/>
                <w:szCs w:val="16"/>
                <w:lang w:val="es-ES_tradnl"/>
              </w:rPr>
            </w:pPr>
            <w:r w:rsidRPr="009965E1">
              <w:rPr>
                <w:color w:val="002060"/>
                <w:sz w:val="16"/>
                <w:lang w:val="es-ES_tradnl"/>
              </w:rPr>
              <w:t>Referencias de los Estados miembros en reuniones (p. ej., las Asambleas Generales, el CDIP o el SCP), el  Consejo Ejecutivo de la Organización Mundial de la Salud (OMS), la Asamblea Mundial de la Salud y el Consejo sobre el ADPIC de la Organización Mundial del Comercio (OMC).</w:t>
            </w:r>
          </w:p>
          <w:p w:rsidR="001A2871" w:rsidRPr="00A34388" w:rsidRDefault="001A2871" w:rsidP="00853209">
            <w:pPr>
              <w:rPr>
                <w:rFonts w:cs="Arial"/>
                <w:i/>
                <w:sz w:val="8"/>
                <w:szCs w:val="8"/>
                <w:lang w:val="es-ES_tradnl"/>
              </w:rPr>
            </w:pPr>
          </w:p>
          <w:p w:rsidR="001A2871" w:rsidRPr="00A34388" w:rsidRDefault="001A2871" w:rsidP="00853209">
            <w:pPr>
              <w:rPr>
                <w:rFonts w:cs="Arial"/>
                <w:sz w:val="16"/>
                <w:szCs w:val="16"/>
                <w:lang w:val="es-ES_tradnl"/>
              </w:rPr>
            </w:pPr>
            <w:r w:rsidRPr="00A34388">
              <w:rPr>
                <w:i/>
                <w:sz w:val="16"/>
                <w:lang w:val="es-ES_tradnl"/>
              </w:rPr>
              <w:t>Referencia original (Presup. por prog. 2012/13):</w:t>
            </w:r>
            <w:r w:rsidRPr="00A34388">
              <w:rPr>
                <w:rFonts w:cs="Arial"/>
                <w:sz w:val="16"/>
                <w:szCs w:val="16"/>
                <w:lang w:val="es-ES_tradnl"/>
              </w:rPr>
              <w:br/>
            </w:r>
            <w:r w:rsidRPr="00A34388">
              <w:rPr>
                <w:sz w:val="16"/>
                <w:lang w:val="es-ES_tradnl"/>
              </w:rPr>
              <w:t>Por determinar.</w:t>
            </w:r>
          </w:p>
        </w:tc>
        <w:tc>
          <w:tcPr>
            <w:tcW w:w="733"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Referencias en todos los procesos</w:t>
            </w:r>
          </w:p>
        </w:tc>
        <w:tc>
          <w:tcPr>
            <w:tcW w:w="1818" w:type="pct"/>
            <w:shd w:val="clear" w:color="auto" w:fill="FFFFFF"/>
            <w:tcMar>
              <w:top w:w="110" w:type="dxa"/>
            </w:tcMar>
          </w:tcPr>
          <w:p w:rsidR="001A2871" w:rsidRPr="00A34388" w:rsidRDefault="001A2871" w:rsidP="009856E1">
            <w:pPr>
              <w:rPr>
                <w:rFonts w:cs="Arial"/>
                <w:sz w:val="16"/>
                <w:szCs w:val="16"/>
                <w:lang w:val="es-ES_tradnl"/>
              </w:rPr>
            </w:pPr>
            <w:r w:rsidRPr="00A34388">
              <w:rPr>
                <w:sz w:val="16"/>
                <w:lang w:val="es-ES_tradnl"/>
              </w:rPr>
              <w:t>Los delegados que participan en los principales foros sobre políticas, como el SCP, el CDIP, el Comité de Alto Nivel sobre Programas, la CMNUCC, el Comité Ejecutivo de Tecnología y la</w:t>
            </w:r>
            <w:r w:rsidR="009856E1">
              <w:rPr>
                <w:sz w:val="16"/>
                <w:lang w:val="es-ES_tradnl"/>
              </w:rPr>
              <w:t xml:space="preserve"> Asamblea General</w:t>
            </w:r>
            <w:r w:rsidRPr="00A34388">
              <w:rPr>
                <w:sz w:val="16"/>
                <w:lang w:val="es-ES_tradnl"/>
              </w:rPr>
              <w:t xml:space="preserve"> de la OMPI, así como en el Consejo Ejecutivo de la OMS, la Asamblea Mundial de la Salud y el Consejo sobre los ADPIC de la OMC, han expresado su apoyo continuo a la labor de la OMPI en materia de P.I. y desafíos mundiales.  La OMPI forma parte del Grupo de Trabajo sobre el Cambio Climático del Comité de Alto Nivel sobre Programas de las Naciones Unidas, centrándose especialmente en WIPO GREEN.</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1A2871" w:rsidRPr="00A34388" w:rsidTr="00853209">
        <w:trPr>
          <w:cantSplit/>
        </w:trPr>
        <w:tc>
          <w:tcPr>
            <w:tcW w:w="861" w:type="pct"/>
            <w:shd w:val="clear" w:color="auto" w:fill="auto"/>
          </w:tcPr>
          <w:p w:rsidR="001A2871" w:rsidRPr="00A34388" w:rsidRDefault="001A2871" w:rsidP="00853209">
            <w:pPr>
              <w:rPr>
                <w:rFonts w:cs="Arial"/>
                <w:sz w:val="16"/>
                <w:szCs w:val="16"/>
                <w:lang w:val="es-ES_tradnl"/>
              </w:rPr>
            </w:pPr>
            <w:r w:rsidRPr="00332758">
              <w:rPr>
                <w:sz w:val="16"/>
                <w:lang w:val="es-ES_tradnl"/>
              </w:rPr>
              <w:t>Mayor utilización del material que se ofrece en la página web de la División de Desafíos Mundiales.</w:t>
            </w:r>
          </w:p>
        </w:tc>
        <w:tc>
          <w:tcPr>
            <w:tcW w:w="906" w:type="pct"/>
            <w:shd w:val="clear" w:color="auto" w:fill="auto"/>
          </w:tcPr>
          <w:p w:rsidR="001A2871" w:rsidRPr="00A34388" w:rsidRDefault="001A2871" w:rsidP="00853209">
            <w:pPr>
              <w:rPr>
                <w:rFonts w:cs="Arial"/>
                <w:sz w:val="16"/>
                <w:szCs w:val="16"/>
                <w:lang w:val="es-ES_tradnl"/>
              </w:rPr>
            </w:pPr>
            <w:r w:rsidRPr="00A34388">
              <w:rPr>
                <w:sz w:val="16"/>
                <w:lang w:val="es-ES_tradnl"/>
              </w:rPr>
              <w:t>Número de descargas (0 cuando el sitio web se lanzó a principios de 2012)</w:t>
            </w:r>
          </w:p>
        </w:tc>
        <w:tc>
          <w:tcPr>
            <w:tcW w:w="733" w:type="pct"/>
            <w:shd w:val="clear" w:color="auto" w:fill="auto"/>
            <w:tcMar>
              <w:top w:w="110" w:type="dxa"/>
            </w:tcMar>
          </w:tcPr>
          <w:p w:rsidR="001A2871" w:rsidRPr="00A34388" w:rsidRDefault="001A2871" w:rsidP="00853209">
            <w:pPr>
              <w:rPr>
                <w:rFonts w:cs="Arial"/>
                <w:i/>
                <w:sz w:val="16"/>
                <w:szCs w:val="16"/>
                <w:lang w:val="es-ES_tradnl"/>
              </w:rPr>
            </w:pPr>
            <w:r w:rsidRPr="00332758">
              <w:rPr>
                <w:sz w:val="16"/>
                <w:lang w:val="es-ES_tradnl"/>
              </w:rPr>
              <w:t>Aumento del 50%.</w:t>
            </w:r>
            <w:r w:rsidRPr="00A34388">
              <w:rPr>
                <w:sz w:val="16"/>
                <w:lang w:val="es-ES_tradnl"/>
              </w:rPr>
              <w:t xml:space="preserve"> </w:t>
            </w:r>
          </w:p>
        </w:tc>
        <w:tc>
          <w:tcPr>
            <w:tcW w:w="1818"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6.476 páginas vistas (GCD).</w:t>
            </w:r>
          </w:p>
          <w:p w:rsidR="001A2871" w:rsidRPr="00A34388" w:rsidRDefault="001A2871" w:rsidP="00853209">
            <w:pPr>
              <w:rPr>
                <w:rFonts w:cs="Arial"/>
                <w:sz w:val="16"/>
                <w:szCs w:val="16"/>
                <w:lang w:val="es-ES_tradnl"/>
              </w:rPr>
            </w:pPr>
            <w:r w:rsidRPr="00A34388">
              <w:rPr>
                <w:sz w:val="16"/>
                <w:lang w:val="es-ES_tradnl"/>
              </w:rPr>
              <w:t>3.773 descargas de archivos en formato pdf.</w:t>
            </w:r>
          </w:p>
          <w:p w:rsidR="001A2871" w:rsidRPr="00A34388" w:rsidRDefault="001A2871" w:rsidP="00853209">
            <w:pPr>
              <w:rPr>
                <w:rFonts w:cs="Arial"/>
                <w:sz w:val="16"/>
                <w:szCs w:val="16"/>
                <w:lang w:val="es-ES_tradnl"/>
              </w:rPr>
            </w:pPr>
            <w:r w:rsidRPr="00A34388">
              <w:rPr>
                <w:sz w:val="16"/>
                <w:lang w:val="es-ES_tradnl"/>
              </w:rPr>
              <w:t>73.648 páginas vistas de WIPO GREEN</w:t>
            </w:r>
          </w:p>
          <w:p w:rsidR="001A2871" w:rsidRPr="00A34388" w:rsidRDefault="001A2871" w:rsidP="00853209">
            <w:pPr>
              <w:rPr>
                <w:rFonts w:cs="Arial"/>
                <w:sz w:val="16"/>
                <w:szCs w:val="16"/>
                <w:lang w:val="es-ES_tradnl"/>
              </w:rPr>
            </w:pPr>
            <w:r w:rsidRPr="00A34388">
              <w:rPr>
                <w:sz w:val="16"/>
                <w:lang w:val="es-ES_tradnl"/>
              </w:rPr>
              <w:t>60.712 páginas vistas de WIPO Re:Search</w:t>
            </w:r>
          </w:p>
          <w:p w:rsidR="001A2871" w:rsidRPr="00A34388" w:rsidRDefault="001A2871" w:rsidP="00853209">
            <w:pPr>
              <w:rPr>
                <w:rFonts w:cs="Arial"/>
                <w:sz w:val="16"/>
                <w:szCs w:val="16"/>
                <w:lang w:val="es-ES_tradnl"/>
              </w:rPr>
            </w:pP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1A2871" w:rsidRPr="00A34388" w:rsidTr="00853209">
        <w:trPr>
          <w:cantSplit/>
        </w:trPr>
        <w:tc>
          <w:tcPr>
            <w:tcW w:w="861"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Comentarios de los participantes en foros de política.</w:t>
            </w:r>
          </w:p>
        </w:tc>
        <w:tc>
          <w:tcPr>
            <w:tcW w:w="906" w:type="pct"/>
            <w:tcBorders>
              <w:bottom w:val="single" w:sz="4" w:space="0" w:color="auto"/>
            </w:tcBorders>
            <w:shd w:val="clear" w:color="auto" w:fill="auto"/>
          </w:tcPr>
          <w:p w:rsidR="001A2871" w:rsidRPr="00A34388" w:rsidRDefault="001A2871" w:rsidP="00853209">
            <w:pPr>
              <w:rPr>
                <w:rFonts w:cs="Arial"/>
                <w:sz w:val="16"/>
                <w:szCs w:val="16"/>
                <w:lang w:val="es-ES_tradnl"/>
              </w:rPr>
            </w:pPr>
            <w:r w:rsidRPr="00332758">
              <w:rPr>
                <w:sz w:val="16"/>
                <w:lang w:val="es-ES_tradnl"/>
              </w:rPr>
              <w:t>Comentarios positivos de los participantes esenciales.</w:t>
            </w:r>
          </w:p>
        </w:tc>
        <w:tc>
          <w:tcPr>
            <w:tcW w:w="733" w:type="pct"/>
            <w:tcBorders>
              <w:bottom w:val="single" w:sz="4" w:space="0" w:color="auto"/>
            </w:tcBorders>
            <w:shd w:val="clear" w:color="auto" w:fill="auto"/>
            <w:tcMar>
              <w:top w:w="110" w:type="dxa"/>
            </w:tcMar>
          </w:tcPr>
          <w:p w:rsidR="001A2871" w:rsidRPr="00332758" w:rsidRDefault="001A2871" w:rsidP="00853209">
            <w:pPr>
              <w:autoSpaceDE w:val="0"/>
              <w:autoSpaceDN w:val="0"/>
              <w:adjustRightInd w:val="0"/>
              <w:rPr>
                <w:rFonts w:cs="Arial"/>
                <w:sz w:val="16"/>
                <w:szCs w:val="16"/>
                <w:lang w:val="es-ES_tradnl"/>
              </w:rPr>
            </w:pPr>
            <w:r w:rsidRPr="00332758">
              <w:rPr>
                <w:sz w:val="16"/>
                <w:lang w:val="es-ES_tradnl"/>
              </w:rPr>
              <w:t>Comentarios positivos de los participantes esenciales.</w:t>
            </w:r>
          </w:p>
        </w:tc>
        <w:tc>
          <w:tcPr>
            <w:tcW w:w="1818" w:type="pct"/>
            <w:tcBorders>
              <w:bottom w:val="single" w:sz="4" w:space="0" w:color="auto"/>
            </w:tcBorders>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 recibieron comentarios positivos de los participantes con motivo del lanzamiento de WIPO GREEN y la reunión de su Junta Asesora. </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También se recibieron comentarios positivos de la mayoría de los participantes en tres talleres (</w:t>
            </w:r>
            <w:r w:rsidR="00286B53" w:rsidRPr="00A34388">
              <w:rPr>
                <w:sz w:val="16"/>
                <w:lang w:val="es-ES_tradnl"/>
              </w:rPr>
              <w:t xml:space="preserve">el </w:t>
            </w:r>
            <w:r w:rsidRPr="00A34388">
              <w:rPr>
                <w:sz w:val="16"/>
                <w:lang w:val="es-ES_tradnl"/>
              </w:rPr>
              <w:t>Brasil, Tailandia y Sri Lanka) y cuatro actividades paralelas en conferencias internacionales.</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Los participantes en el simposio técnico OMPI / OMS / OMC organizado en julio de 2013 </w:t>
            </w:r>
            <w:r w:rsidR="00905B45" w:rsidRPr="00A34388">
              <w:rPr>
                <w:sz w:val="16"/>
                <w:lang w:val="es-ES_tradnl"/>
              </w:rPr>
              <w:t xml:space="preserve">formularon </w:t>
            </w:r>
            <w:r w:rsidRPr="00A34388">
              <w:rPr>
                <w:sz w:val="16"/>
                <w:lang w:val="es-ES_tradnl"/>
              </w:rPr>
              <w:t>comentarios positivos tanto oralmente como por correo electrónico.</w:t>
            </w:r>
          </w:p>
          <w:p w:rsidR="001A2871" w:rsidRPr="00A34388" w:rsidRDefault="001A2871" w:rsidP="00853209">
            <w:pPr>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957F9C">
            <w:pPr>
              <w:keepNext/>
              <w:keepLines/>
              <w:tabs>
                <w:tab w:val="left" w:pos="1452"/>
              </w:tabs>
              <w:spacing w:before="120" w:after="120"/>
              <w:ind w:left="1701" w:hanging="1701"/>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La OMPI constituye una fuente fidedigna de apoyo, asistencia y referencia para la información sobre la innovación y la P.I. en los pertinentes procesos de políticas públicas.</w:t>
            </w:r>
          </w:p>
        </w:tc>
      </w:tr>
      <w:tr w:rsidR="001A2871" w:rsidRPr="00A34388" w:rsidTr="00853209">
        <w:trPr>
          <w:cantSplit/>
        </w:trPr>
        <w:tc>
          <w:tcPr>
            <w:tcW w:w="861" w:type="pct"/>
            <w:tcBorders>
              <w:top w:val="single" w:sz="4" w:space="0" w:color="auto"/>
            </w:tcBorders>
            <w:shd w:val="clear" w:color="auto" w:fill="auto"/>
            <w:vAlign w:val="center"/>
          </w:tcPr>
          <w:p w:rsidR="001A2871" w:rsidRPr="00A34388" w:rsidRDefault="001A2871" w:rsidP="00957F9C">
            <w:pPr>
              <w:keepNext/>
              <w:rPr>
                <w:rFonts w:cs="Arial"/>
                <w:color w:val="808080"/>
                <w:sz w:val="16"/>
                <w:szCs w:val="16"/>
                <w:lang w:val="es-ES_tradnl"/>
              </w:rPr>
            </w:pPr>
            <w:r w:rsidRPr="00332758">
              <w:rPr>
                <w:b/>
                <w:sz w:val="16"/>
                <w:lang w:val="es-ES_tradnl"/>
              </w:rPr>
              <w:t>Indicadores de rendimiento</w:t>
            </w:r>
          </w:p>
        </w:tc>
        <w:tc>
          <w:tcPr>
            <w:tcW w:w="906" w:type="pct"/>
            <w:tcBorders>
              <w:top w:val="single" w:sz="4" w:space="0" w:color="auto"/>
            </w:tcBorders>
            <w:shd w:val="clear" w:color="auto" w:fill="auto"/>
            <w:vAlign w:val="center"/>
          </w:tcPr>
          <w:p w:rsidR="001A2871" w:rsidRPr="00A34388" w:rsidRDefault="001A2871" w:rsidP="00957F9C">
            <w:pPr>
              <w:keepNext/>
              <w:rPr>
                <w:rFonts w:cs="Arial"/>
                <w:b/>
                <w:bCs/>
                <w:color w:val="808080"/>
                <w:sz w:val="16"/>
                <w:szCs w:val="16"/>
                <w:lang w:val="es-ES_tradnl"/>
              </w:rPr>
            </w:pPr>
            <w:r w:rsidRPr="00332758">
              <w:rPr>
                <w:b/>
                <w:sz w:val="16"/>
                <w:lang w:val="es-ES_tradnl"/>
              </w:rPr>
              <w:t>Referencia</w:t>
            </w:r>
          </w:p>
        </w:tc>
        <w:tc>
          <w:tcPr>
            <w:tcW w:w="733" w:type="pct"/>
            <w:tcBorders>
              <w:top w:val="single" w:sz="4" w:space="0" w:color="auto"/>
            </w:tcBorders>
            <w:shd w:val="clear" w:color="auto" w:fill="auto"/>
            <w:tcMar>
              <w:top w:w="110" w:type="dxa"/>
            </w:tcMar>
            <w:vAlign w:val="center"/>
          </w:tcPr>
          <w:p w:rsidR="001A2871" w:rsidRPr="00A34388" w:rsidRDefault="001A2871" w:rsidP="00957F9C">
            <w:pPr>
              <w:keepNext/>
              <w:rPr>
                <w:rFonts w:cs="Arial"/>
                <w:b/>
                <w:color w:val="808080"/>
                <w:sz w:val="16"/>
                <w:szCs w:val="16"/>
                <w:lang w:val="es-ES_tradnl"/>
              </w:rPr>
            </w:pPr>
            <w:r w:rsidRPr="00332758">
              <w:rPr>
                <w:b/>
                <w:sz w:val="16"/>
                <w:lang w:val="es-ES_tradnl"/>
              </w:rPr>
              <w:t>Objetivos</w:t>
            </w:r>
          </w:p>
        </w:tc>
        <w:tc>
          <w:tcPr>
            <w:tcW w:w="1818" w:type="pct"/>
            <w:tcBorders>
              <w:top w:val="single" w:sz="4" w:space="0" w:color="auto"/>
            </w:tcBorders>
            <w:shd w:val="clear" w:color="auto" w:fill="FFFFFF"/>
            <w:tcMar>
              <w:top w:w="110" w:type="dxa"/>
            </w:tcMar>
            <w:vAlign w:val="center"/>
          </w:tcPr>
          <w:p w:rsidR="001A2871" w:rsidRPr="00A34388" w:rsidRDefault="001A2871" w:rsidP="00957F9C">
            <w:pPr>
              <w:keepNext/>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957F9C">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1" w:type="pct"/>
            <w:tcBorders>
              <w:bottom w:val="single" w:sz="4" w:space="0" w:color="auto"/>
            </w:tcBorders>
            <w:shd w:val="clear" w:color="auto" w:fill="auto"/>
          </w:tcPr>
          <w:p w:rsidR="001A2871" w:rsidRPr="00A34388" w:rsidRDefault="001A2871" w:rsidP="00957F9C">
            <w:pPr>
              <w:keepNext/>
              <w:rPr>
                <w:rFonts w:cs="Arial"/>
                <w:sz w:val="16"/>
                <w:szCs w:val="16"/>
                <w:lang w:val="es-ES_tradnl"/>
              </w:rPr>
            </w:pPr>
            <w:r w:rsidRPr="00332758">
              <w:rPr>
                <w:sz w:val="16"/>
                <w:lang w:val="es-ES_tradnl"/>
              </w:rPr>
              <w:t>Número y diversidad de peticiones concretas de Estados miembros y organizaciones internacionales que solicitan aportaciones de la OMPI en relación con la P.I. y las cuestiones mundiales de política pública.</w:t>
            </w:r>
          </w:p>
        </w:tc>
        <w:tc>
          <w:tcPr>
            <w:tcW w:w="906" w:type="pct"/>
            <w:tcBorders>
              <w:bottom w:val="single" w:sz="4" w:space="0" w:color="auto"/>
            </w:tcBorders>
            <w:shd w:val="clear" w:color="auto" w:fill="auto"/>
          </w:tcPr>
          <w:p w:rsidR="001A2871" w:rsidRPr="00A34388" w:rsidRDefault="001A2871" w:rsidP="00957F9C">
            <w:pPr>
              <w:keepNext/>
              <w:rPr>
                <w:rFonts w:cs="Arial"/>
                <w:sz w:val="16"/>
                <w:szCs w:val="16"/>
                <w:lang w:val="es-ES_tradnl"/>
              </w:rPr>
            </w:pPr>
            <w:r w:rsidRPr="00332758">
              <w:rPr>
                <w:sz w:val="16"/>
                <w:lang w:val="es-ES_tradnl"/>
              </w:rPr>
              <w:t>Una petición formal (OMS).</w:t>
            </w:r>
          </w:p>
        </w:tc>
        <w:tc>
          <w:tcPr>
            <w:tcW w:w="733" w:type="pct"/>
            <w:tcBorders>
              <w:bottom w:val="single" w:sz="4" w:space="0" w:color="auto"/>
            </w:tcBorders>
            <w:shd w:val="clear" w:color="auto" w:fill="auto"/>
            <w:tcMar>
              <w:top w:w="110" w:type="dxa"/>
            </w:tcMar>
          </w:tcPr>
          <w:p w:rsidR="001A2871" w:rsidRPr="00A34388" w:rsidRDefault="001A2871" w:rsidP="00957F9C">
            <w:pPr>
              <w:keepNext/>
              <w:rPr>
                <w:rFonts w:cs="Arial"/>
                <w:i/>
                <w:sz w:val="16"/>
                <w:szCs w:val="16"/>
                <w:lang w:val="es-ES_tradnl"/>
              </w:rPr>
            </w:pPr>
            <w:r w:rsidRPr="00A34388">
              <w:rPr>
                <w:sz w:val="16"/>
                <w:lang w:val="es-ES_tradnl"/>
              </w:rPr>
              <w:t xml:space="preserve">Una-dos peticiones por año </w:t>
            </w:r>
          </w:p>
        </w:tc>
        <w:tc>
          <w:tcPr>
            <w:tcW w:w="1818" w:type="pct"/>
            <w:tcBorders>
              <w:bottom w:val="single" w:sz="4" w:space="0" w:color="auto"/>
            </w:tcBorders>
            <w:shd w:val="clear" w:color="auto" w:fill="FFFFFF"/>
            <w:tcMar>
              <w:top w:w="110" w:type="dxa"/>
            </w:tcMar>
          </w:tcPr>
          <w:p w:rsidR="001A2871" w:rsidRPr="00A34388" w:rsidRDefault="001A2871" w:rsidP="00957F9C">
            <w:pPr>
              <w:keepNext/>
              <w:rPr>
                <w:rFonts w:cs="Arial"/>
                <w:sz w:val="16"/>
                <w:szCs w:val="16"/>
                <w:lang w:val="es-ES_tradnl"/>
              </w:rPr>
            </w:pPr>
            <w:r w:rsidRPr="00A34388">
              <w:rPr>
                <w:sz w:val="16"/>
                <w:lang w:val="es-ES_tradnl"/>
              </w:rPr>
              <w:t xml:space="preserve">Se organizó una actividad conjunta con el programa InfoDev del Banco Mundial y el Centro de Innovación Climática de Kenya (KCIC, </w:t>
            </w:r>
            <w:r w:rsidR="001C5AAB" w:rsidRPr="00A34388">
              <w:rPr>
                <w:sz w:val="16"/>
                <w:lang w:val="es-ES_tradnl"/>
              </w:rPr>
              <w:t xml:space="preserve">de </w:t>
            </w:r>
            <w:r w:rsidRPr="00A34388">
              <w:rPr>
                <w:sz w:val="16"/>
                <w:lang w:val="es-ES_tradnl"/>
              </w:rPr>
              <w:t xml:space="preserve">sus siglas en inglés), a petición de este último.  La actividad incluyó un programa de formación de la OMPI sobre la concesión de licencias de tecnología. </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 xml:space="preserve">Se realizaron dos presentaciones en la Feria internacional china de pequeñas y medianas empresas (CISMEF, </w:t>
            </w:r>
            <w:r w:rsidR="001C5AAB" w:rsidRPr="00A34388">
              <w:rPr>
                <w:sz w:val="16"/>
                <w:lang w:val="es-ES_tradnl"/>
              </w:rPr>
              <w:t xml:space="preserve">de </w:t>
            </w:r>
            <w:r w:rsidRPr="00A34388">
              <w:rPr>
                <w:sz w:val="16"/>
                <w:lang w:val="es-ES_tradnl"/>
              </w:rPr>
              <w:t>sus siglas en inglés), Guangzhou, China, y en la Exposición Mundial sobre Desarrollo Sur-Sur, en Nairobi, a petición de South-South Global Assets and Technology Exchange (SS Gate), una iniciativa del PNUD.  Se realizó una presentación en Belgrado, a petición del Centro regional de medio ambiente para Europa Central y Oriental.</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 xml:space="preserve">Se organizaron eventos nacionales en Tailandia y en </w:t>
            </w:r>
            <w:r w:rsidR="00286B53" w:rsidRPr="00A34388">
              <w:rPr>
                <w:sz w:val="16"/>
                <w:lang w:val="es-ES_tradnl"/>
              </w:rPr>
              <w:t xml:space="preserve">el </w:t>
            </w:r>
            <w:r w:rsidRPr="00A34388">
              <w:rPr>
                <w:sz w:val="16"/>
                <w:lang w:val="es-ES_tradnl"/>
              </w:rPr>
              <w:t>Brasil, a petición de los respectivos países y en colaboración con el programa 9.</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A raíz de las peticiones continuadas de la Academia de la OMPI, la OMC, la Universidad de Ginebra y el Instituto Universitario de Altos Estudios Internacionales y Desarrollo de Ginebra, el programa participó en diversas actividades de formación sobre P.I. y cambio climático.</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En cooperación con la red africana de medicamentos e innovación en los diagnósticos (ANDI) y de conformidad con el memorando de entendimiento, se organizó un seminario de formación sobre P.I. para miembros de la ANDI en Ginebra en noviembre de 2012.</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En cooperación con la OMC y la OMS, en julio de 2013 se organizó un simposio técnico conjunto sobre el cambio de los modelos empresariales de la innovación médica.</w:t>
            </w:r>
          </w:p>
          <w:p w:rsidR="001A2871" w:rsidRPr="00A34388" w:rsidRDefault="001A2871" w:rsidP="00957F9C">
            <w:pPr>
              <w:keepNext/>
              <w:rPr>
                <w:rFonts w:cs="Arial"/>
                <w:sz w:val="8"/>
                <w:szCs w:val="8"/>
                <w:lang w:val="es-ES_tradnl"/>
              </w:rPr>
            </w:pPr>
          </w:p>
          <w:p w:rsidR="001A2871" w:rsidRPr="00A34388" w:rsidRDefault="001A2871" w:rsidP="00957F9C">
            <w:pPr>
              <w:keepNext/>
              <w:rPr>
                <w:rFonts w:cs="Arial"/>
                <w:sz w:val="16"/>
                <w:szCs w:val="16"/>
                <w:lang w:val="es-ES_tradnl"/>
              </w:rPr>
            </w:pPr>
            <w:r w:rsidRPr="00A34388">
              <w:rPr>
                <w:sz w:val="16"/>
                <w:lang w:val="es-ES_tradnl"/>
              </w:rPr>
              <w:t xml:space="preserve">En cooperación con la OMC y la OMS, en enero de 2013 se publicó un estudio trilateral titulado </w:t>
            </w:r>
            <w:r w:rsidRPr="00A34388">
              <w:rPr>
                <w:i/>
                <w:sz w:val="16"/>
                <w:lang w:val="es-ES_tradnl"/>
              </w:rPr>
              <w:t>Promoting Access to Medical Technologies and Innovation – Intersections between public health, intellectual property and trade</w:t>
            </w:r>
            <w:r w:rsidRPr="00A34388">
              <w:rPr>
                <w:rStyle w:val="FootnoteReference"/>
                <w:i/>
                <w:sz w:val="16"/>
                <w:lang w:val="es-ES_tradnl"/>
              </w:rPr>
              <w:footnoteReference w:id="36"/>
            </w:r>
            <w:r w:rsidRPr="00A34388">
              <w:rPr>
                <w:sz w:val="16"/>
                <w:lang w:val="es-ES_tradnl"/>
              </w:rPr>
              <w:t>.</w:t>
            </w:r>
            <w:r w:rsidRPr="00A34388">
              <w:rPr>
                <w:i/>
                <w:sz w:val="16"/>
                <w:lang w:val="es-ES_tradnl"/>
              </w:rPr>
              <w:t xml:space="preserve"> </w:t>
            </w:r>
          </w:p>
          <w:p w:rsidR="001A2871" w:rsidRPr="00A34388" w:rsidRDefault="001A2871" w:rsidP="00957F9C">
            <w:pPr>
              <w:keepNext/>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957F9C">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bl>
    <w:p w:rsidR="008F626D" w:rsidRDefault="008F626D">
      <w:r>
        <w:br w:type="page"/>
      </w: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2"/>
        <w:gridCol w:w="1695"/>
        <w:gridCol w:w="1694"/>
        <w:gridCol w:w="3080"/>
        <w:gridCol w:w="1276"/>
      </w:tblGrid>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F626D">
            <w:pPr>
              <w:tabs>
                <w:tab w:val="left" w:pos="1452"/>
              </w:tabs>
              <w:spacing w:before="120" w:after="120"/>
              <w:ind w:left="1701" w:hanging="1701"/>
              <w:rPr>
                <w:rFonts w:cs="Arial"/>
                <w:b/>
                <w:bCs/>
                <w:sz w:val="16"/>
                <w:szCs w:val="16"/>
                <w:lang w:val="es-ES_tradnl"/>
              </w:rPr>
            </w:pPr>
            <w:r w:rsidRPr="00332758">
              <w:rPr>
                <w:b/>
                <w:sz w:val="16"/>
                <w:lang w:val="es-ES_tradnl"/>
              </w:rPr>
              <w:lastRenderedPageBreak/>
              <w:t>Resultado previsto:</w:t>
            </w:r>
            <w:r w:rsidRPr="00A34388">
              <w:rPr>
                <w:lang w:val="es-ES_tradnl"/>
              </w:rPr>
              <w:tab/>
            </w:r>
            <w:r w:rsidRPr="00332758">
              <w:rPr>
                <w:sz w:val="16"/>
                <w:lang w:val="es-ES_tradnl"/>
              </w:rPr>
              <w:t>Las herramientas de P.I. se utilizan para la transferencia de tecnología por parte de países desarrollados a países en desarrollo, especialmente los países menos adelantados, para responder a los desafíos mundiales.</w:t>
            </w:r>
          </w:p>
        </w:tc>
      </w:tr>
      <w:tr w:rsidR="001A2871" w:rsidRPr="00A34388" w:rsidTr="00853209">
        <w:trPr>
          <w:cantSplit/>
        </w:trPr>
        <w:tc>
          <w:tcPr>
            <w:tcW w:w="861" w:type="pct"/>
            <w:tcBorders>
              <w:top w:val="single" w:sz="4" w:space="0" w:color="auto"/>
            </w:tcBorders>
            <w:shd w:val="clear" w:color="auto" w:fill="auto"/>
            <w:vAlign w:val="center"/>
          </w:tcPr>
          <w:p w:rsidR="001A2871" w:rsidRPr="00A34388" w:rsidRDefault="001A2871" w:rsidP="008F626D">
            <w:pPr>
              <w:rPr>
                <w:rFonts w:cs="Arial"/>
                <w:color w:val="808080"/>
                <w:sz w:val="16"/>
                <w:szCs w:val="16"/>
                <w:lang w:val="es-ES_tradnl"/>
              </w:rPr>
            </w:pPr>
            <w:r w:rsidRPr="00332758">
              <w:rPr>
                <w:b/>
                <w:sz w:val="16"/>
                <w:lang w:val="es-ES_tradnl"/>
              </w:rPr>
              <w:t>Indicadores de rendimiento</w:t>
            </w:r>
          </w:p>
        </w:tc>
        <w:tc>
          <w:tcPr>
            <w:tcW w:w="906" w:type="pct"/>
            <w:tcBorders>
              <w:top w:val="single" w:sz="4" w:space="0" w:color="auto"/>
            </w:tcBorders>
            <w:shd w:val="clear" w:color="auto" w:fill="auto"/>
            <w:vAlign w:val="center"/>
          </w:tcPr>
          <w:p w:rsidR="001A2871" w:rsidRPr="00A34388" w:rsidRDefault="001A2871" w:rsidP="008F626D">
            <w:pPr>
              <w:rPr>
                <w:rFonts w:cs="Arial"/>
                <w:b/>
                <w:bCs/>
                <w:color w:val="808080"/>
                <w:sz w:val="16"/>
                <w:szCs w:val="16"/>
                <w:lang w:val="es-ES_tradnl"/>
              </w:rPr>
            </w:pPr>
            <w:r w:rsidRPr="00332758">
              <w:rPr>
                <w:b/>
                <w:sz w:val="16"/>
                <w:lang w:val="es-ES_tradnl"/>
              </w:rPr>
              <w:t>Referencia</w:t>
            </w:r>
          </w:p>
        </w:tc>
        <w:tc>
          <w:tcPr>
            <w:tcW w:w="905" w:type="pct"/>
            <w:tcBorders>
              <w:top w:val="single" w:sz="4" w:space="0" w:color="auto"/>
            </w:tcBorders>
            <w:shd w:val="clear" w:color="auto" w:fill="auto"/>
            <w:tcMar>
              <w:top w:w="110" w:type="dxa"/>
            </w:tcMar>
            <w:vAlign w:val="center"/>
          </w:tcPr>
          <w:p w:rsidR="001A2871" w:rsidRPr="00A34388" w:rsidRDefault="001A2871" w:rsidP="008F626D">
            <w:pPr>
              <w:rPr>
                <w:rFonts w:cs="Arial"/>
                <w:b/>
                <w:color w:val="808080"/>
                <w:sz w:val="16"/>
                <w:szCs w:val="16"/>
                <w:lang w:val="es-ES_tradnl"/>
              </w:rPr>
            </w:pPr>
            <w:r w:rsidRPr="00332758">
              <w:rPr>
                <w:b/>
                <w:sz w:val="16"/>
                <w:lang w:val="es-ES_tradnl"/>
              </w:rPr>
              <w:t>Objetivos</w:t>
            </w:r>
          </w:p>
        </w:tc>
        <w:tc>
          <w:tcPr>
            <w:tcW w:w="1646" w:type="pct"/>
            <w:tcBorders>
              <w:top w:val="single" w:sz="4" w:space="0" w:color="auto"/>
            </w:tcBorders>
            <w:shd w:val="clear" w:color="auto" w:fill="FFFFFF"/>
            <w:tcMar>
              <w:top w:w="110" w:type="dxa"/>
            </w:tcMar>
            <w:vAlign w:val="center"/>
          </w:tcPr>
          <w:p w:rsidR="001A2871" w:rsidRPr="00A34388" w:rsidRDefault="001A2871" w:rsidP="008F626D">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F626D">
            <w:pPr>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1" w:type="pct"/>
            <w:shd w:val="clear" w:color="auto" w:fill="auto"/>
          </w:tcPr>
          <w:p w:rsidR="001A2871" w:rsidRPr="00A34388" w:rsidRDefault="001A2871" w:rsidP="008F626D">
            <w:pPr>
              <w:rPr>
                <w:rFonts w:cs="Arial"/>
                <w:sz w:val="16"/>
                <w:szCs w:val="16"/>
                <w:lang w:val="es-ES_tradnl"/>
              </w:rPr>
            </w:pPr>
            <w:r w:rsidRPr="00332758">
              <w:rPr>
                <w:sz w:val="16"/>
                <w:lang w:val="es-ES_tradnl"/>
              </w:rPr>
              <w:t>Número de participantes en plataformas de P.I.</w:t>
            </w:r>
            <w:r w:rsidRPr="00A34388">
              <w:rPr>
                <w:sz w:val="16"/>
                <w:lang w:val="es-ES_tradnl"/>
              </w:rPr>
              <w:t xml:space="preserve"> </w:t>
            </w:r>
          </w:p>
        </w:tc>
        <w:tc>
          <w:tcPr>
            <w:tcW w:w="906" w:type="pct"/>
            <w:shd w:val="clear" w:color="auto" w:fill="auto"/>
          </w:tcPr>
          <w:p w:rsidR="001A2871" w:rsidRPr="009965E1" w:rsidRDefault="001A2871" w:rsidP="008F626D">
            <w:pPr>
              <w:rPr>
                <w:color w:val="002060"/>
                <w:sz w:val="16"/>
                <w:lang w:val="es-ES_tradnl"/>
              </w:rPr>
            </w:pPr>
            <w:r w:rsidRPr="009965E1">
              <w:rPr>
                <w:i/>
                <w:color w:val="002060"/>
                <w:sz w:val="16"/>
                <w:lang w:val="es-ES_tradnl"/>
              </w:rPr>
              <w:t>Referencia actualizada a fines de 2011:</w:t>
            </w:r>
            <w:r w:rsidRPr="009965E1">
              <w:rPr>
                <w:color w:val="002060"/>
                <w:sz w:val="16"/>
                <w:lang w:val="es-ES_tradnl"/>
              </w:rPr>
              <w:t xml:space="preserve"> </w:t>
            </w:r>
          </w:p>
          <w:p w:rsidR="001A2871" w:rsidRPr="009965E1" w:rsidRDefault="001A2871" w:rsidP="008F626D">
            <w:pPr>
              <w:rPr>
                <w:rFonts w:cs="Arial"/>
                <w:color w:val="002060"/>
                <w:sz w:val="16"/>
                <w:szCs w:val="16"/>
                <w:lang w:val="es-ES_tradnl"/>
              </w:rPr>
            </w:pPr>
            <w:r w:rsidRPr="009965E1">
              <w:rPr>
                <w:color w:val="002060"/>
                <w:sz w:val="16"/>
                <w:lang w:val="es-ES_tradnl"/>
              </w:rPr>
              <w:t>WIPO Re:Search:  31 participantes</w:t>
            </w:r>
          </w:p>
          <w:p w:rsidR="001A2871" w:rsidRPr="009965E1" w:rsidRDefault="001A2871" w:rsidP="008F626D">
            <w:pPr>
              <w:rPr>
                <w:rFonts w:cs="Arial"/>
                <w:i/>
                <w:color w:val="002060"/>
                <w:sz w:val="16"/>
                <w:szCs w:val="16"/>
                <w:lang w:val="es-ES_tradnl"/>
              </w:rPr>
            </w:pPr>
            <w:r w:rsidRPr="009965E1">
              <w:rPr>
                <w:i/>
                <w:color w:val="002060"/>
                <w:sz w:val="16"/>
                <w:lang w:val="es-ES_tradnl"/>
              </w:rPr>
              <w:t>WIPO GREEN:  14 participantes</w:t>
            </w:r>
          </w:p>
          <w:p w:rsidR="001A2871" w:rsidRPr="00A34388" w:rsidRDefault="001A2871" w:rsidP="008F626D">
            <w:pPr>
              <w:rPr>
                <w:rFonts w:cs="Arial"/>
                <w:sz w:val="16"/>
                <w:szCs w:val="16"/>
                <w:lang w:val="es-ES_tradnl"/>
              </w:rPr>
            </w:pPr>
            <w:r w:rsidRPr="00A34388">
              <w:rPr>
                <w:i/>
                <w:sz w:val="16"/>
                <w:lang w:val="es-ES_tradnl"/>
              </w:rPr>
              <w:t>Referencia original (Presup. por prog. 2012/13):</w:t>
            </w:r>
            <w:r w:rsidRPr="00A34388">
              <w:rPr>
                <w:sz w:val="16"/>
                <w:lang w:val="es-ES_tradnl"/>
              </w:rPr>
              <w:t xml:space="preserve">  0</w:t>
            </w:r>
          </w:p>
        </w:tc>
        <w:tc>
          <w:tcPr>
            <w:tcW w:w="905" w:type="pct"/>
            <w:shd w:val="clear" w:color="auto" w:fill="auto"/>
            <w:tcMar>
              <w:top w:w="110" w:type="dxa"/>
            </w:tcMar>
          </w:tcPr>
          <w:p w:rsidR="001A2871" w:rsidRPr="00A34388" w:rsidRDefault="001A2871" w:rsidP="008F626D">
            <w:pPr>
              <w:rPr>
                <w:rFonts w:cs="Arial"/>
                <w:sz w:val="16"/>
                <w:szCs w:val="16"/>
                <w:lang w:val="es-ES_tradnl"/>
              </w:rPr>
            </w:pPr>
            <w:r w:rsidRPr="00A34388">
              <w:rPr>
                <w:sz w:val="16"/>
                <w:lang w:val="es-ES_tradnl"/>
              </w:rPr>
              <w:t xml:space="preserve">8-10 participantes </w:t>
            </w:r>
          </w:p>
        </w:tc>
        <w:tc>
          <w:tcPr>
            <w:tcW w:w="1646" w:type="pct"/>
            <w:shd w:val="clear" w:color="auto" w:fill="FFFFFF"/>
            <w:tcMar>
              <w:top w:w="110" w:type="dxa"/>
            </w:tcMar>
          </w:tcPr>
          <w:p w:rsidR="001A2871" w:rsidRPr="00A34388" w:rsidRDefault="001A2871" w:rsidP="008F626D">
            <w:pPr>
              <w:rPr>
                <w:rFonts w:cs="Arial"/>
                <w:sz w:val="16"/>
                <w:szCs w:val="16"/>
                <w:lang w:val="es-ES_tradnl"/>
              </w:rPr>
            </w:pPr>
            <w:r w:rsidRPr="00A34388">
              <w:rPr>
                <w:sz w:val="16"/>
                <w:lang w:val="es-ES_tradnl"/>
              </w:rPr>
              <w:t xml:space="preserve">Durante el bienio, WIPO Re:Search </w:t>
            </w:r>
            <w:r w:rsidR="00905B45" w:rsidRPr="00A34388">
              <w:rPr>
                <w:sz w:val="16"/>
                <w:lang w:val="es-ES_tradnl"/>
              </w:rPr>
              <w:t xml:space="preserve">incorporó </w:t>
            </w:r>
            <w:r w:rsidRPr="00A34388">
              <w:rPr>
                <w:sz w:val="16"/>
                <w:lang w:val="es-ES_tradnl"/>
              </w:rPr>
              <w:t xml:space="preserve">49 nuevos </w:t>
            </w:r>
            <w:r w:rsidR="00905B45" w:rsidRPr="00A34388">
              <w:rPr>
                <w:sz w:val="16"/>
                <w:lang w:val="es-ES_tradnl"/>
              </w:rPr>
              <w:t xml:space="preserve">miembros </w:t>
            </w:r>
            <w:r w:rsidRPr="00A34388">
              <w:rPr>
                <w:sz w:val="16"/>
                <w:lang w:val="es-ES_tradnl"/>
              </w:rPr>
              <w:t>(proveedores, usuarios y colaboradores) y 167 nuevos registros en la base de datos.</w:t>
            </w:r>
          </w:p>
          <w:p w:rsidR="001A2871" w:rsidRPr="00A34388" w:rsidRDefault="001A2871" w:rsidP="008F626D">
            <w:pPr>
              <w:pStyle w:val="ListParagraph"/>
              <w:numPr>
                <w:ilvl w:val="0"/>
                <w:numId w:val="50"/>
              </w:numPr>
              <w:ind w:left="278" w:hanging="278"/>
              <w:rPr>
                <w:rFonts w:cs="Arial"/>
                <w:lang w:val="es-ES_tradnl"/>
              </w:rPr>
            </w:pPr>
            <w:r w:rsidRPr="00A34388">
              <w:rPr>
                <w:sz w:val="16"/>
                <w:lang w:val="es-ES_tradnl"/>
              </w:rPr>
              <w:t xml:space="preserve">30 nuevos miembros y 90 nuevos registros en 2012; </w:t>
            </w:r>
            <w:r w:rsidR="00267DA6" w:rsidRPr="00A34388">
              <w:rPr>
                <w:sz w:val="16"/>
                <w:lang w:val="es-ES_tradnl"/>
              </w:rPr>
              <w:t xml:space="preserve"> </w:t>
            </w:r>
            <w:r w:rsidRPr="00A34388">
              <w:rPr>
                <w:sz w:val="16"/>
                <w:lang w:val="es-ES_tradnl"/>
              </w:rPr>
              <w:t xml:space="preserve">y  </w:t>
            </w:r>
          </w:p>
          <w:p w:rsidR="001A2871" w:rsidRPr="00A34388" w:rsidRDefault="001A2871" w:rsidP="008F626D">
            <w:pPr>
              <w:pStyle w:val="ListParagraph"/>
              <w:numPr>
                <w:ilvl w:val="0"/>
                <w:numId w:val="50"/>
              </w:numPr>
              <w:ind w:left="278" w:hanging="278"/>
              <w:rPr>
                <w:rFonts w:cs="Arial"/>
                <w:lang w:val="es-ES_tradnl"/>
              </w:rPr>
            </w:pPr>
            <w:r w:rsidRPr="00A34388">
              <w:rPr>
                <w:sz w:val="16"/>
                <w:lang w:val="es-ES_tradnl"/>
              </w:rPr>
              <w:t>19 nuevos miembros y 77 nuevos registros en 2013,</w:t>
            </w:r>
          </w:p>
          <w:p w:rsidR="001A2871" w:rsidRPr="00A34388" w:rsidRDefault="001A2871" w:rsidP="008F626D">
            <w:pPr>
              <w:rPr>
                <w:rFonts w:cs="Arial"/>
                <w:sz w:val="16"/>
                <w:szCs w:val="16"/>
                <w:lang w:val="es-ES_tradnl"/>
              </w:rPr>
            </w:pPr>
            <w:r w:rsidRPr="00A34388">
              <w:rPr>
                <w:sz w:val="16"/>
                <w:lang w:val="es-ES_tradnl"/>
              </w:rPr>
              <w:t>lo que suma un total de 80 miembros y 247 registros.</w:t>
            </w:r>
          </w:p>
          <w:p w:rsidR="001A2871" w:rsidRPr="00A34388" w:rsidRDefault="001A2871" w:rsidP="008F626D">
            <w:pPr>
              <w:rPr>
                <w:rFonts w:cs="Arial"/>
                <w:sz w:val="8"/>
                <w:szCs w:val="8"/>
                <w:lang w:val="es-ES_tradnl"/>
              </w:rPr>
            </w:pPr>
          </w:p>
          <w:p w:rsidR="001A2871" w:rsidRPr="00A34388" w:rsidRDefault="001A2871" w:rsidP="008F626D">
            <w:pPr>
              <w:rPr>
                <w:rFonts w:cs="Arial"/>
                <w:sz w:val="16"/>
                <w:szCs w:val="16"/>
                <w:lang w:val="es-ES_tradnl"/>
              </w:rPr>
            </w:pPr>
            <w:r w:rsidRPr="00A34388">
              <w:rPr>
                <w:sz w:val="16"/>
                <w:lang w:val="es-ES_tradnl"/>
              </w:rPr>
              <w:t>WIPO GREEN:</w:t>
            </w:r>
            <w:r w:rsidR="007E4D96" w:rsidRPr="00A34388">
              <w:rPr>
                <w:sz w:val="16"/>
                <w:lang w:val="es-ES_tradnl"/>
              </w:rPr>
              <w:t xml:space="preserve"> </w:t>
            </w:r>
            <w:r w:rsidRPr="00A34388">
              <w:rPr>
                <w:sz w:val="16"/>
                <w:lang w:val="es-ES_tradnl"/>
              </w:rPr>
              <w:t xml:space="preserve"> 62 miembros (37 socios, 25 proveedores de tecnología y necesidades) (</w:t>
            </w:r>
            <w:r w:rsidR="00C32EAC">
              <w:rPr>
                <w:sz w:val="16"/>
                <w:lang w:val="es-ES_tradnl"/>
              </w:rPr>
              <w:t>total</w:t>
            </w:r>
            <w:r w:rsidRPr="00A34388">
              <w:rPr>
                <w:sz w:val="16"/>
                <w:lang w:val="es-ES_tradnl"/>
              </w:rPr>
              <w:t>).</w:t>
            </w:r>
          </w:p>
        </w:tc>
        <w:tc>
          <w:tcPr>
            <w:tcW w:w="682" w:type="pct"/>
            <w:shd w:val="clear" w:color="auto" w:fill="auto"/>
            <w:tcMar>
              <w:top w:w="110" w:type="dxa"/>
            </w:tcMar>
          </w:tcPr>
          <w:p w:rsidR="001A2871" w:rsidRPr="00332758" w:rsidRDefault="001A2871" w:rsidP="008F626D">
            <w:pPr>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r w:rsidR="001A2871" w:rsidRPr="00A34388" w:rsidTr="00853209">
        <w:trPr>
          <w:cantSplit/>
        </w:trPr>
        <w:tc>
          <w:tcPr>
            <w:tcW w:w="861" w:type="pct"/>
            <w:tcBorders>
              <w:bottom w:val="single" w:sz="4" w:space="0" w:color="auto"/>
            </w:tcBorders>
            <w:shd w:val="clear" w:color="auto" w:fill="auto"/>
          </w:tcPr>
          <w:p w:rsidR="001A2871" w:rsidRPr="00A34388" w:rsidRDefault="001A2871" w:rsidP="008F626D">
            <w:pPr>
              <w:rPr>
                <w:rFonts w:cs="Arial"/>
                <w:sz w:val="16"/>
                <w:szCs w:val="16"/>
                <w:lang w:val="es-ES_tradnl"/>
              </w:rPr>
            </w:pPr>
            <w:r w:rsidRPr="00332758">
              <w:rPr>
                <w:sz w:val="16"/>
                <w:lang w:val="es-ES_tradnl"/>
              </w:rPr>
              <w:t>Número de transacciones realizadas por medio de la(s) plataforma(s).</w:t>
            </w:r>
          </w:p>
        </w:tc>
        <w:tc>
          <w:tcPr>
            <w:tcW w:w="906" w:type="pct"/>
            <w:tcBorders>
              <w:bottom w:val="single" w:sz="4" w:space="0" w:color="auto"/>
            </w:tcBorders>
            <w:shd w:val="clear" w:color="auto" w:fill="auto"/>
          </w:tcPr>
          <w:p w:rsidR="001A2871" w:rsidRPr="00A34388" w:rsidRDefault="001A2871" w:rsidP="008F626D">
            <w:pPr>
              <w:rPr>
                <w:rFonts w:cs="Arial"/>
                <w:sz w:val="16"/>
                <w:szCs w:val="16"/>
                <w:lang w:val="es-ES_tradnl"/>
              </w:rPr>
            </w:pPr>
            <w:r w:rsidRPr="00A34388">
              <w:rPr>
                <w:sz w:val="16"/>
                <w:lang w:val="es-ES_tradnl"/>
              </w:rPr>
              <w:t>0</w:t>
            </w:r>
          </w:p>
        </w:tc>
        <w:tc>
          <w:tcPr>
            <w:tcW w:w="905" w:type="pct"/>
            <w:tcBorders>
              <w:bottom w:val="single" w:sz="4" w:space="0" w:color="auto"/>
            </w:tcBorders>
            <w:shd w:val="clear" w:color="auto" w:fill="auto"/>
            <w:tcMar>
              <w:top w:w="110" w:type="dxa"/>
            </w:tcMar>
          </w:tcPr>
          <w:p w:rsidR="001A2871" w:rsidRPr="00A34388" w:rsidRDefault="001A2871" w:rsidP="008F626D">
            <w:pPr>
              <w:autoSpaceDE w:val="0"/>
              <w:autoSpaceDN w:val="0"/>
              <w:adjustRightInd w:val="0"/>
              <w:rPr>
                <w:rFonts w:cs="Arial"/>
                <w:sz w:val="16"/>
                <w:szCs w:val="16"/>
                <w:lang w:val="es-ES_tradnl"/>
              </w:rPr>
            </w:pPr>
            <w:r w:rsidRPr="00A34388">
              <w:rPr>
                <w:sz w:val="16"/>
                <w:lang w:val="es-ES_tradnl"/>
              </w:rPr>
              <w:t>10 transacciones</w:t>
            </w:r>
          </w:p>
          <w:p w:rsidR="001A2871" w:rsidRPr="00A34388" w:rsidRDefault="001A2871" w:rsidP="008F626D">
            <w:pPr>
              <w:rPr>
                <w:rFonts w:cs="Arial"/>
                <w:sz w:val="16"/>
                <w:szCs w:val="16"/>
                <w:lang w:val="es-ES_tradnl"/>
              </w:rPr>
            </w:pPr>
            <w:r w:rsidRPr="00A34388">
              <w:rPr>
                <w:sz w:val="16"/>
                <w:lang w:val="es-ES_tradnl"/>
              </w:rPr>
              <w:t>realizadas</w:t>
            </w:r>
          </w:p>
        </w:tc>
        <w:tc>
          <w:tcPr>
            <w:tcW w:w="1646" w:type="pct"/>
            <w:tcBorders>
              <w:bottom w:val="single" w:sz="4" w:space="0" w:color="auto"/>
            </w:tcBorders>
            <w:shd w:val="clear" w:color="auto" w:fill="FFFFFF"/>
            <w:tcMar>
              <w:top w:w="110" w:type="dxa"/>
            </w:tcMar>
          </w:tcPr>
          <w:p w:rsidR="001A2871" w:rsidRPr="00A34388" w:rsidRDefault="001A2871" w:rsidP="008F626D">
            <w:pPr>
              <w:rPr>
                <w:rFonts w:cs="Arial"/>
                <w:sz w:val="16"/>
                <w:szCs w:val="16"/>
                <w:lang w:val="es-ES_tradnl"/>
              </w:rPr>
            </w:pPr>
            <w:r w:rsidRPr="00A34388">
              <w:rPr>
                <w:sz w:val="16"/>
                <w:lang w:val="es-ES_tradnl"/>
              </w:rPr>
              <w:t>Para el final de 2013 WIPO Re:Search había facilitado 44 colaboraciones de investigación (11 en 2012</w:t>
            </w:r>
            <w:r w:rsidRPr="00A34388">
              <w:rPr>
                <w:rStyle w:val="FootnoteReference"/>
                <w:sz w:val="16"/>
                <w:lang w:val="es-ES_tradnl"/>
              </w:rPr>
              <w:footnoteReference w:id="37"/>
            </w:r>
            <w:r w:rsidRPr="00A34388">
              <w:rPr>
                <w:sz w:val="16"/>
                <w:lang w:val="es-ES_tradnl"/>
              </w:rPr>
              <w:t xml:space="preserve"> y 33 en 2013) y había celebrado cinco acuerdos de acogida de científicos biomédicos africanos.</w:t>
            </w:r>
          </w:p>
          <w:p w:rsidR="001A2871" w:rsidRPr="00A34388" w:rsidRDefault="001A2871" w:rsidP="008F626D">
            <w:pPr>
              <w:rPr>
                <w:rFonts w:cs="Arial"/>
                <w:sz w:val="8"/>
                <w:szCs w:val="8"/>
                <w:lang w:val="es-ES_tradnl"/>
              </w:rPr>
            </w:pPr>
          </w:p>
          <w:p w:rsidR="001A2871" w:rsidRPr="00A34388" w:rsidRDefault="001A2871" w:rsidP="008F626D">
            <w:pPr>
              <w:rPr>
                <w:rFonts w:cs="Arial"/>
                <w:sz w:val="16"/>
                <w:szCs w:val="16"/>
                <w:lang w:val="es-ES_tradnl"/>
              </w:rPr>
            </w:pPr>
            <w:r w:rsidRPr="00A34388">
              <w:rPr>
                <w:sz w:val="16"/>
                <w:lang w:val="es-ES_tradnl"/>
              </w:rPr>
              <w:t xml:space="preserve">Entre 2012 y 2013 WIPO GREEN celebró: </w:t>
            </w:r>
          </w:p>
          <w:p w:rsidR="001A2871" w:rsidRPr="00A34388" w:rsidRDefault="001A2871" w:rsidP="008F626D">
            <w:pPr>
              <w:pStyle w:val="ListParagraph"/>
              <w:numPr>
                <w:ilvl w:val="0"/>
                <w:numId w:val="49"/>
              </w:numPr>
              <w:ind w:left="278" w:hanging="278"/>
              <w:rPr>
                <w:rFonts w:cs="Arial"/>
                <w:sz w:val="16"/>
                <w:szCs w:val="16"/>
                <w:lang w:val="es-ES_tradnl"/>
              </w:rPr>
            </w:pPr>
            <w:r w:rsidRPr="00A34388">
              <w:rPr>
                <w:sz w:val="16"/>
                <w:lang w:val="es-ES_tradnl"/>
              </w:rPr>
              <w:t>Dos acuerdos con colaboradores externos para la integración de datos</w:t>
            </w:r>
          </w:p>
          <w:p w:rsidR="001A2871" w:rsidRPr="00A34388" w:rsidRDefault="001A2871" w:rsidP="008F626D">
            <w:pPr>
              <w:pStyle w:val="ListParagraph"/>
              <w:numPr>
                <w:ilvl w:val="0"/>
                <w:numId w:val="49"/>
              </w:numPr>
              <w:ind w:left="278" w:hanging="278"/>
              <w:rPr>
                <w:rFonts w:cs="Arial"/>
                <w:sz w:val="16"/>
                <w:szCs w:val="16"/>
                <w:lang w:val="es-ES_tradnl"/>
              </w:rPr>
            </w:pPr>
            <w:r w:rsidRPr="00A34388">
              <w:rPr>
                <w:sz w:val="16"/>
                <w:lang w:val="es-ES_tradnl"/>
              </w:rPr>
              <w:t>Dos memorandos de entendimiento y dos intercambios de cartas para asociaciones</w:t>
            </w:r>
          </w:p>
          <w:p w:rsidR="001A2871" w:rsidRPr="00A34388" w:rsidRDefault="001A2871" w:rsidP="008F626D">
            <w:pPr>
              <w:pStyle w:val="ListParagraph"/>
              <w:numPr>
                <w:ilvl w:val="0"/>
                <w:numId w:val="49"/>
              </w:numPr>
              <w:ind w:left="278" w:hanging="278"/>
              <w:rPr>
                <w:rFonts w:cs="Arial"/>
                <w:sz w:val="16"/>
                <w:szCs w:val="16"/>
                <w:lang w:val="es-ES_tradnl"/>
              </w:rPr>
            </w:pPr>
            <w:r w:rsidRPr="00A34388">
              <w:rPr>
                <w:sz w:val="16"/>
                <w:lang w:val="es-ES_tradnl"/>
              </w:rPr>
              <w:t>No se llevaron a cabo transacciones.</w:t>
            </w:r>
          </w:p>
          <w:p w:rsidR="001A2871" w:rsidRPr="00A34388" w:rsidRDefault="001A2871" w:rsidP="008F626D">
            <w:pPr>
              <w:pStyle w:val="ListParagraph"/>
              <w:rPr>
                <w:rFonts w:cs="Arial"/>
                <w:sz w:val="16"/>
                <w:szCs w:val="16"/>
                <w:lang w:val="es-ES_tradnl"/>
              </w:rPr>
            </w:pPr>
          </w:p>
        </w:tc>
        <w:tc>
          <w:tcPr>
            <w:tcW w:w="682" w:type="pct"/>
            <w:tcBorders>
              <w:bottom w:val="single" w:sz="4" w:space="0" w:color="auto"/>
            </w:tcBorders>
            <w:shd w:val="clear" w:color="auto" w:fill="auto"/>
            <w:tcMar>
              <w:top w:w="110" w:type="dxa"/>
            </w:tcMar>
          </w:tcPr>
          <w:p w:rsidR="001A2871" w:rsidRPr="00332758" w:rsidRDefault="001A2871" w:rsidP="008F626D">
            <w:pPr>
              <w:jc w:val="center"/>
              <w:rPr>
                <w:rFonts w:cs="Arial"/>
                <w:bCs/>
                <w:sz w:val="16"/>
                <w:szCs w:val="16"/>
                <w:lang w:val="es-ES_tradnl"/>
              </w:rPr>
            </w:pPr>
            <w:r w:rsidRPr="00A34388">
              <w:rPr>
                <w:color w:val="E36C0A" w:themeColor="accent6" w:themeShade="BF"/>
                <w:sz w:val="16"/>
                <w:lang w:val="es-ES_tradnl"/>
              </w:rPr>
              <w:t>Parcialmente</w:t>
            </w:r>
            <w:r w:rsidRPr="00A34388">
              <w:rPr>
                <w:rFonts w:cs="Arial"/>
                <w:bCs/>
                <w:color w:val="E36C0A" w:themeColor="accent6" w:themeShade="BF"/>
                <w:sz w:val="16"/>
                <w:szCs w:val="16"/>
                <w:lang w:val="es-ES_tradnl"/>
              </w:rPr>
              <w:br/>
            </w:r>
            <w:r w:rsidRPr="00A34388">
              <w:rPr>
                <w:color w:val="E36C0A" w:themeColor="accent6" w:themeShade="BF"/>
                <w:sz w:val="16"/>
                <w:lang w:val="es-ES_tradnl"/>
              </w:rPr>
              <w:t>logrado</w:t>
            </w:r>
          </w:p>
        </w:tc>
      </w:tr>
      <w:tr w:rsidR="001A2871" w:rsidRPr="00A9508D" w:rsidTr="00853209">
        <w:trPr>
          <w:cantSplit/>
        </w:trPr>
        <w:tc>
          <w:tcPr>
            <w:tcW w:w="5000" w:type="pct"/>
            <w:gridSpan w:val="5"/>
            <w:tcBorders>
              <w:top w:val="single" w:sz="4" w:space="0" w:color="auto"/>
              <w:bottom w:val="single" w:sz="4" w:space="0" w:color="auto"/>
            </w:tcBorders>
            <w:shd w:val="clear" w:color="auto" w:fill="CCFFFF"/>
            <w:vAlign w:val="center"/>
          </w:tcPr>
          <w:p w:rsidR="001A2871" w:rsidRPr="00332758" w:rsidRDefault="001A2871" w:rsidP="008F626D">
            <w:pPr>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La OMPI es el foro pertinente para analizar y debatir cuestiones en el ámbito de la P.I. y la política de competencia.</w:t>
            </w:r>
          </w:p>
        </w:tc>
      </w:tr>
      <w:tr w:rsidR="001A2871" w:rsidRPr="00A34388" w:rsidTr="00853209">
        <w:trPr>
          <w:cantSplit/>
        </w:trPr>
        <w:tc>
          <w:tcPr>
            <w:tcW w:w="861" w:type="pct"/>
            <w:tcBorders>
              <w:top w:val="single" w:sz="4" w:space="0" w:color="auto"/>
            </w:tcBorders>
            <w:shd w:val="clear" w:color="auto" w:fill="auto"/>
            <w:vAlign w:val="center"/>
          </w:tcPr>
          <w:p w:rsidR="001A2871" w:rsidRPr="00A34388" w:rsidRDefault="001A2871" w:rsidP="00853209">
            <w:pPr>
              <w:rPr>
                <w:rFonts w:cs="Arial"/>
                <w:color w:val="808080"/>
                <w:sz w:val="16"/>
                <w:szCs w:val="16"/>
                <w:lang w:val="es-ES_tradnl"/>
              </w:rPr>
            </w:pPr>
            <w:r w:rsidRPr="00332758">
              <w:rPr>
                <w:b/>
                <w:sz w:val="16"/>
                <w:lang w:val="es-ES_tradnl"/>
              </w:rPr>
              <w:t>Indicadores de rendimiento</w:t>
            </w:r>
          </w:p>
        </w:tc>
        <w:tc>
          <w:tcPr>
            <w:tcW w:w="906" w:type="pct"/>
            <w:tcBorders>
              <w:top w:val="single" w:sz="4" w:space="0" w:color="auto"/>
            </w:tcBorders>
            <w:shd w:val="clear" w:color="auto" w:fill="auto"/>
            <w:vAlign w:val="center"/>
          </w:tcPr>
          <w:p w:rsidR="001A2871" w:rsidRPr="00A34388" w:rsidRDefault="001A2871" w:rsidP="00853209">
            <w:pPr>
              <w:rPr>
                <w:rFonts w:cs="Arial"/>
                <w:b/>
                <w:bCs/>
                <w:color w:val="808080"/>
                <w:sz w:val="16"/>
                <w:szCs w:val="16"/>
                <w:lang w:val="es-ES_tradnl"/>
              </w:rPr>
            </w:pPr>
            <w:r w:rsidRPr="00332758">
              <w:rPr>
                <w:b/>
                <w:sz w:val="16"/>
                <w:lang w:val="es-ES_tradnl"/>
              </w:rPr>
              <w:t>Referencia</w:t>
            </w:r>
          </w:p>
        </w:tc>
        <w:tc>
          <w:tcPr>
            <w:tcW w:w="905" w:type="pct"/>
            <w:tcBorders>
              <w:top w:val="single" w:sz="4" w:space="0" w:color="auto"/>
            </w:tcBorders>
            <w:shd w:val="clear" w:color="auto" w:fill="auto"/>
            <w:tcMar>
              <w:top w:w="110" w:type="dxa"/>
            </w:tcMar>
            <w:vAlign w:val="center"/>
          </w:tcPr>
          <w:p w:rsidR="001A2871" w:rsidRPr="00A34388" w:rsidRDefault="001A2871" w:rsidP="00853209">
            <w:pPr>
              <w:rPr>
                <w:rFonts w:cs="Arial"/>
                <w:b/>
                <w:color w:val="808080"/>
                <w:sz w:val="16"/>
                <w:szCs w:val="16"/>
                <w:lang w:val="es-ES_tradnl"/>
              </w:rPr>
            </w:pPr>
            <w:r w:rsidRPr="00332758">
              <w:rPr>
                <w:b/>
                <w:sz w:val="16"/>
                <w:lang w:val="es-ES_tradnl"/>
              </w:rPr>
              <w:t>Objetivos</w:t>
            </w:r>
          </w:p>
        </w:tc>
        <w:tc>
          <w:tcPr>
            <w:tcW w:w="1646" w:type="pct"/>
            <w:tcBorders>
              <w:top w:val="single" w:sz="4" w:space="0" w:color="auto"/>
            </w:tcBorders>
            <w:shd w:val="clear" w:color="auto" w:fill="FFFFFF"/>
            <w:tcMar>
              <w:top w:w="110" w:type="dxa"/>
            </w:tcMar>
            <w:vAlign w:val="center"/>
          </w:tcPr>
          <w:p w:rsidR="001A2871" w:rsidRPr="00A34388" w:rsidRDefault="001A2871" w:rsidP="00853209">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shd w:val="clear" w:color="auto" w:fill="auto"/>
            <w:tcMar>
              <w:top w:w="110" w:type="dxa"/>
            </w:tcMar>
            <w:vAlign w:val="center"/>
          </w:tcPr>
          <w:p w:rsidR="001A2871" w:rsidRPr="00332758" w:rsidRDefault="001A2871" w:rsidP="00853209">
            <w:pPr>
              <w:keepNext/>
              <w:keepLines/>
              <w:jc w:val="center"/>
              <w:rPr>
                <w:rFonts w:cs="Arial"/>
                <w:b/>
                <w:bCs/>
                <w:sz w:val="16"/>
                <w:szCs w:val="16"/>
                <w:lang w:val="es-ES_tradnl"/>
              </w:rPr>
            </w:pPr>
            <w:r w:rsidRPr="00332758">
              <w:rPr>
                <w:b/>
                <w:sz w:val="16"/>
                <w:lang w:val="es-ES_tradnl"/>
              </w:rPr>
              <w:t>Clave de colores</w:t>
            </w:r>
          </w:p>
        </w:tc>
      </w:tr>
      <w:tr w:rsidR="001A2871" w:rsidRPr="00A34388" w:rsidTr="00853209">
        <w:trPr>
          <w:cantSplit/>
        </w:trPr>
        <w:tc>
          <w:tcPr>
            <w:tcW w:w="86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de países que solicitan aportaciones concretas de la OMPI en relación con la P.I. y las cuestiones relativas al Derecho de competencia.</w:t>
            </w:r>
          </w:p>
        </w:tc>
        <w:tc>
          <w:tcPr>
            <w:tcW w:w="906" w:type="pct"/>
            <w:shd w:val="clear" w:color="auto" w:fill="auto"/>
          </w:tcPr>
          <w:p w:rsidR="001A2871" w:rsidRPr="00A34388" w:rsidRDefault="001A2871" w:rsidP="00853209">
            <w:pPr>
              <w:rPr>
                <w:rFonts w:cs="Arial"/>
                <w:sz w:val="16"/>
                <w:szCs w:val="16"/>
                <w:lang w:val="es-ES_tradnl"/>
              </w:rPr>
            </w:pPr>
            <w:r w:rsidRPr="00332758">
              <w:rPr>
                <w:sz w:val="16"/>
                <w:lang w:val="es-ES_tradnl"/>
              </w:rPr>
              <w:t>Dos peticiones (en diciembre de 2010).</w:t>
            </w:r>
          </w:p>
        </w:tc>
        <w:tc>
          <w:tcPr>
            <w:tcW w:w="905"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332758">
              <w:rPr>
                <w:sz w:val="16"/>
                <w:lang w:val="es-ES_tradnl"/>
              </w:rPr>
              <w:t>Seis solicitudes</w:t>
            </w:r>
          </w:p>
          <w:p w:rsidR="001A2871" w:rsidRPr="00A34388" w:rsidRDefault="001A2871" w:rsidP="00853209">
            <w:pPr>
              <w:rPr>
                <w:rFonts w:cs="Arial"/>
                <w:sz w:val="16"/>
                <w:szCs w:val="16"/>
                <w:lang w:val="es-ES_tradnl"/>
              </w:rPr>
            </w:pPr>
            <w:r w:rsidRPr="00A34388">
              <w:rPr>
                <w:sz w:val="16"/>
                <w:lang w:val="es-ES_tradnl"/>
              </w:rPr>
              <w:t>(en 2012/13).</w:t>
            </w:r>
          </w:p>
        </w:tc>
        <w:tc>
          <w:tcPr>
            <w:tcW w:w="1646" w:type="pct"/>
            <w:shd w:val="clear" w:color="auto" w:fill="FFFFFF"/>
            <w:tcMar>
              <w:top w:w="110" w:type="dxa"/>
            </w:tcMar>
          </w:tcPr>
          <w:p w:rsidR="001A2871" w:rsidRPr="00A34388" w:rsidRDefault="001A2871" w:rsidP="00853209">
            <w:pPr>
              <w:rPr>
                <w:rFonts w:cs="Arial"/>
                <w:sz w:val="16"/>
                <w:szCs w:val="16"/>
                <w:lang w:val="es-ES_tradnl"/>
              </w:rPr>
            </w:pPr>
            <w:r w:rsidRPr="00A34388">
              <w:rPr>
                <w:sz w:val="16"/>
                <w:lang w:val="es-ES_tradnl"/>
              </w:rPr>
              <w:t xml:space="preserve">Seis solicitudes de </w:t>
            </w:r>
            <w:r w:rsidR="00CF5F1F" w:rsidRPr="00A34388">
              <w:rPr>
                <w:sz w:val="16"/>
                <w:lang w:val="es-ES_tradnl"/>
              </w:rPr>
              <w:t xml:space="preserve">debates </w:t>
            </w:r>
            <w:r w:rsidRPr="00A34388">
              <w:rPr>
                <w:sz w:val="16"/>
                <w:lang w:val="es-ES_tradnl"/>
              </w:rPr>
              <w:t xml:space="preserve">bilaterales (Chile, </w:t>
            </w:r>
            <w:r w:rsidR="0065614B" w:rsidRPr="00A34388">
              <w:rPr>
                <w:sz w:val="16"/>
                <w:lang w:val="es-ES_tradnl"/>
              </w:rPr>
              <w:t xml:space="preserve">el </w:t>
            </w:r>
            <w:r w:rsidRPr="00A34388">
              <w:rPr>
                <w:sz w:val="16"/>
                <w:lang w:val="es-ES_tradnl"/>
              </w:rPr>
              <w:t xml:space="preserve">Brasil, </w:t>
            </w:r>
            <w:r w:rsidR="0065614B" w:rsidRPr="00A34388">
              <w:rPr>
                <w:sz w:val="16"/>
                <w:lang w:val="es-ES_tradnl"/>
              </w:rPr>
              <w:t xml:space="preserve">el </w:t>
            </w:r>
            <w:r w:rsidRPr="00A34388">
              <w:rPr>
                <w:sz w:val="16"/>
                <w:lang w:val="es-ES_tradnl"/>
              </w:rPr>
              <w:t xml:space="preserve">Ecuador, </w:t>
            </w:r>
            <w:r w:rsidR="0065614B" w:rsidRPr="00A34388">
              <w:rPr>
                <w:sz w:val="16"/>
                <w:lang w:val="es-ES_tradnl"/>
              </w:rPr>
              <w:t xml:space="preserve">la </w:t>
            </w:r>
            <w:r w:rsidRPr="00A34388">
              <w:rPr>
                <w:sz w:val="16"/>
                <w:lang w:val="es-ES_tradnl"/>
              </w:rPr>
              <w:t xml:space="preserve">India, </w:t>
            </w:r>
            <w:r w:rsidR="0065614B" w:rsidRPr="00A34388">
              <w:rPr>
                <w:sz w:val="16"/>
                <w:lang w:val="es-ES_tradnl"/>
              </w:rPr>
              <w:t xml:space="preserve">la </w:t>
            </w:r>
            <w:r w:rsidRPr="00A34388">
              <w:rPr>
                <w:sz w:val="16"/>
                <w:lang w:val="es-ES_tradnl"/>
              </w:rPr>
              <w:t xml:space="preserve">República Dominicana, </w:t>
            </w:r>
            <w:r w:rsidR="0065614B" w:rsidRPr="00A34388">
              <w:rPr>
                <w:sz w:val="16"/>
                <w:lang w:val="es-ES_tradnl"/>
              </w:rPr>
              <w:t xml:space="preserve">la </w:t>
            </w:r>
            <w:r w:rsidRPr="00A34388">
              <w:rPr>
                <w:sz w:val="16"/>
                <w:lang w:val="es-ES_tradnl"/>
              </w:rPr>
              <w:t>República de Moldova) y una solicitud de asistencia legislativa (Bhután).</w:t>
            </w:r>
          </w:p>
          <w:p w:rsidR="001A2871" w:rsidRPr="00A34388" w:rsidRDefault="001A2871" w:rsidP="00853209">
            <w:pPr>
              <w:rPr>
                <w:rFonts w:cs="Arial"/>
                <w:sz w:val="8"/>
                <w:szCs w:val="8"/>
                <w:lang w:val="es-ES_tradnl"/>
              </w:rPr>
            </w:pPr>
          </w:p>
          <w:p w:rsidR="001A2871" w:rsidRPr="00A34388" w:rsidRDefault="001A2871" w:rsidP="00853209">
            <w:pPr>
              <w:rPr>
                <w:rFonts w:cs="Arial"/>
                <w:sz w:val="16"/>
                <w:szCs w:val="16"/>
                <w:lang w:val="es-ES_tradnl"/>
              </w:rPr>
            </w:pPr>
            <w:r w:rsidRPr="00A34388">
              <w:rPr>
                <w:sz w:val="16"/>
                <w:lang w:val="es-ES_tradnl"/>
              </w:rPr>
              <w:t xml:space="preserve">19 talleres organizados en Estados miembros sobre cuestiones específicas de propiedad intelectual y </w:t>
            </w:r>
            <w:r w:rsidR="00CF5F1F" w:rsidRPr="00A34388">
              <w:rPr>
                <w:sz w:val="16"/>
                <w:lang w:val="es-ES_tradnl"/>
              </w:rPr>
              <w:t xml:space="preserve">Derecho de </w:t>
            </w:r>
            <w:r w:rsidRPr="00A34388">
              <w:rPr>
                <w:sz w:val="16"/>
                <w:lang w:val="es-ES_tradnl"/>
              </w:rPr>
              <w:t xml:space="preserve">competencia. </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r w:rsidRPr="00A34388">
              <w:rPr>
                <w:rStyle w:val="Style5"/>
                <w:rFonts w:ascii="Arial" w:hAnsi="Arial"/>
                <w:sz w:val="16"/>
                <w:lang w:val="es-ES_tradnl"/>
              </w:rPr>
              <w:t xml:space="preserve"> </w:t>
            </w:r>
          </w:p>
        </w:tc>
      </w:tr>
      <w:tr w:rsidR="001A2871" w:rsidRPr="00A34388" w:rsidTr="00853209">
        <w:trPr>
          <w:cantSplit/>
        </w:trPr>
        <w:tc>
          <w:tcPr>
            <w:tcW w:w="861" w:type="pct"/>
            <w:shd w:val="clear" w:color="auto" w:fill="auto"/>
          </w:tcPr>
          <w:p w:rsidR="001A2871" w:rsidRPr="00A34388" w:rsidRDefault="001A2871" w:rsidP="00853209">
            <w:pPr>
              <w:rPr>
                <w:rFonts w:cs="Arial"/>
                <w:sz w:val="16"/>
                <w:szCs w:val="16"/>
                <w:lang w:val="es-ES_tradnl"/>
              </w:rPr>
            </w:pPr>
            <w:r w:rsidRPr="00332758">
              <w:rPr>
                <w:sz w:val="16"/>
                <w:lang w:val="es-ES_tradnl"/>
              </w:rPr>
              <w:t>Número y diversidad de sectores interesados (oficinas de P.I., autoridades encargadas de cuestiones de competencia, OIG y ONG) que entablan diálogo con la OMPI.</w:t>
            </w:r>
          </w:p>
          <w:p w:rsidR="001A2871" w:rsidRPr="00A34388" w:rsidRDefault="001A2871" w:rsidP="00853209">
            <w:pPr>
              <w:rPr>
                <w:rFonts w:cs="Arial"/>
                <w:sz w:val="16"/>
                <w:szCs w:val="16"/>
                <w:lang w:val="es-ES_tradnl"/>
              </w:rPr>
            </w:pPr>
          </w:p>
        </w:tc>
        <w:tc>
          <w:tcPr>
            <w:tcW w:w="906" w:type="pct"/>
            <w:shd w:val="clear" w:color="auto" w:fill="auto"/>
          </w:tcPr>
          <w:p w:rsidR="001A2871" w:rsidRPr="00A34388" w:rsidRDefault="001A2871" w:rsidP="00853209">
            <w:pPr>
              <w:rPr>
                <w:rFonts w:cs="Arial"/>
                <w:sz w:val="16"/>
                <w:szCs w:val="16"/>
                <w:lang w:val="es-ES_tradnl"/>
              </w:rPr>
            </w:pPr>
            <w:r w:rsidRPr="00332758">
              <w:rPr>
                <w:sz w:val="16"/>
                <w:lang w:val="es-ES_tradnl"/>
              </w:rPr>
              <w:t>Diálogo entablado con cinco administraciones nacionales encargadas de la competencia (de tres Estados miembros y tres OIG).</w:t>
            </w:r>
          </w:p>
        </w:tc>
        <w:tc>
          <w:tcPr>
            <w:tcW w:w="905" w:type="pct"/>
            <w:shd w:val="clear" w:color="auto" w:fill="auto"/>
            <w:tcMar>
              <w:top w:w="110" w:type="dxa"/>
            </w:tcMar>
          </w:tcPr>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Sectores interesados que participan en el Foro Mundial de la OMPI:</w:t>
            </w:r>
            <w:r w:rsidR="007E4D96" w:rsidRPr="00A34388">
              <w:rPr>
                <w:sz w:val="16"/>
                <w:lang w:val="es-ES_tradnl"/>
              </w:rPr>
              <w:t xml:space="preserve"> </w:t>
            </w:r>
            <w:r w:rsidRPr="00A34388">
              <w:rPr>
                <w:sz w:val="16"/>
                <w:lang w:val="es-ES_tradnl"/>
              </w:rPr>
              <w:t xml:space="preserve"> 15 autoridades</w:t>
            </w:r>
          </w:p>
          <w:p w:rsidR="001A2871" w:rsidRPr="00A34388" w:rsidRDefault="001A2871" w:rsidP="00853209">
            <w:pPr>
              <w:autoSpaceDE w:val="0"/>
              <w:autoSpaceDN w:val="0"/>
              <w:adjustRightInd w:val="0"/>
              <w:rPr>
                <w:rFonts w:cs="Arial"/>
                <w:sz w:val="16"/>
                <w:szCs w:val="16"/>
                <w:lang w:val="es-ES_tradnl"/>
              </w:rPr>
            </w:pPr>
            <w:r w:rsidRPr="00A34388">
              <w:rPr>
                <w:sz w:val="16"/>
                <w:lang w:val="es-ES_tradnl"/>
              </w:rPr>
              <w:t>nacionales y cinco ONG</w:t>
            </w:r>
          </w:p>
        </w:tc>
        <w:tc>
          <w:tcPr>
            <w:tcW w:w="1646" w:type="pct"/>
            <w:shd w:val="clear" w:color="auto" w:fill="FFFFFF"/>
            <w:tcMar>
              <w:top w:w="110" w:type="dxa"/>
            </w:tcMar>
          </w:tcPr>
          <w:p w:rsidR="001A2871" w:rsidRPr="00A34388" w:rsidRDefault="001A2871" w:rsidP="00CF5F1F">
            <w:pPr>
              <w:rPr>
                <w:rFonts w:cs="Arial"/>
                <w:sz w:val="16"/>
                <w:szCs w:val="16"/>
                <w:lang w:val="es-ES_tradnl"/>
              </w:rPr>
            </w:pPr>
            <w:r w:rsidRPr="00A34388">
              <w:rPr>
                <w:sz w:val="16"/>
                <w:lang w:val="es-ES_tradnl"/>
              </w:rPr>
              <w:t xml:space="preserve">Se organizaron 19 talleres y reuniones en los que participaron 38 autoridades </w:t>
            </w:r>
            <w:r w:rsidR="00CF5F1F" w:rsidRPr="00A34388">
              <w:rPr>
                <w:sz w:val="16"/>
                <w:lang w:val="es-ES_tradnl"/>
              </w:rPr>
              <w:t xml:space="preserve">encargadas de cuestiones de </w:t>
            </w:r>
            <w:r w:rsidRPr="00A34388">
              <w:rPr>
                <w:sz w:val="16"/>
                <w:lang w:val="es-ES_tradnl"/>
              </w:rPr>
              <w:t>competencia y cinco OIG.  Establecimiento de coordinación informal con UNCTAD, la OMT y la OCDE.  Participación activa en la Red Internacional de Competencia.  Cooperación con el Mercado Común para el África Oriental y Meridional (COMESA).</w:t>
            </w:r>
          </w:p>
        </w:tc>
        <w:tc>
          <w:tcPr>
            <w:tcW w:w="682" w:type="pct"/>
            <w:shd w:val="clear" w:color="auto" w:fill="auto"/>
            <w:tcMar>
              <w:top w:w="110" w:type="dxa"/>
            </w:tcMar>
          </w:tcPr>
          <w:p w:rsidR="001A2871" w:rsidRPr="00332758" w:rsidRDefault="001A2871" w:rsidP="00853209">
            <w:pPr>
              <w:keepNext/>
              <w:keepLines/>
              <w:jc w:val="center"/>
              <w:rPr>
                <w:rFonts w:cs="Arial"/>
                <w:bCs/>
                <w:sz w:val="16"/>
                <w:szCs w:val="16"/>
                <w:lang w:val="es-ES_tradnl"/>
              </w:rPr>
            </w:pPr>
            <w:r w:rsidRPr="00A34388">
              <w:rPr>
                <w:color w:val="008000"/>
                <w:sz w:val="16"/>
                <w:lang w:val="es-ES_tradnl"/>
              </w:rPr>
              <w:t>Plenamente</w:t>
            </w:r>
            <w:r w:rsidRPr="00A34388">
              <w:rPr>
                <w:rFonts w:cs="Arial"/>
                <w:bCs/>
                <w:color w:val="008000"/>
                <w:sz w:val="16"/>
                <w:szCs w:val="16"/>
                <w:lang w:val="es-ES_tradnl"/>
              </w:rPr>
              <w:br/>
            </w:r>
            <w:r w:rsidRPr="00A34388">
              <w:rPr>
                <w:color w:val="008000"/>
                <w:sz w:val="16"/>
                <w:lang w:val="es-ES_tradnl"/>
              </w:rPr>
              <w:t>logrado</w:t>
            </w:r>
          </w:p>
        </w:tc>
      </w:tr>
    </w:tbl>
    <w:p w:rsidR="001A2871" w:rsidRPr="00A34388" w:rsidRDefault="001A2871" w:rsidP="001A2871">
      <w:pPr>
        <w:rPr>
          <w:rFonts w:cs="Arial"/>
          <w:sz w:val="18"/>
          <w:szCs w:val="18"/>
          <w:lang w:val="es-ES_tradnl"/>
        </w:rPr>
      </w:pPr>
      <w:r w:rsidRPr="00A34388">
        <w:rPr>
          <w:lang w:val="es-ES_tradnl"/>
        </w:rPr>
        <w:br w:type="page"/>
      </w:r>
    </w:p>
    <w:p w:rsidR="001A2871" w:rsidRPr="00A34388" w:rsidRDefault="001A2871" w:rsidP="001A2871">
      <w:pPr>
        <w:keepNext/>
        <w:keepLines/>
        <w:rPr>
          <w:rFonts w:cs="Arial"/>
          <w:sz w:val="22"/>
          <w:szCs w:val="22"/>
          <w:lang w:val="es-ES_tradnl"/>
        </w:rPr>
      </w:pPr>
      <w:r w:rsidRPr="00332758">
        <w:rPr>
          <w:sz w:val="22"/>
          <w:lang w:val="es-ES_tradnl"/>
        </w:rPr>
        <w:lastRenderedPageBreak/>
        <w:t>PRESUPUESTO Y GASTOS REALES</w:t>
      </w:r>
    </w:p>
    <w:p w:rsidR="001A2871" w:rsidRPr="00A34388" w:rsidRDefault="001A2871" w:rsidP="001A2871">
      <w:pPr>
        <w:keepNext/>
        <w:keepLines/>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keepNext/>
        <w:keepLines/>
        <w:rPr>
          <w:rFonts w:cs="Arial"/>
          <w:sz w:val="22"/>
          <w:szCs w:val="22"/>
          <w:lang w:val="es-ES_tradnl"/>
        </w:rPr>
      </w:pPr>
    </w:p>
    <w:tbl>
      <w:tblPr>
        <w:tblW w:w="0" w:type="auto"/>
        <w:tblInd w:w="108" w:type="dxa"/>
        <w:shd w:val="clear" w:color="auto" w:fill="FFFFFF" w:themeFill="background1"/>
        <w:tblLayout w:type="fixed"/>
        <w:tblLook w:val="04A0" w:firstRow="1" w:lastRow="0" w:firstColumn="1" w:lastColumn="0" w:noHBand="0" w:noVBand="1"/>
      </w:tblPr>
      <w:tblGrid>
        <w:gridCol w:w="581"/>
        <w:gridCol w:w="4806"/>
        <w:gridCol w:w="1323"/>
        <w:gridCol w:w="1323"/>
        <w:gridCol w:w="1323"/>
      </w:tblGrid>
      <w:tr w:rsidR="001A2871" w:rsidRPr="00A34388" w:rsidTr="00853209">
        <w:tc>
          <w:tcPr>
            <w:tcW w:w="538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Número del resultado previsto y descripción</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Presupuesto aprobado 2012/13</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A34388">
              <w:rPr>
                <w:color w:val="000000"/>
                <w:sz w:val="16"/>
                <w:lang w:val="es-ES_tradnl"/>
              </w:rPr>
              <w:t xml:space="preserve">Gastos </w:t>
            </w:r>
            <w:r w:rsidRPr="00A34388">
              <w:rPr>
                <w:rFonts w:cs="Arial"/>
                <w:bCs/>
                <w:color w:val="000000"/>
                <w:sz w:val="16"/>
                <w:szCs w:val="16"/>
                <w:lang w:val="es-ES_tradnl"/>
              </w:rPr>
              <w:br/>
            </w:r>
            <w:r w:rsidR="00263BBF">
              <w:rPr>
                <w:color w:val="000000"/>
                <w:sz w:val="16"/>
                <w:lang w:val="es-ES_tradnl"/>
              </w:rPr>
              <w:t>en 2012/13</w:t>
            </w:r>
          </w:p>
        </w:tc>
      </w:tr>
      <w:tr w:rsidR="001A2871" w:rsidRPr="00A34388" w:rsidTr="00853209">
        <w:tc>
          <w:tcPr>
            <w:tcW w:w="581" w:type="dxa"/>
            <w:tcBorders>
              <w:top w:val="nil"/>
              <w:left w:val="single" w:sz="4" w:space="0" w:color="auto"/>
              <w:bottom w:val="nil"/>
              <w:right w:val="nil"/>
            </w:tcBorders>
            <w:shd w:val="clear" w:color="auto" w:fill="FFFFFF" w:themeFill="background1"/>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VII.1</w:t>
            </w:r>
          </w:p>
        </w:tc>
        <w:tc>
          <w:tcPr>
            <w:tcW w:w="4806" w:type="dxa"/>
            <w:tcBorders>
              <w:top w:val="nil"/>
              <w:left w:val="nil"/>
              <w:bottom w:val="nil"/>
              <w:right w:val="nil"/>
            </w:tcBorders>
            <w:shd w:val="clear" w:color="auto" w:fill="FFFFFF" w:themeFill="background1"/>
            <w:hideMark/>
          </w:tcPr>
          <w:p w:rsidR="001A2871" w:rsidRPr="00A34388" w:rsidRDefault="001A2871" w:rsidP="00853209">
            <w:pPr>
              <w:spacing w:before="80"/>
              <w:rPr>
                <w:rFonts w:cs="Arial"/>
                <w:color w:val="808080"/>
                <w:sz w:val="16"/>
                <w:szCs w:val="16"/>
                <w:lang w:val="es-ES_tradnl"/>
              </w:rPr>
            </w:pPr>
            <w:r w:rsidRPr="00332758">
              <w:rPr>
                <w:sz w:val="16"/>
                <w:lang w:val="es-ES_tradnl"/>
              </w:rPr>
              <w:t>Conocimiento más adecuado entre los encargados de la adopción de políticas de la relación existente entre los desafíos mundiales y la innovación y la P.I. como base para formular políticas de manera más eficaz</w:t>
            </w:r>
            <w:r w:rsidRPr="00332758">
              <w:rPr>
                <w:b/>
                <w:sz w:val="16"/>
                <w:lang w:val="es-ES_tradnl"/>
              </w:rPr>
              <w:t>.</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1.040 </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1.716 </w:t>
            </w:r>
          </w:p>
        </w:tc>
        <w:tc>
          <w:tcPr>
            <w:tcW w:w="1323" w:type="dxa"/>
            <w:tcBorders>
              <w:top w:val="nil"/>
              <w:left w:val="nil"/>
              <w:bottom w:val="nil"/>
              <w:right w:val="single" w:sz="4" w:space="0" w:color="auto"/>
            </w:tcBorders>
            <w:shd w:val="clear" w:color="auto" w:fill="FFFFFF" w:themeFill="background1"/>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1.695 </w:t>
            </w:r>
          </w:p>
        </w:tc>
      </w:tr>
      <w:tr w:rsidR="001A2871" w:rsidRPr="00A34388" w:rsidTr="00853209">
        <w:tc>
          <w:tcPr>
            <w:tcW w:w="581" w:type="dxa"/>
            <w:tcBorders>
              <w:top w:val="nil"/>
              <w:left w:val="single" w:sz="4" w:space="0" w:color="auto"/>
              <w:bottom w:val="nil"/>
              <w:right w:val="nil"/>
            </w:tcBorders>
            <w:shd w:val="clear" w:color="auto" w:fill="FFFFFF" w:themeFill="background1"/>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VII.2</w:t>
            </w:r>
          </w:p>
        </w:tc>
        <w:tc>
          <w:tcPr>
            <w:tcW w:w="4806" w:type="dxa"/>
            <w:tcBorders>
              <w:top w:val="nil"/>
              <w:left w:val="nil"/>
              <w:bottom w:val="nil"/>
              <w:right w:val="nil"/>
            </w:tcBorders>
            <w:shd w:val="clear" w:color="auto" w:fill="FFFFFF" w:themeFill="background1"/>
            <w:hideMark/>
          </w:tcPr>
          <w:p w:rsidR="001A2871" w:rsidRPr="00A34388" w:rsidRDefault="001A2871" w:rsidP="00853209">
            <w:pPr>
              <w:spacing w:before="80"/>
              <w:rPr>
                <w:rFonts w:cs="Arial"/>
                <w:color w:val="808080"/>
                <w:sz w:val="16"/>
                <w:szCs w:val="16"/>
                <w:lang w:val="es-ES_tradnl"/>
              </w:rPr>
            </w:pPr>
            <w:r w:rsidRPr="00332758">
              <w:rPr>
                <w:sz w:val="16"/>
                <w:lang w:val="es-ES_tradnl"/>
              </w:rPr>
              <w:t>La OMPI constituye una fuente fidedigna de apoyo, asistencia y referencia para la información sobre la innovación y la P.I. en los pertinentes procesos de políticas públicas.</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2.149 </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2.528 </w:t>
            </w:r>
          </w:p>
        </w:tc>
        <w:tc>
          <w:tcPr>
            <w:tcW w:w="1323" w:type="dxa"/>
            <w:tcBorders>
              <w:top w:val="nil"/>
              <w:left w:val="nil"/>
              <w:bottom w:val="nil"/>
              <w:right w:val="single" w:sz="4" w:space="0" w:color="auto"/>
            </w:tcBorders>
            <w:shd w:val="clear" w:color="auto" w:fill="FFFFFF" w:themeFill="background1"/>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2.426</w:t>
            </w:r>
          </w:p>
        </w:tc>
      </w:tr>
      <w:tr w:rsidR="001A2871" w:rsidRPr="00A34388" w:rsidTr="00853209">
        <w:tc>
          <w:tcPr>
            <w:tcW w:w="581" w:type="dxa"/>
            <w:tcBorders>
              <w:top w:val="nil"/>
              <w:left w:val="single" w:sz="4" w:space="0" w:color="auto"/>
              <w:bottom w:val="nil"/>
              <w:right w:val="nil"/>
            </w:tcBorders>
            <w:shd w:val="clear" w:color="auto" w:fill="FFFFFF" w:themeFill="background1"/>
            <w:noWrap/>
            <w:hideMark/>
          </w:tcPr>
          <w:p w:rsidR="001A2871" w:rsidRPr="00A34388" w:rsidRDefault="001A2871" w:rsidP="00853209">
            <w:pPr>
              <w:spacing w:before="80"/>
              <w:jc w:val="center"/>
              <w:rPr>
                <w:rFonts w:cs="Arial"/>
                <w:color w:val="808080"/>
                <w:sz w:val="16"/>
                <w:szCs w:val="16"/>
                <w:lang w:val="es-ES_tradnl"/>
              </w:rPr>
            </w:pPr>
            <w:r w:rsidRPr="00332758">
              <w:rPr>
                <w:sz w:val="16"/>
                <w:lang w:val="es-ES_tradnl"/>
              </w:rPr>
              <w:t>VII.3</w:t>
            </w:r>
          </w:p>
        </w:tc>
        <w:tc>
          <w:tcPr>
            <w:tcW w:w="4806" w:type="dxa"/>
            <w:tcBorders>
              <w:top w:val="nil"/>
              <w:left w:val="nil"/>
              <w:bottom w:val="nil"/>
              <w:right w:val="nil"/>
            </w:tcBorders>
            <w:shd w:val="clear" w:color="auto" w:fill="FFFFFF" w:themeFill="background1"/>
            <w:hideMark/>
          </w:tcPr>
          <w:p w:rsidR="001A2871" w:rsidRPr="00A34388" w:rsidRDefault="001A2871" w:rsidP="00853209">
            <w:pPr>
              <w:spacing w:before="80"/>
              <w:rPr>
                <w:rFonts w:cs="Arial"/>
                <w:color w:val="808080"/>
                <w:sz w:val="16"/>
                <w:szCs w:val="16"/>
                <w:lang w:val="es-ES_tradnl"/>
              </w:rPr>
            </w:pPr>
            <w:r w:rsidRPr="00332758">
              <w:rPr>
                <w:sz w:val="16"/>
                <w:lang w:val="es-ES_tradnl"/>
              </w:rPr>
              <w:t>Las herramientas de P.I. se utilizan para la transferencia de tecnología por parte de países desarrollados a países en desarrollo, especialmente los países menos adelantados, para responder a los desafíos mundiales.</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2.198 </w:t>
            </w:r>
          </w:p>
        </w:tc>
        <w:tc>
          <w:tcPr>
            <w:tcW w:w="1323" w:type="dxa"/>
            <w:tcBorders>
              <w:top w:val="nil"/>
              <w:left w:val="nil"/>
              <w:bottom w:val="nil"/>
              <w:right w:val="nil"/>
            </w:tcBorders>
            <w:shd w:val="clear" w:color="auto" w:fill="FFFFFF" w:themeFill="background1"/>
            <w:vAlign w:val="center"/>
            <w:hideMark/>
          </w:tcPr>
          <w:p w:rsidR="001A2871" w:rsidRPr="00A34388" w:rsidRDefault="001A2871" w:rsidP="00853209">
            <w:pPr>
              <w:spacing w:before="80"/>
              <w:jc w:val="right"/>
              <w:rPr>
                <w:rFonts w:cs="Arial"/>
                <w:color w:val="808080"/>
                <w:sz w:val="16"/>
                <w:szCs w:val="16"/>
                <w:lang w:val="es-ES_tradnl"/>
              </w:rPr>
            </w:pPr>
            <w:r w:rsidRPr="00332758">
              <w:rPr>
                <w:sz w:val="16"/>
                <w:lang w:val="es-ES_tradnl"/>
              </w:rPr>
              <w:t xml:space="preserve">1.466 </w:t>
            </w:r>
          </w:p>
        </w:tc>
        <w:tc>
          <w:tcPr>
            <w:tcW w:w="1323" w:type="dxa"/>
            <w:tcBorders>
              <w:top w:val="nil"/>
              <w:left w:val="nil"/>
              <w:bottom w:val="nil"/>
              <w:right w:val="single" w:sz="4" w:space="0" w:color="auto"/>
            </w:tcBorders>
            <w:shd w:val="clear" w:color="auto" w:fill="FFFFFF" w:themeFill="background1"/>
            <w:vAlign w:val="center"/>
            <w:hideMark/>
          </w:tcPr>
          <w:p w:rsidR="001A2871" w:rsidRPr="00332758" w:rsidRDefault="001A2871" w:rsidP="00853209">
            <w:pPr>
              <w:spacing w:before="80"/>
              <w:jc w:val="right"/>
              <w:rPr>
                <w:rFonts w:cs="Arial"/>
                <w:sz w:val="16"/>
                <w:szCs w:val="16"/>
                <w:lang w:val="es-ES_tradnl"/>
              </w:rPr>
            </w:pPr>
            <w:r w:rsidRPr="00332758">
              <w:rPr>
                <w:sz w:val="16"/>
                <w:lang w:val="es-ES_tradnl"/>
              </w:rPr>
              <w:t xml:space="preserve">1.549 </w:t>
            </w:r>
          </w:p>
        </w:tc>
      </w:tr>
      <w:tr w:rsidR="001A2871" w:rsidRPr="00A34388" w:rsidTr="00853209">
        <w:tc>
          <w:tcPr>
            <w:tcW w:w="581" w:type="dxa"/>
            <w:tcBorders>
              <w:top w:val="nil"/>
              <w:left w:val="single" w:sz="4" w:space="0" w:color="auto"/>
              <w:bottom w:val="single" w:sz="4" w:space="0" w:color="auto"/>
              <w:right w:val="nil"/>
            </w:tcBorders>
            <w:shd w:val="clear" w:color="auto" w:fill="FFFFFF" w:themeFill="background1"/>
            <w:noWrap/>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VII.4</w:t>
            </w:r>
          </w:p>
        </w:tc>
        <w:tc>
          <w:tcPr>
            <w:tcW w:w="4806" w:type="dxa"/>
            <w:tcBorders>
              <w:top w:val="nil"/>
              <w:left w:val="nil"/>
              <w:bottom w:val="single" w:sz="4" w:space="0" w:color="auto"/>
              <w:right w:val="nil"/>
            </w:tcBorders>
            <w:shd w:val="clear" w:color="auto" w:fill="FFFFFF" w:themeFill="background1"/>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La OMPI es el foro pertinente para analizar y debatir cuestiones en el ámbito de la P.I. y la política de competencia.</w:t>
            </w:r>
          </w:p>
        </w:tc>
        <w:tc>
          <w:tcPr>
            <w:tcW w:w="1323" w:type="dxa"/>
            <w:tcBorders>
              <w:top w:val="nil"/>
              <w:left w:val="nil"/>
              <w:bottom w:val="single" w:sz="4" w:space="0" w:color="auto"/>
              <w:right w:val="nil"/>
            </w:tcBorders>
            <w:shd w:val="clear" w:color="auto" w:fill="FFFFFF" w:themeFill="background1"/>
            <w:vAlign w:val="center"/>
            <w:hideMark/>
          </w:tcPr>
          <w:p w:rsidR="001A2871" w:rsidRPr="00A34388" w:rsidRDefault="001A2871" w:rsidP="00853209">
            <w:pPr>
              <w:spacing w:before="80" w:after="80"/>
              <w:jc w:val="right"/>
              <w:rPr>
                <w:rFonts w:cs="Arial"/>
                <w:color w:val="808080"/>
                <w:sz w:val="16"/>
                <w:szCs w:val="16"/>
                <w:lang w:val="es-ES_tradnl"/>
              </w:rPr>
            </w:pPr>
            <w:r w:rsidRPr="00332758">
              <w:rPr>
                <w:sz w:val="16"/>
                <w:lang w:val="es-ES_tradnl"/>
              </w:rPr>
              <w:t xml:space="preserve">1.381 </w:t>
            </w:r>
          </w:p>
        </w:tc>
        <w:tc>
          <w:tcPr>
            <w:tcW w:w="1323" w:type="dxa"/>
            <w:tcBorders>
              <w:top w:val="nil"/>
              <w:left w:val="nil"/>
              <w:bottom w:val="single" w:sz="4" w:space="0" w:color="auto"/>
              <w:right w:val="nil"/>
            </w:tcBorders>
            <w:shd w:val="clear" w:color="auto" w:fill="FFFFFF" w:themeFill="background1"/>
            <w:vAlign w:val="center"/>
            <w:hideMark/>
          </w:tcPr>
          <w:p w:rsidR="001A2871" w:rsidRPr="00A34388" w:rsidRDefault="001A2871" w:rsidP="00853209">
            <w:pPr>
              <w:spacing w:before="80" w:after="80"/>
              <w:jc w:val="right"/>
              <w:rPr>
                <w:rFonts w:cs="Arial"/>
                <w:color w:val="808080"/>
                <w:sz w:val="16"/>
                <w:szCs w:val="16"/>
                <w:lang w:val="es-ES_tradnl"/>
              </w:rPr>
            </w:pPr>
            <w:r w:rsidRPr="00332758">
              <w:rPr>
                <w:sz w:val="16"/>
                <w:lang w:val="es-ES_tradnl"/>
              </w:rPr>
              <w:t xml:space="preserve">1.428 </w:t>
            </w:r>
          </w:p>
        </w:tc>
        <w:tc>
          <w:tcPr>
            <w:tcW w:w="1323" w:type="dxa"/>
            <w:tcBorders>
              <w:top w:val="nil"/>
              <w:left w:val="nil"/>
              <w:bottom w:val="single" w:sz="4" w:space="0" w:color="auto"/>
              <w:right w:val="single" w:sz="4" w:space="0" w:color="auto"/>
            </w:tcBorders>
            <w:shd w:val="clear" w:color="auto" w:fill="FFFFFF" w:themeFill="background1"/>
            <w:vAlign w:val="center"/>
            <w:hideMark/>
          </w:tcPr>
          <w:p w:rsidR="001A2871" w:rsidRPr="00332758" w:rsidRDefault="001A2871" w:rsidP="00853209">
            <w:pPr>
              <w:spacing w:before="80" w:after="80"/>
              <w:jc w:val="right"/>
              <w:rPr>
                <w:rFonts w:cs="Arial"/>
                <w:sz w:val="16"/>
                <w:szCs w:val="16"/>
                <w:lang w:val="es-ES_tradnl"/>
              </w:rPr>
            </w:pPr>
            <w:r w:rsidRPr="00332758">
              <w:rPr>
                <w:sz w:val="16"/>
                <w:lang w:val="es-ES_tradnl"/>
              </w:rPr>
              <w:t xml:space="preserve">1.416 </w:t>
            </w:r>
          </w:p>
        </w:tc>
      </w:tr>
      <w:tr w:rsidR="001A2871" w:rsidRPr="00A34388" w:rsidTr="00853209">
        <w:tc>
          <w:tcPr>
            <w:tcW w:w="581" w:type="dxa"/>
            <w:tcBorders>
              <w:top w:val="nil"/>
              <w:left w:val="single" w:sz="4" w:space="0" w:color="auto"/>
              <w:bottom w:val="single" w:sz="4" w:space="0" w:color="auto"/>
              <w:right w:val="nil"/>
            </w:tcBorders>
            <w:shd w:val="clear" w:color="auto" w:fill="FFFFFF" w:themeFill="background1"/>
            <w:noWrap/>
            <w:vAlign w:val="bottom"/>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 </w:t>
            </w:r>
          </w:p>
        </w:tc>
        <w:tc>
          <w:tcPr>
            <w:tcW w:w="4806" w:type="dxa"/>
            <w:tcBorders>
              <w:top w:val="nil"/>
              <w:left w:val="nil"/>
              <w:bottom w:val="single" w:sz="4" w:space="0" w:color="auto"/>
              <w:right w:val="nil"/>
            </w:tcBorders>
            <w:shd w:val="clear" w:color="auto" w:fill="FFFFFF" w:themeFill="background1"/>
            <w:noWrap/>
            <w:vAlign w:val="center"/>
            <w:hideMark/>
          </w:tcPr>
          <w:p w:rsidR="001A2871" w:rsidRPr="00A34388" w:rsidRDefault="001A2871" w:rsidP="00853209">
            <w:pPr>
              <w:spacing w:before="80" w:after="80"/>
              <w:rPr>
                <w:rFonts w:cs="Arial"/>
                <w:b/>
                <w:bCs/>
                <w:color w:val="808080"/>
                <w:sz w:val="16"/>
                <w:szCs w:val="16"/>
                <w:lang w:val="es-ES_tradnl"/>
              </w:rPr>
            </w:pPr>
            <w:r w:rsidRPr="00332758">
              <w:rPr>
                <w:b/>
                <w:sz w:val="16"/>
                <w:lang w:val="es-ES_tradnl"/>
              </w:rPr>
              <w:t>TOTAL</w:t>
            </w:r>
          </w:p>
        </w:tc>
        <w:tc>
          <w:tcPr>
            <w:tcW w:w="1323" w:type="dxa"/>
            <w:tcBorders>
              <w:top w:val="nil"/>
              <w:left w:val="single" w:sz="4" w:space="0" w:color="auto"/>
              <w:bottom w:val="single" w:sz="4" w:space="0" w:color="auto"/>
              <w:right w:val="single" w:sz="4" w:space="0" w:color="auto"/>
            </w:tcBorders>
            <w:shd w:val="clear" w:color="auto" w:fill="FFFFFF" w:themeFill="background1"/>
            <w:vAlign w:val="center"/>
            <w:hideMark/>
          </w:tcPr>
          <w:p w:rsidR="001A2871" w:rsidRPr="00A34388" w:rsidRDefault="001A2871" w:rsidP="00853209">
            <w:pPr>
              <w:spacing w:before="80" w:after="80"/>
              <w:jc w:val="right"/>
              <w:rPr>
                <w:rFonts w:cs="Arial"/>
                <w:b/>
                <w:bCs/>
                <w:color w:val="808080"/>
                <w:sz w:val="16"/>
                <w:szCs w:val="16"/>
                <w:lang w:val="es-ES_tradnl"/>
              </w:rPr>
            </w:pPr>
            <w:r w:rsidRPr="00332758">
              <w:rPr>
                <w:b/>
                <w:sz w:val="16"/>
                <w:lang w:val="es-ES_tradnl"/>
              </w:rPr>
              <w:t>6.768</w:t>
            </w:r>
          </w:p>
        </w:tc>
        <w:tc>
          <w:tcPr>
            <w:tcW w:w="1323" w:type="dxa"/>
            <w:tcBorders>
              <w:top w:val="nil"/>
              <w:left w:val="nil"/>
              <w:bottom w:val="single" w:sz="4" w:space="0" w:color="auto"/>
              <w:right w:val="single" w:sz="4" w:space="0" w:color="auto"/>
            </w:tcBorders>
            <w:shd w:val="clear" w:color="auto" w:fill="FFFFFF" w:themeFill="background1"/>
            <w:noWrap/>
            <w:vAlign w:val="center"/>
            <w:hideMark/>
          </w:tcPr>
          <w:p w:rsidR="001A2871" w:rsidRPr="00A34388" w:rsidRDefault="001A2871" w:rsidP="00853209">
            <w:pPr>
              <w:spacing w:before="80" w:after="80"/>
              <w:jc w:val="right"/>
              <w:rPr>
                <w:rFonts w:cs="Arial"/>
                <w:b/>
                <w:bCs/>
                <w:color w:val="808080"/>
                <w:sz w:val="16"/>
                <w:szCs w:val="16"/>
                <w:lang w:val="es-ES_tradnl"/>
              </w:rPr>
            </w:pPr>
            <w:r w:rsidRPr="00332758">
              <w:rPr>
                <w:b/>
                <w:sz w:val="16"/>
                <w:lang w:val="es-ES_tradnl"/>
              </w:rPr>
              <w:t>7.138</w:t>
            </w:r>
          </w:p>
        </w:tc>
        <w:tc>
          <w:tcPr>
            <w:tcW w:w="1323" w:type="dxa"/>
            <w:tcBorders>
              <w:top w:val="nil"/>
              <w:left w:val="nil"/>
              <w:bottom w:val="single" w:sz="4" w:space="0" w:color="auto"/>
              <w:right w:val="single" w:sz="4" w:space="0" w:color="auto"/>
            </w:tcBorders>
            <w:shd w:val="clear" w:color="auto" w:fill="FFFFFF" w:themeFill="background1"/>
            <w:vAlign w:val="center"/>
            <w:hideMark/>
          </w:tcPr>
          <w:p w:rsidR="001A2871" w:rsidRPr="00332758" w:rsidRDefault="001A2871" w:rsidP="00853209">
            <w:pPr>
              <w:spacing w:before="80" w:after="80"/>
              <w:jc w:val="right"/>
              <w:rPr>
                <w:rFonts w:cs="Arial"/>
                <w:b/>
                <w:bCs/>
                <w:sz w:val="16"/>
                <w:szCs w:val="16"/>
                <w:lang w:val="es-ES_tradnl"/>
              </w:rPr>
            </w:pPr>
            <w:r w:rsidRPr="00332758">
              <w:rPr>
                <w:b/>
                <w:sz w:val="16"/>
                <w:lang w:val="es-ES_tradnl"/>
              </w:rPr>
              <w:t>7.086</w:t>
            </w:r>
          </w:p>
        </w:tc>
      </w:tr>
    </w:tbl>
    <w:p w:rsidR="001A2871" w:rsidRPr="00A34388" w:rsidRDefault="001A2871" w:rsidP="001A2871">
      <w:pPr>
        <w:keepNext/>
        <w:keepLines/>
        <w:rPr>
          <w:rFonts w:cs="Arial"/>
          <w:sz w:val="22"/>
          <w:szCs w:val="22"/>
          <w:lang w:val="es-ES_tradnl"/>
        </w:rPr>
      </w:pPr>
    </w:p>
    <w:p w:rsidR="001A2871" w:rsidRPr="00A34388" w:rsidRDefault="001A2871" w:rsidP="001A2871">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w:t>
      </w:r>
      <w:r w:rsidR="00CB0549">
        <w:rPr>
          <w:color w:val="000000"/>
          <w:sz w:val="20"/>
          <w:lang w:val="es-ES_tradnl"/>
        </w:rPr>
        <w:t>(de personal y no relativos al personal)</w:t>
      </w:r>
      <w:r w:rsidRPr="00A34388">
        <w:rPr>
          <w:color w:val="000000"/>
          <w:sz w:val="20"/>
          <w:lang w:val="es-ES_tradnl"/>
        </w:rPr>
        <w:t xml:space="preserve"> </w:t>
      </w:r>
    </w:p>
    <w:p w:rsidR="001A2871" w:rsidRPr="00332758" w:rsidRDefault="001A2871" w:rsidP="001A2871">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1A2871" w:rsidRPr="00A34388" w:rsidRDefault="001A2871" w:rsidP="001A2871">
      <w:pPr>
        <w:keepNext/>
        <w:keepLines/>
        <w:rPr>
          <w:rFonts w:cs="Arial"/>
          <w:sz w:val="22"/>
          <w:szCs w:val="22"/>
          <w:lang w:val="es-ES_tradnl"/>
        </w:rPr>
      </w:pPr>
    </w:p>
    <w:tbl>
      <w:tblPr>
        <w:tblW w:w="9390" w:type="dxa"/>
        <w:tblInd w:w="93" w:type="dxa"/>
        <w:tblLook w:val="04A0" w:firstRow="1" w:lastRow="0" w:firstColumn="1" w:lastColumn="0" w:noHBand="0" w:noVBand="1"/>
      </w:tblPr>
      <w:tblGrid>
        <w:gridCol w:w="2709"/>
        <w:gridCol w:w="1670"/>
        <w:gridCol w:w="1670"/>
        <w:gridCol w:w="1670"/>
        <w:gridCol w:w="1671"/>
      </w:tblGrid>
      <w:tr w:rsidR="001A2871" w:rsidRPr="00A34388" w:rsidTr="00853209">
        <w:trPr>
          <w:trHeight w:val="415"/>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1A2871" w:rsidRPr="00A34388" w:rsidRDefault="001A2871" w:rsidP="00853209">
            <w:pPr>
              <w:spacing w:before="80" w:after="80"/>
              <w:rPr>
                <w:rFonts w:cs="Arial"/>
                <w:color w:val="000000"/>
                <w:sz w:val="16"/>
                <w:szCs w:val="16"/>
                <w:lang w:val="es-ES_tradnl"/>
              </w:rPr>
            </w:pPr>
            <w:r w:rsidRPr="00A34388">
              <w:rPr>
                <w:color w:val="000000"/>
                <w:sz w:val="16"/>
                <w:lang w:val="es-ES_tradnl"/>
              </w:rPr>
              <w:t> </w:t>
            </w:r>
          </w:p>
        </w:tc>
        <w:tc>
          <w:tcPr>
            <w:tcW w:w="167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808080"/>
                <w:sz w:val="16"/>
                <w:szCs w:val="16"/>
                <w:lang w:val="es-ES_tradnl"/>
              </w:rPr>
            </w:pPr>
            <w:r w:rsidRPr="00332758">
              <w:rPr>
                <w:sz w:val="16"/>
                <w:lang w:val="es-ES_tradnl"/>
              </w:rPr>
              <w:t>Presupuesto aprobado  2012/13</w:t>
            </w:r>
          </w:p>
        </w:tc>
        <w:tc>
          <w:tcPr>
            <w:tcW w:w="167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670"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808080"/>
                <w:sz w:val="16"/>
                <w:szCs w:val="16"/>
                <w:lang w:val="es-ES_tradnl"/>
              </w:rPr>
            </w:pPr>
            <w:r w:rsidRPr="00332758">
              <w:rPr>
                <w:sz w:val="16"/>
                <w:lang w:val="es-ES_tradnl"/>
              </w:rPr>
              <w:t>Gastos en 2012/13</w:t>
            </w:r>
          </w:p>
        </w:tc>
        <w:tc>
          <w:tcPr>
            <w:tcW w:w="1671" w:type="dxa"/>
            <w:tcBorders>
              <w:top w:val="single" w:sz="4" w:space="0" w:color="auto"/>
              <w:left w:val="nil"/>
              <w:bottom w:val="nil"/>
              <w:right w:val="single" w:sz="4" w:space="0" w:color="auto"/>
            </w:tcBorders>
            <w:shd w:val="clear" w:color="000000" w:fill="CCFFFF"/>
            <w:vAlign w:val="center"/>
            <w:hideMark/>
          </w:tcPr>
          <w:p w:rsidR="001A2871" w:rsidRPr="00A34388" w:rsidRDefault="001A2871" w:rsidP="00853209">
            <w:pPr>
              <w:spacing w:before="80" w:after="80"/>
              <w:jc w:val="center"/>
              <w:rPr>
                <w:rFonts w:cs="Arial"/>
                <w:bCs/>
                <w:color w:val="000000"/>
                <w:sz w:val="16"/>
                <w:szCs w:val="16"/>
                <w:lang w:val="es-ES_tradnl"/>
              </w:rPr>
            </w:pPr>
            <w:r w:rsidRPr="00332758">
              <w:rPr>
                <w:sz w:val="16"/>
                <w:lang w:val="es-ES_tradnl"/>
              </w:rPr>
              <w:t>Índice de utilización</w:t>
            </w:r>
          </w:p>
        </w:tc>
      </w:tr>
      <w:tr w:rsidR="001A2871" w:rsidRPr="00A34388" w:rsidTr="00853209">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 xml:space="preserve"> Recursos de personal  </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5.513</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6.013</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6.013</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sz w:val="16"/>
                <w:szCs w:val="16"/>
                <w:lang w:val="es-ES_tradnl"/>
              </w:rPr>
            </w:pPr>
            <w:r w:rsidRPr="00332758">
              <w:rPr>
                <w:sz w:val="16"/>
                <w:lang w:val="es-ES_tradnl"/>
              </w:rPr>
              <w:t>100%</w:t>
            </w:r>
          </w:p>
        </w:tc>
      </w:tr>
      <w:tr w:rsidR="001A2871" w:rsidRPr="00A34388" w:rsidTr="00853209">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rPr>
                <w:rFonts w:cs="Arial"/>
                <w:color w:val="808080"/>
                <w:sz w:val="16"/>
                <w:szCs w:val="16"/>
                <w:lang w:val="es-ES_tradnl"/>
              </w:rPr>
            </w:pPr>
            <w:r w:rsidRPr="00332758">
              <w:rPr>
                <w:sz w:val="16"/>
                <w:lang w:val="es-ES_tradnl"/>
              </w:rPr>
              <w:t xml:space="preserve"> Recursos no relativos al personal </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1.255</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1.125</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color w:val="808080"/>
                <w:sz w:val="16"/>
                <w:szCs w:val="16"/>
                <w:lang w:val="es-ES_tradnl"/>
              </w:rPr>
            </w:pPr>
            <w:r w:rsidRPr="00332758">
              <w:rPr>
                <w:sz w:val="16"/>
                <w:lang w:val="es-ES_tradnl"/>
              </w:rPr>
              <w:t>1.072</w:t>
            </w:r>
          </w:p>
        </w:tc>
        <w:tc>
          <w:tcPr>
            <w:tcW w:w="167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sz w:val="16"/>
                <w:szCs w:val="16"/>
                <w:lang w:val="es-ES_tradnl"/>
              </w:rPr>
            </w:pPr>
            <w:r w:rsidRPr="00332758">
              <w:rPr>
                <w:sz w:val="16"/>
                <w:lang w:val="es-ES_tradnl"/>
              </w:rPr>
              <w:t>95%</w:t>
            </w:r>
          </w:p>
        </w:tc>
      </w:tr>
      <w:tr w:rsidR="001A2871" w:rsidRPr="00A34388" w:rsidTr="00853209">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1A2871" w:rsidRPr="00A34388" w:rsidRDefault="001A2871" w:rsidP="00853209">
            <w:pPr>
              <w:spacing w:before="80" w:after="80"/>
              <w:jc w:val="right"/>
              <w:rPr>
                <w:rFonts w:cs="Arial"/>
                <w:b/>
                <w:bCs/>
                <w:color w:val="808080"/>
                <w:sz w:val="16"/>
                <w:szCs w:val="16"/>
                <w:lang w:val="es-ES_tradnl"/>
              </w:rPr>
            </w:pPr>
            <w:r w:rsidRPr="00332758">
              <w:rPr>
                <w:b/>
                <w:sz w:val="16"/>
                <w:lang w:val="es-ES_tradnl"/>
              </w:rPr>
              <w:t xml:space="preserve"> TOTAL </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6.768</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7.138</w:t>
            </w:r>
          </w:p>
        </w:tc>
        <w:tc>
          <w:tcPr>
            <w:tcW w:w="1670" w:type="dxa"/>
            <w:tcBorders>
              <w:top w:val="nil"/>
              <w:left w:val="nil"/>
              <w:bottom w:val="single" w:sz="4" w:space="0" w:color="auto"/>
              <w:right w:val="single" w:sz="4" w:space="0" w:color="auto"/>
            </w:tcBorders>
            <w:shd w:val="clear" w:color="auto" w:fill="auto"/>
            <w:vAlign w:val="center"/>
            <w:hideMark/>
          </w:tcPr>
          <w:p w:rsidR="001A2871" w:rsidRPr="00A34388" w:rsidRDefault="001A2871" w:rsidP="00853209">
            <w:pPr>
              <w:spacing w:before="80" w:after="80"/>
              <w:jc w:val="center"/>
              <w:rPr>
                <w:rFonts w:cs="Arial"/>
                <w:b/>
                <w:bCs/>
                <w:color w:val="808080"/>
                <w:sz w:val="16"/>
                <w:szCs w:val="16"/>
                <w:lang w:val="es-ES_tradnl"/>
              </w:rPr>
            </w:pPr>
            <w:r w:rsidRPr="00332758">
              <w:rPr>
                <w:b/>
                <w:sz w:val="16"/>
                <w:lang w:val="es-ES_tradnl"/>
              </w:rPr>
              <w:t>7.086</w:t>
            </w:r>
          </w:p>
        </w:tc>
        <w:tc>
          <w:tcPr>
            <w:tcW w:w="1671" w:type="dxa"/>
            <w:tcBorders>
              <w:top w:val="nil"/>
              <w:left w:val="nil"/>
              <w:bottom w:val="single" w:sz="4" w:space="0" w:color="auto"/>
              <w:right w:val="single" w:sz="4" w:space="0" w:color="auto"/>
            </w:tcBorders>
            <w:shd w:val="clear" w:color="auto" w:fill="auto"/>
            <w:vAlign w:val="center"/>
            <w:hideMark/>
          </w:tcPr>
          <w:p w:rsidR="001A2871" w:rsidRPr="00332758" w:rsidRDefault="001A2871" w:rsidP="00853209">
            <w:pPr>
              <w:spacing w:before="80" w:after="80"/>
              <w:jc w:val="center"/>
              <w:rPr>
                <w:rFonts w:cs="Arial"/>
                <w:b/>
                <w:bCs/>
                <w:sz w:val="16"/>
                <w:szCs w:val="16"/>
                <w:lang w:val="es-ES_tradnl"/>
              </w:rPr>
            </w:pPr>
            <w:r w:rsidRPr="00332758">
              <w:rPr>
                <w:b/>
                <w:sz w:val="16"/>
                <w:lang w:val="es-ES_tradnl"/>
              </w:rPr>
              <w:t>99%</w:t>
            </w:r>
          </w:p>
        </w:tc>
      </w:tr>
    </w:tbl>
    <w:p w:rsidR="001A2871" w:rsidRPr="00A34388" w:rsidRDefault="001A2871" w:rsidP="001A2871">
      <w:pPr>
        <w:rPr>
          <w:rFonts w:cs="Arial"/>
          <w:sz w:val="16"/>
          <w:szCs w:val="16"/>
          <w:lang w:val="es-ES_tradnl"/>
        </w:rPr>
      </w:pPr>
    </w:p>
    <w:p w:rsidR="001A2871" w:rsidRPr="00A34388" w:rsidRDefault="001A2871" w:rsidP="001A2871">
      <w:pPr>
        <w:autoSpaceDE w:val="0"/>
        <w:autoSpaceDN w:val="0"/>
        <w:rPr>
          <w:rFonts w:cs="Arial"/>
          <w:sz w:val="16"/>
          <w:szCs w:val="16"/>
          <w:lang w:val="es-ES_tradnl"/>
        </w:rPr>
      </w:pPr>
      <w:r w:rsidRPr="00332758">
        <w:rPr>
          <w:sz w:val="16"/>
          <w:lang w:val="es-ES_tradnl"/>
        </w:rPr>
        <w:t>NOTAS:</w:t>
      </w:r>
    </w:p>
    <w:p w:rsidR="001A2871" w:rsidRPr="00A34388" w:rsidRDefault="001A2871" w:rsidP="001A2871">
      <w:pPr>
        <w:autoSpaceDE w:val="0"/>
        <w:autoSpaceDN w:val="0"/>
        <w:rPr>
          <w:rFonts w:cs="Arial"/>
          <w:sz w:val="16"/>
          <w:szCs w:val="16"/>
          <w:lang w:val="es-ES_tradnl"/>
        </w:rPr>
      </w:pPr>
    </w:p>
    <w:p w:rsidR="001A2871" w:rsidRPr="00A34388" w:rsidRDefault="001A2871" w:rsidP="001A2871">
      <w:pPr>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1A2871" w:rsidRPr="00A34388" w:rsidRDefault="001A2871" w:rsidP="001A2871">
      <w:pPr>
        <w:autoSpaceDE w:val="0"/>
        <w:autoSpaceDN w:val="0"/>
        <w:rPr>
          <w:rFonts w:cs="Arial"/>
          <w:sz w:val="16"/>
          <w:szCs w:val="16"/>
          <w:lang w:val="es-ES_tradnl"/>
        </w:rPr>
      </w:pPr>
    </w:p>
    <w:p w:rsidR="001A2871" w:rsidRPr="00A34388" w:rsidRDefault="001A2871" w:rsidP="004C0FD5">
      <w:pPr>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durante el bienio.  </w:t>
      </w:r>
    </w:p>
    <w:p w:rsidR="001A2871" w:rsidRPr="00A34388" w:rsidRDefault="001A2871" w:rsidP="001A2871">
      <w:pPr>
        <w:rPr>
          <w:rFonts w:cs="Arial"/>
          <w:sz w:val="22"/>
          <w:szCs w:val="22"/>
          <w:lang w:val="es-ES_tradnl"/>
        </w:rPr>
      </w:pPr>
    </w:p>
    <w:p w:rsidR="001A2871" w:rsidRPr="00332758" w:rsidRDefault="001A2871" w:rsidP="001A2871">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1A2871" w:rsidRPr="00A34388" w:rsidRDefault="001A2871" w:rsidP="001A2871">
      <w:pPr>
        <w:rPr>
          <w:rFonts w:cs="Arial"/>
          <w:szCs w:val="20"/>
          <w:lang w:val="es-ES_tradnl"/>
        </w:rPr>
      </w:pPr>
    </w:p>
    <w:p w:rsidR="001A2871" w:rsidRPr="00A34388" w:rsidRDefault="001A2871" w:rsidP="001A2871">
      <w:pPr>
        <w:tabs>
          <w:tab w:val="left" w:pos="709"/>
        </w:tabs>
        <w:autoSpaceDE w:val="0"/>
        <w:autoSpaceDN w:val="0"/>
        <w:jc w:val="both"/>
        <w:rPr>
          <w:rFonts w:cs="Arial"/>
          <w:szCs w:val="20"/>
          <w:lang w:val="es-ES_tradnl"/>
        </w:rPr>
      </w:pPr>
      <w:r w:rsidRPr="00332758">
        <w:rPr>
          <w:lang w:val="es-ES_tradnl"/>
        </w:rPr>
        <w:t>18.8.</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1A2871" w:rsidRPr="00A34388" w:rsidRDefault="001A2871" w:rsidP="001A2871">
      <w:pPr>
        <w:jc w:val="both"/>
        <w:rPr>
          <w:rFonts w:cs="Arial"/>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18.9.</w:t>
      </w:r>
      <w:r w:rsidRPr="00A34388">
        <w:rPr>
          <w:lang w:val="es-ES_tradnl"/>
        </w:rPr>
        <w:tab/>
        <w:t xml:space="preserve">El incremento de los recursos de personal se debe a la incorporación de recursos adicionales para apoyar el trabajo de las plataformas y aplicaciones de TI de la OMPI en el Sector de Cuestiones Mundiales. </w:t>
      </w:r>
    </w:p>
    <w:p w:rsidR="001A2871" w:rsidRPr="00A34388" w:rsidRDefault="001A2871" w:rsidP="001A2871">
      <w:pPr>
        <w:jc w:val="both"/>
        <w:rPr>
          <w:rFonts w:cs="Arial"/>
          <w:szCs w:val="20"/>
          <w:lang w:val="es-ES_tradnl"/>
        </w:rPr>
      </w:pPr>
    </w:p>
    <w:p w:rsidR="001A2871" w:rsidRPr="00A34388" w:rsidRDefault="001A2871" w:rsidP="001A2871">
      <w:pPr>
        <w:tabs>
          <w:tab w:val="left" w:pos="709"/>
        </w:tabs>
        <w:jc w:val="both"/>
        <w:rPr>
          <w:rFonts w:cs="Arial"/>
          <w:szCs w:val="20"/>
          <w:lang w:val="es-ES_tradnl"/>
        </w:rPr>
      </w:pPr>
      <w:r w:rsidRPr="00A34388">
        <w:rPr>
          <w:lang w:val="es-ES_tradnl"/>
        </w:rPr>
        <w:t>18.10.</w:t>
      </w:r>
      <w:r w:rsidRPr="00A34388">
        <w:rPr>
          <w:lang w:val="es-ES_tradnl"/>
        </w:rPr>
        <w:tab/>
        <w:t xml:space="preserve">El </w:t>
      </w:r>
      <w:r w:rsidR="006A4B98" w:rsidRPr="00A34388">
        <w:rPr>
          <w:lang w:val="es-ES_tradnl"/>
        </w:rPr>
        <w:t xml:space="preserve">traspaso </w:t>
      </w:r>
      <w:r w:rsidRPr="00A34388">
        <w:rPr>
          <w:lang w:val="es-ES_tradnl"/>
        </w:rPr>
        <w:t>de recursos a los resultados VII.1 (Conocimiento más adecuado de la relación existente entre los desafíos mundiales y la innovación y la P.I.) y VII.2 (La OMPI constituye una fuente fidedigna de información sobre la innovación y la P.I.) desde el resultado VII.3 (</w:t>
      </w:r>
      <w:r w:rsidR="00CF5F1F" w:rsidRPr="00A34388">
        <w:rPr>
          <w:lang w:val="es-ES_tradnl"/>
        </w:rPr>
        <w:t xml:space="preserve">Uso de las </w:t>
      </w:r>
      <w:r w:rsidRPr="00A34388">
        <w:rPr>
          <w:lang w:val="es-ES_tradnl"/>
        </w:rPr>
        <w:t xml:space="preserve">herramientas de P.I. para la transferencia de tecnología) </w:t>
      </w:r>
      <w:r w:rsidR="00CF5F1F" w:rsidRPr="00A34388">
        <w:rPr>
          <w:lang w:val="es-ES_tradnl"/>
        </w:rPr>
        <w:t xml:space="preserve">obedeció </w:t>
      </w:r>
      <w:r w:rsidRPr="00A34388">
        <w:rPr>
          <w:lang w:val="es-ES_tradnl"/>
        </w:rPr>
        <w:t xml:space="preserve">fundamentalmente a:  a) el aumento de los recursos asignados a los dos primeros resultados para responder a las continuas solicitudes de contribución y participación en procesos de políticas públicas, seminarios, talleres y conferencias;  y b) la </w:t>
      </w:r>
      <w:r w:rsidR="001C3E3B" w:rsidRPr="00A34388">
        <w:rPr>
          <w:lang w:val="es-ES_tradnl"/>
        </w:rPr>
        <w:t xml:space="preserve">reducción </w:t>
      </w:r>
      <w:r w:rsidRPr="00A34388">
        <w:rPr>
          <w:lang w:val="es-ES_tradnl"/>
        </w:rPr>
        <w:t xml:space="preserve">de </w:t>
      </w:r>
      <w:r w:rsidRPr="00A34388">
        <w:rPr>
          <w:lang w:val="es-ES_tradnl"/>
        </w:rPr>
        <w:lastRenderedPageBreak/>
        <w:t xml:space="preserve">los recursos necesarios para el desarrollo y la implantación de la plataforma de P.I. como consecuencia de algunas demoras sufridas respecto de los planes originales, </w:t>
      </w:r>
      <w:r w:rsidR="00CF5F1F" w:rsidRPr="00A34388">
        <w:rPr>
          <w:lang w:val="es-ES_tradnl"/>
        </w:rPr>
        <w:t xml:space="preserve">según se </w:t>
      </w:r>
      <w:r w:rsidRPr="00A34388">
        <w:rPr>
          <w:lang w:val="es-ES_tradnl"/>
        </w:rPr>
        <w:t xml:space="preserve">refleja en este último resultado.   </w:t>
      </w:r>
    </w:p>
    <w:p w:rsidR="001A2871" w:rsidRPr="00A34388" w:rsidRDefault="001A2871" w:rsidP="001A2871">
      <w:pPr>
        <w:tabs>
          <w:tab w:val="left" w:pos="709"/>
        </w:tabs>
        <w:rPr>
          <w:rFonts w:cs="Arial"/>
          <w:szCs w:val="20"/>
          <w:lang w:val="es-ES_tradnl"/>
        </w:rPr>
      </w:pPr>
    </w:p>
    <w:p w:rsidR="001A2871" w:rsidRPr="00A34388" w:rsidRDefault="001A2871" w:rsidP="001A2871">
      <w:pPr>
        <w:tabs>
          <w:tab w:val="left" w:pos="709"/>
        </w:tabs>
        <w:rPr>
          <w:rFonts w:cs="Arial"/>
          <w:szCs w:val="20"/>
          <w:u w:val="single"/>
          <w:lang w:val="es-ES_tradnl"/>
        </w:rPr>
      </w:pPr>
      <w:r w:rsidRPr="00A34388">
        <w:rPr>
          <w:lang w:val="es-ES_tradnl"/>
        </w:rPr>
        <w:t>B.</w:t>
      </w:r>
      <w:r w:rsidRPr="00A34388">
        <w:rPr>
          <w:lang w:val="es-ES_tradnl"/>
        </w:rPr>
        <w:tab/>
      </w:r>
      <w:r w:rsidRPr="00A34388">
        <w:rPr>
          <w:u w:val="single"/>
          <w:lang w:val="es-ES_tradnl"/>
        </w:rPr>
        <w:t xml:space="preserve">Utilización del presupuesto </w:t>
      </w:r>
      <w:r w:rsidR="001C3E3B" w:rsidRPr="00A34388">
        <w:rPr>
          <w:u w:val="single"/>
          <w:lang w:val="es-ES_tradnl"/>
        </w:rPr>
        <w:t>en 2012</w:t>
      </w:r>
      <w:r w:rsidRPr="00A34388">
        <w:rPr>
          <w:u w:val="single"/>
          <w:lang w:val="es-ES_tradnl"/>
        </w:rPr>
        <w:t>/13</w:t>
      </w:r>
    </w:p>
    <w:p w:rsidR="001A2871" w:rsidRPr="00A34388" w:rsidRDefault="001A2871" w:rsidP="001A2871">
      <w:pPr>
        <w:tabs>
          <w:tab w:val="left" w:pos="709"/>
        </w:tabs>
        <w:rPr>
          <w:rFonts w:cs="Arial"/>
          <w:szCs w:val="20"/>
          <w:u w:val="single"/>
          <w:lang w:val="es-ES_tradnl"/>
        </w:rPr>
      </w:pPr>
    </w:p>
    <w:p w:rsidR="001A2871" w:rsidRPr="00A34388" w:rsidRDefault="001A2871" w:rsidP="001A2871">
      <w:pPr>
        <w:tabs>
          <w:tab w:val="left" w:pos="709"/>
        </w:tabs>
        <w:rPr>
          <w:rFonts w:cs="Arial"/>
          <w:szCs w:val="20"/>
          <w:lang w:val="es-ES_tradnl"/>
        </w:rPr>
      </w:pPr>
      <w:r w:rsidRPr="00A34388">
        <w:rPr>
          <w:lang w:val="es-ES_tradnl"/>
        </w:rPr>
        <w:t>18.11.</w:t>
      </w:r>
      <w:r w:rsidRPr="00A34388">
        <w:rPr>
          <w:lang w:val="es-ES_tradnl"/>
        </w:rPr>
        <w:tab/>
        <w:t>La ligera infrautilización de los recursos no relativos al personal refleja ahorro</w:t>
      </w:r>
      <w:r w:rsidR="001C3E3B" w:rsidRPr="00A34388">
        <w:rPr>
          <w:lang w:val="es-ES_tradnl"/>
        </w:rPr>
        <w:t>s</w:t>
      </w:r>
      <w:r w:rsidRPr="00A34388">
        <w:rPr>
          <w:lang w:val="es-ES_tradnl"/>
        </w:rPr>
        <w:t xml:space="preserve"> de costos, en particular </w:t>
      </w:r>
      <w:r w:rsidR="001C3E3B" w:rsidRPr="00A34388">
        <w:rPr>
          <w:lang w:val="es-ES_tradnl"/>
        </w:rPr>
        <w:t xml:space="preserve">en relación con </w:t>
      </w:r>
      <w:r w:rsidRPr="00A34388">
        <w:rPr>
          <w:lang w:val="es-ES_tradnl"/>
        </w:rPr>
        <w:t xml:space="preserve">viajes y la organización de reuniones. </w:t>
      </w:r>
    </w:p>
    <w:p w:rsidR="001A2871" w:rsidRPr="00A34388" w:rsidRDefault="001A2871" w:rsidP="001A2871">
      <w:pPr>
        <w:tabs>
          <w:tab w:val="left" w:pos="709"/>
        </w:tabs>
        <w:rPr>
          <w:rFonts w:cs="Arial"/>
          <w:szCs w:val="20"/>
          <w:lang w:val="es-ES_tradnl"/>
        </w:rPr>
      </w:pPr>
      <w:r w:rsidRPr="00A34388">
        <w:rPr>
          <w:lang w:val="es-ES_tradnl"/>
        </w:rPr>
        <w:br w:type="page"/>
      </w:r>
    </w:p>
    <w:p w:rsidR="00F90BD6" w:rsidRPr="00165C23" w:rsidRDefault="00F90BD6" w:rsidP="00F90BD6">
      <w:pPr>
        <w:pStyle w:val="Heading2"/>
        <w:rPr>
          <w:lang w:val="es-ES"/>
        </w:rPr>
      </w:pPr>
      <w:bookmarkStart w:id="74" w:name="_Toc392852659"/>
      <w:bookmarkStart w:id="75" w:name="_Toc395279678"/>
      <w:bookmarkStart w:id="76" w:name="_Toc358366940"/>
      <w:r w:rsidRPr="00332758">
        <w:rPr>
          <w:lang w:val="es-ES_tradnl"/>
        </w:rPr>
        <w:lastRenderedPageBreak/>
        <w:t>META ESTRATÉGICA VIII</w:t>
      </w:r>
      <w:r w:rsidRPr="00332758">
        <w:rPr>
          <w:lang w:val="es-ES_tradnl"/>
        </w:rPr>
        <w:br/>
      </w:r>
      <w:r w:rsidRPr="00332758">
        <w:rPr>
          <w:lang w:val="es-ES_tradnl"/>
        </w:rPr>
        <w:br/>
      </w:r>
      <w:r w:rsidRPr="00165C23">
        <w:rPr>
          <w:lang w:val="es-ES"/>
        </w:rPr>
        <w:t>Comunicación efi</w:t>
      </w:r>
      <w:r>
        <w:rPr>
          <w:lang w:val="es-ES"/>
        </w:rPr>
        <w:t>caz entre la OMPI, sus Estados m</w:t>
      </w:r>
      <w:r w:rsidRPr="00165C23">
        <w:rPr>
          <w:lang w:val="es-ES"/>
        </w:rPr>
        <w:t>iembros y todas las partes interesadas</w:t>
      </w:r>
      <w:bookmarkEnd w:id="74"/>
      <w:bookmarkEnd w:id="75"/>
    </w:p>
    <w:p w:rsidR="00C4782F" w:rsidRPr="00F90BD6" w:rsidRDefault="00C4782F" w:rsidP="00C4782F">
      <w:pPr>
        <w:jc w:val="center"/>
        <w:rPr>
          <w:sz w:val="16"/>
          <w:szCs w:val="16"/>
          <w:lang w:val="es-ES"/>
        </w:rPr>
      </w:pPr>
    </w:p>
    <w:p w:rsidR="00C4782F" w:rsidRPr="00A34388" w:rsidRDefault="00C4782F" w:rsidP="00C4782F">
      <w:pPr>
        <w:jc w:val="center"/>
        <w:rPr>
          <w:sz w:val="16"/>
          <w:szCs w:val="16"/>
          <w:lang w:val="es-ES_tradnl"/>
        </w:rPr>
      </w:pPr>
    </w:p>
    <w:p w:rsidR="00C4782F" w:rsidRPr="00A34388" w:rsidRDefault="00C4782F" w:rsidP="00C4782F">
      <w:pPr>
        <w:jc w:val="center"/>
        <w:rPr>
          <w:sz w:val="16"/>
          <w:szCs w:val="16"/>
          <w:lang w:val="es-ES_tradnl"/>
        </w:rPr>
      </w:pPr>
    </w:p>
    <w:p w:rsidR="00C4782F" w:rsidRPr="00A34388" w:rsidRDefault="00C4782F" w:rsidP="00C4782F">
      <w:pPr>
        <w:jc w:val="center"/>
        <w:rPr>
          <w:szCs w:val="20"/>
          <w:lang w:val="es-ES_tradnl"/>
        </w:rPr>
      </w:pPr>
      <w:r w:rsidRPr="00332758">
        <w:rPr>
          <w:szCs w:val="20"/>
          <w:lang w:val="es-ES_tradnl"/>
        </w:rPr>
        <w:t>CUADRO SOBRE EL RENDIMIENTO BIENAL</w:t>
      </w:r>
    </w:p>
    <w:p w:rsidR="00C4782F" w:rsidRPr="00A34388" w:rsidRDefault="00C4782F" w:rsidP="00C4782F">
      <w:pPr>
        <w:jc w:val="center"/>
        <w:rPr>
          <w:sz w:val="16"/>
          <w:szCs w:val="16"/>
          <w:lang w:val="es-ES_tradnl"/>
        </w:rPr>
      </w:pPr>
    </w:p>
    <w:p w:rsidR="00C4782F" w:rsidRPr="00A34388" w:rsidRDefault="00C4782F" w:rsidP="00C4782F">
      <w:pPr>
        <w:autoSpaceDE w:val="0"/>
        <w:autoSpaceDN w:val="0"/>
        <w:adjustRightInd w:val="0"/>
        <w:jc w:val="both"/>
        <w:rPr>
          <w:rFonts w:cs="Arial"/>
          <w:lang w:val="es-ES_tradnl"/>
        </w:rPr>
      </w:pPr>
      <w:r w:rsidRPr="00A34388">
        <w:rPr>
          <w:rFonts w:cs="Arial"/>
          <w:lang w:val="es-ES_tradnl"/>
        </w:rPr>
        <w:t>En el siguiente cuadro se incluye una reseña general de la consecución de los resultados previstos en el bienio 2012/13 medidos por los indicadores relativos a los programas que contribuyen a esta meta estratégica.</w:t>
      </w:r>
    </w:p>
    <w:p w:rsidR="00C4782F" w:rsidRDefault="00C4782F" w:rsidP="00C4782F">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0E91C9C9" wp14:editId="09F6E715">
            <wp:extent cx="4133088" cy="2140068"/>
            <wp:effectExtent l="0" t="0" r="127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31878" cy="2139442"/>
                    </a:xfrm>
                    <a:prstGeom prst="rect">
                      <a:avLst/>
                    </a:prstGeom>
                    <a:noFill/>
                  </pic:spPr>
                </pic:pic>
              </a:graphicData>
            </a:graphic>
          </wp:inline>
        </w:drawing>
      </w:r>
    </w:p>
    <w:p w:rsidR="00672C0F" w:rsidRPr="00A34388" w:rsidRDefault="00672C0F" w:rsidP="00C4782F">
      <w:pPr>
        <w:autoSpaceDE w:val="0"/>
        <w:autoSpaceDN w:val="0"/>
        <w:adjustRightInd w:val="0"/>
        <w:jc w:val="both"/>
        <w:rPr>
          <w:rFonts w:cs="Arial"/>
          <w:lang w:val="es-ES_tradnl"/>
        </w:rPr>
      </w:pPr>
    </w:p>
    <w:p w:rsidR="00C4782F" w:rsidRPr="00A34388" w:rsidRDefault="00C4782F" w:rsidP="00C4782F">
      <w:pPr>
        <w:tabs>
          <w:tab w:val="left" w:pos="1701"/>
        </w:tabs>
        <w:ind w:left="1701" w:hanging="1701"/>
        <w:jc w:val="center"/>
        <w:rPr>
          <w:rFonts w:cs="Arial"/>
          <w:b/>
          <w:bCs/>
          <w:caps/>
          <w:sz w:val="16"/>
          <w:szCs w:val="16"/>
          <w:lang w:val="es-ES_tradnl"/>
        </w:rPr>
      </w:pPr>
    </w:p>
    <w:p w:rsidR="00710F93" w:rsidRPr="00A34388" w:rsidRDefault="00710F93" w:rsidP="00710F93">
      <w:pPr>
        <w:tabs>
          <w:tab w:val="left" w:pos="0"/>
        </w:tabs>
        <w:rPr>
          <w:rFonts w:cs="Arial"/>
          <w:i/>
          <w:sz w:val="22"/>
          <w:szCs w:val="22"/>
          <w:lang w:val="es-ES_tradnl"/>
        </w:rPr>
      </w:pPr>
    </w:p>
    <w:tbl>
      <w:tblPr>
        <w:tblW w:w="9189" w:type="dxa"/>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059"/>
      </w:tblGrid>
      <w:tr w:rsidR="00800175" w:rsidRPr="00A34388" w:rsidTr="00800175">
        <w:tc>
          <w:tcPr>
            <w:tcW w:w="2704" w:type="dxa"/>
            <w:tcBorders>
              <w:top w:val="single" w:sz="4" w:space="0" w:color="auto"/>
              <w:bottom w:val="single" w:sz="4" w:space="0" w:color="auto"/>
            </w:tcBorders>
            <w:shd w:val="clear" w:color="auto" w:fill="CCFFFF"/>
            <w:vAlign w:val="center"/>
          </w:tcPr>
          <w:p w:rsidR="00800175" w:rsidRPr="00A34388" w:rsidRDefault="00800175" w:rsidP="002A7E3D">
            <w:pPr>
              <w:spacing w:before="120" w:after="120"/>
              <w:jc w:val="center"/>
              <w:rPr>
                <w:rFonts w:cs="Arial"/>
                <w:b/>
                <w:bCs/>
                <w:color w:val="808080"/>
                <w:sz w:val="14"/>
                <w:szCs w:val="14"/>
                <w:lang w:val="es-ES_tradnl"/>
              </w:rPr>
            </w:pPr>
            <w:r w:rsidRPr="00332758">
              <w:rPr>
                <w:rFonts w:cs="Arial"/>
                <w:b/>
                <w:bCs/>
                <w:sz w:val="14"/>
                <w:szCs w:val="14"/>
                <w:lang w:val="es-ES_tradnl"/>
              </w:rPr>
              <w:t>Resultados previstos</w:t>
            </w:r>
          </w:p>
        </w:tc>
        <w:tc>
          <w:tcPr>
            <w:tcW w:w="4173" w:type="dxa"/>
            <w:tcBorders>
              <w:top w:val="single" w:sz="4" w:space="0" w:color="auto"/>
              <w:bottom w:val="single" w:sz="4" w:space="0" w:color="auto"/>
            </w:tcBorders>
            <w:shd w:val="clear" w:color="auto" w:fill="CCFFFF"/>
            <w:vAlign w:val="center"/>
          </w:tcPr>
          <w:p w:rsidR="00800175" w:rsidRPr="00A34388" w:rsidRDefault="00800175" w:rsidP="002A7E3D">
            <w:pPr>
              <w:spacing w:before="120" w:after="120"/>
              <w:jc w:val="center"/>
              <w:rPr>
                <w:rFonts w:cs="Arial"/>
                <w:b/>
                <w:bCs/>
                <w:color w:val="808080"/>
                <w:sz w:val="14"/>
                <w:szCs w:val="14"/>
                <w:lang w:val="es-ES_tradnl"/>
              </w:rPr>
            </w:pPr>
            <w:r w:rsidRPr="00332758">
              <w:rPr>
                <w:rFonts w:cs="Arial"/>
                <w:b/>
                <w:bCs/>
                <w:sz w:val="14"/>
                <w:szCs w:val="14"/>
                <w:lang w:val="es-ES_tradnl"/>
              </w:rPr>
              <w:t>Indicadores de rendimiento</w:t>
            </w:r>
          </w:p>
        </w:tc>
        <w:tc>
          <w:tcPr>
            <w:tcW w:w="1253" w:type="dxa"/>
            <w:tcBorders>
              <w:top w:val="single" w:sz="4" w:space="0" w:color="auto"/>
              <w:bottom w:val="single" w:sz="4" w:space="0" w:color="auto"/>
            </w:tcBorders>
            <w:shd w:val="clear" w:color="auto" w:fill="CCFFFF"/>
            <w:vAlign w:val="center"/>
          </w:tcPr>
          <w:p w:rsidR="00800175" w:rsidRPr="00A34388" w:rsidRDefault="00800175" w:rsidP="002A7E3D">
            <w:pPr>
              <w:spacing w:before="120" w:after="120"/>
              <w:jc w:val="center"/>
              <w:rPr>
                <w:rFonts w:cs="Arial"/>
                <w:b/>
                <w:bCs/>
                <w:color w:val="808080"/>
                <w:sz w:val="14"/>
                <w:szCs w:val="14"/>
                <w:lang w:val="es-ES_tradnl"/>
              </w:rPr>
            </w:pPr>
            <w:r w:rsidRPr="00332758">
              <w:rPr>
                <w:rFonts w:cs="Arial"/>
                <w:b/>
                <w:bCs/>
                <w:sz w:val="14"/>
                <w:szCs w:val="14"/>
                <w:lang w:val="es-ES_tradnl"/>
              </w:rPr>
              <w:t>Programas responsables</w:t>
            </w:r>
          </w:p>
        </w:tc>
        <w:tc>
          <w:tcPr>
            <w:tcW w:w="1059" w:type="dxa"/>
            <w:tcBorders>
              <w:top w:val="single" w:sz="4" w:space="0" w:color="auto"/>
              <w:bottom w:val="single" w:sz="4" w:space="0" w:color="auto"/>
            </w:tcBorders>
            <w:shd w:val="clear" w:color="auto" w:fill="CCFFFF"/>
            <w:vAlign w:val="center"/>
          </w:tcPr>
          <w:p w:rsidR="00800175" w:rsidRPr="000B4241" w:rsidRDefault="00800175" w:rsidP="00800175">
            <w:pPr>
              <w:spacing w:before="120" w:after="120"/>
              <w:jc w:val="center"/>
              <w:rPr>
                <w:rFonts w:cs="Arial"/>
                <w:b/>
                <w:bCs/>
                <w:sz w:val="14"/>
                <w:szCs w:val="14"/>
              </w:rPr>
            </w:pPr>
            <w:r w:rsidRPr="00332758">
              <w:rPr>
                <w:rFonts w:cs="Arial"/>
                <w:b/>
                <w:bCs/>
                <w:sz w:val="14"/>
                <w:szCs w:val="14"/>
                <w:lang w:val="es-ES_tradnl"/>
              </w:rPr>
              <w:t>Clave de colores</w:t>
            </w:r>
          </w:p>
        </w:tc>
      </w:tr>
      <w:tr w:rsidR="00800175" w:rsidRPr="00A34388" w:rsidTr="00800175">
        <w:tc>
          <w:tcPr>
            <w:tcW w:w="2704" w:type="dxa"/>
            <w:vMerge w:val="restart"/>
            <w:tcBorders>
              <w:top w:val="single" w:sz="4" w:space="0" w:color="auto"/>
            </w:tcBorders>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Comunicación más eficaz con el público en general acerca de la P.I. y la función de la OMPI.</w:t>
            </w:r>
            <w:r w:rsidRPr="00A34388">
              <w:rPr>
                <w:rFonts w:cs="Arial"/>
                <w:sz w:val="14"/>
                <w:szCs w:val="14"/>
                <w:lang w:val="es-ES_tradnl"/>
              </w:rPr>
              <w:t xml:space="preserve"> </w:t>
            </w:r>
          </w:p>
        </w:tc>
        <w:tc>
          <w:tcPr>
            <w:tcW w:w="4173" w:type="dxa"/>
            <w:tcBorders>
              <w:top w:val="single" w:sz="4" w:space="0" w:color="auto"/>
            </w:tcBorders>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artículos de prensa sobre la labor de la OMPI.</w:t>
            </w:r>
          </w:p>
        </w:tc>
        <w:tc>
          <w:tcPr>
            <w:tcW w:w="1253" w:type="dxa"/>
            <w:tcBorders>
              <w:top w:val="single" w:sz="4" w:space="0" w:color="auto"/>
            </w:tcBorders>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Borders>
              <w:top w:val="single" w:sz="4" w:space="0" w:color="auto"/>
            </w:tcBorders>
          </w:tcPr>
          <w:p w:rsidR="00800175" w:rsidRPr="000B4241" w:rsidRDefault="00800175" w:rsidP="00800175">
            <w:pPr>
              <w:spacing w:before="20"/>
              <w:jc w:val="center"/>
              <w:rPr>
                <w:rFonts w:cs="Arial"/>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rPr>
                <w:rFonts w:cs="Arial"/>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Tasa de disponibilidad de las principales publicaciones de la OMPI en todos los idiomas oficiales de las NN.UU.</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Promedio de visualizaciones por vídeo de la OMPI en YouTube</w:t>
            </w:r>
            <w:r w:rsidRPr="00A34388">
              <w:rPr>
                <w:rFonts w:cs="Arial"/>
                <w:sz w:val="14"/>
                <w:szCs w:val="14"/>
                <w:lang w:val="es-ES_tradnl"/>
              </w:rPr>
              <w:t xml:space="preserve"> </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Promedio de descargas por publicación de la OMPI.</w:t>
            </w:r>
            <w:r w:rsidRPr="00A34388">
              <w:rPr>
                <w:rFonts w:cs="Arial"/>
                <w:sz w:val="14"/>
                <w:szCs w:val="14"/>
                <w:lang w:val="es-ES_tradnl"/>
              </w:rPr>
              <w:t xml:space="preserve"> </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países que comunican que han organizado eventos y actividades con motivo del Día Mundial de la Propiedad Intelectual.</w:t>
            </w:r>
            <w:r w:rsidRPr="00A34388">
              <w:rPr>
                <w:rFonts w:cs="Arial"/>
                <w:sz w:val="14"/>
                <w:szCs w:val="14"/>
                <w:lang w:val="es-ES_tradnl"/>
              </w:rPr>
              <w:t xml:space="preserve"> </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peticiones de información externas atendidas por la Biblioteca de la OMPI.</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sz w:val="14"/>
                <w:szCs w:val="14"/>
                <w:lang w:val="es-ES_tradnl"/>
              </w:rPr>
            </w:pPr>
            <w:r w:rsidRPr="00A34388">
              <w:rPr>
                <w:rFonts w:cs="Arial"/>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Porcentaje de opiniones favorables de las partes interesadas sobre la misión, las actividades y la imagen institucional de la OMPI.</w:t>
            </w:r>
            <w:r w:rsidRPr="00A34388">
              <w:rPr>
                <w:rFonts w:cs="Arial"/>
                <w:sz w:val="14"/>
                <w:szCs w:val="14"/>
                <w:lang w:val="es-ES_tradnl"/>
              </w:rPr>
              <w:t xml:space="preserve"> </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val="restart"/>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Mejora en la prestación de servicios y la atención de consultas.</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Índice de satisfacción de los clientes y partes interesadas.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rPr>
                <w:rFonts w:cs="Arial"/>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Tiempo de atención de las solicitudes de información gestionadas mediante el sistema de identificación y seguimiento (ticketing system).</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19</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val="restart"/>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La OMPI participa y colabora eficazmente en los procesos y negociaciones de las NN.UU. y otras OIG.</w:t>
            </w:r>
          </w:p>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Utilización de las aportaciones de la OMPI en informes, resoluciones y documentos de procesos de las partes interesadas.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spacing w:before="20"/>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color w:val="808080"/>
                <w:sz w:val="14"/>
                <w:szCs w:val="14"/>
                <w:lang w:val="es-ES_tradnl"/>
              </w:rPr>
            </w:pPr>
            <w:r w:rsidRPr="00332758">
              <w:rPr>
                <w:rFonts w:cs="Arial"/>
                <w:sz w:val="14"/>
                <w:szCs w:val="14"/>
                <w:lang w:val="es-ES_tradnl"/>
              </w:rPr>
              <w:t>Comentarios recibidos sobre la aportación o participación de la OMPI en los procesos y foros de las Naciones Unidas y otras OIG.</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spacing w:before="20"/>
              <w:jc w:val="center"/>
              <w:rPr>
                <w:sz w:val="22"/>
                <w:szCs w:val="22"/>
              </w:rPr>
            </w:pPr>
            <w:r w:rsidRPr="000B4241">
              <w:rPr>
                <w:rFonts w:cs="Arial"/>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Porcentaje de respuestas cursadas puntualmente atendiendo a peticiones externas de aportación por parte de las NN.UU., OIG, etc.</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 xml:space="preserve">Número de actividades o planes de trabajo comunes </w:t>
            </w:r>
            <w:r w:rsidRPr="00332758">
              <w:rPr>
                <w:rFonts w:cs="Arial"/>
                <w:sz w:val="14"/>
                <w:szCs w:val="14"/>
                <w:lang w:val="es-ES_tradnl"/>
              </w:rPr>
              <w:lastRenderedPageBreak/>
              <w:t>emprendidos y examinados con arreglo a acuerdos concertados con organizaciones asociadas (memorandos de entendimiento nuevos o vigentes suscritos con OIG).</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lastRenderedPageBreak/>
              <w:t>Programa 20</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vMerge/>
            <w:shd w:val="clear" w:color="auto" w:fill="auto"/>
            <w:tcMar>
              <w:top w:w="113" w:type="dxa"/>
            </w:tcMar>
          </w:tcPr>
          <w:p w:rsidR="00800175" w:rsidRPr="00A34388" w:rsidRDefault="00800175" w:rsidP="002A7E3D">
            <w:pPr>
              <w:spacing w:before="80"/>
              <w:rPr>
                <w:rFonts w:cs="Arial"/>
                <w:sz w:val="14"/>
                <w:szCs w:val="14"/>
                <w:lang w:val="es-ES_tradnl"/>
              </w:rPr>
            </w:pP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Nuevas iniciativas conjuntas con otros organismos de las NN.UU.</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Intercambios abiertos, transparentes y dinámicos con las ONG</w:t>
            </w:r>
            <w:r w:rsidRPr="00A34388">
              <w:rPr>
                <w:rFonts w:cs="Arial"/>
                <w:color w:val="FF00FF"/>
                <w:sz w:val="14"/>
                <w:szCs w:val="14"/>
                <w:lang w:val="es-ES_tradnl"/>
              </w:rPr>
              <w:t>.</w:t>
            </w:r>
          </w:p>
        </w:tc>
        <w:tc>
          <w:tcPr>
            <w:tcW w:w="4173" w:type="dxa"/>
            <w:shd w:val="clear" w:color="auto" w:fill="auto"/>
            <w:tcMar>
              <w:top w:w="113" w:type="dxa"/>
            </w:tcMar>
          </w:tcPr>
          <w:p w:rsidR="00800175" w:rsidRPr="00A34388" w:rsidRDefault="00800175" w:rsidP="002A7E3D">
            <w:pPr>
              <w:spacing w:before="80"/>
              <w:rPr>
                <w:rFonts w:cs="Arial"/>
                <w:sz w:val="14"/>
                <w:szCs w:val="14"/>
                <w:lang w:val="es-ES_tradnl"/>
              </w:rPr>
            </w:pPr>
            <w:r w:rsidRPr="00332758">
              <w:rPr>
                <w:rFonts w:cs="Arial"/>
                <w:sz w:val="14"/>
                <w:szCs w:val="14"/>
                <w:lang w:val="es-ES_tradnl"/>
              </w:rPr>
              <w:t>Número de reuniones informativas, reuniones y actividades organizadas para ONG.</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rPr>
                <w:rFonts w:cs="Arial"/>
                <w:sz w:val="14"/>
                <w:szCs w:val="14"/>
                <w:lang w:val="es-ES_tradnl"/>
              </w:rPr>
            </w:pPr>
          </w:p>
        </w:tc>
        <w:tc>
          <w:tcPr>
            <w:tcW w:w="4173" w:type="dxa"/>
            <w:shd w:val="clear" w:color="auto" w:fill="auto"/>
            <w:tcMar>
              <w:top w:w="113" w:type="dxa"/>
            </w:tcMar>
          </w:tcPr>
          <w:p w:rsidR="00800175" w:rsidRPr="00A34388" w:rsidRDefault="00800175" w:rsidP="002A7E3D">
            <w:pPr>
              <w:rPr>
                <w:rFonts w:cs="Arial"/>
                <w:color w:val="808080"/>
                <w:sz w:val="14"/>
                <w:szCs w:val="14"/>
                <w:lang w:val="es-ES_tradnl"/>
              </w:rPr>
            </w:pPr>
            <w:r w:rsidRPr="00332758">
              <w:rPr>
                <w:rFonts w:cs="Arial"/>
                <w:sz w:val="14"/>
                <w:szCs w:val="14"/>
                <w:lang w:val="es-ES_tradnl"/>
              </w:rPr>
              <w:t>Número de reuniones informativas, reuniones y actividades organizadas para ONG de países en desarrollo y PMA.</w:t>
            </w:r>
          </w:p>
        </w:tc>
        <w:tc>
          <w:tcPr>
            <w:tcW w:w="1253" w:type="dxa"/>
            <w:shd w:val="clear" w:color="auto" w:fill="auto"/>
            <w:tcMar>
              <w:top w:w="113" w:type="dxa"/>
            </w:tcMar>
          </w:tcPr>
          <w:p w:rsidR="00800175" w:rsidRPr="00A34388" w:rsidRDefault="00800175" w:rsidP="002A7E3D">
            <w:pPr>
              <w:jc w:val="center"/>
              <w:rPr>
                <w:rFonts w:cs="Arial"/>
                <w:sz w:val="14"/>
                <w:szCs w:val="14"/>
                <w:lang w:val="es-ES_tradnl"/>
              </w:rPr>
            </w:pPr>
            <w:r w:rsidRPr="00332758">
              <w:rPr>
                <w:rFonts w:cs="Arial"/>
                <w:sz w:val="14"/>
                <w:szCs w:val="14"/>
                <w:lang w:val="es-ES_tradnl"/>
              </w:rPr>
              <w:t>Programa 20</w:t>
            </w:r>
          </w:p>
        </w:tc>
        <w:tc>
          <w:tcPr>
            <w:tcW w:w="1059" w:type="dxa"/>
          </w:tcPr>
          <w:p w:rsidR="00800175" w:rsidRPr="000B4241" w:rsidRDefault="00800175" w:rsidP="00800175">
            <w:pPr>
              <w:jc w:val="center"/>
              <w:rPr>
                <w:color w:val="00B050"/>
                <w:sz w:val="22"/>
                <w:szCs w:val="22"/>
              </w:rPr>
            </w:pPr>
            <w:r w:rsidRPr="000B4241">
              <w:rPr>
                <w:rFonts w:cs="Arial"/>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Atención eficaz a los Estados miembros.</w:t>
            </w: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808080"/>
                <w:sz w:val="14"/>
                <w:szCs w:val="14"/>
                <w:lang w:val="es-ES_tradnl"/>
              </w:rPr>
            </w:pPr>
            <w:r w:rsidRPr="00332758">
              <w:rPr>
                <w:rFonts w:cs="Arial"/>
                <w:sz w:val="14"/>
                <w:szCs w:val="14"/>
                <w:lang w:val="es-ES_tradnl"/>
              </w:rPr>
              <w:t>Porcentaje de sesiones de Comité precedidas de reuniones informativas para los Estados miembros.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Porcentaje de cartas dirigidas al Director General por los Estados miembros que han obtenido respuesta en el plazo de dos semanas.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spacing w:before="80"/>
              <w:ind w:firstLine="140"/>
              <w:rPr>
                <w:rFonts w:cs="Arial"/>
                <w:color w:val="000000"/>
                <w:sz w:val="14"/>
                <w:szCs w:val="14"/>
                <w:lang w:val="es-ES_tradnl"/>
              </w:rPr>
            </w:pP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Índice de satisfacción de los Estados miembros respecto de la preparación y funcionamiento de las Asambleas.</w:t>
            </w: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r w:rsidR="00800175" w:rsidRPr="00A34388" w:rsidTr="00800175">
        <w:tc>
          <w:tcPr>
            <w:tcW w:w="2704" w:type="dxa"/>
            <w:shd w:val="clear" w:color="auto" w:fill="auto"/>
            <w:tcMar>
              <w:top w:w="113" w:type="dxa"/>
            </w:tcMar>
          </w:tcPr>
          <w:p w:rsidR="00800175" w:rsidRPr="00A34388" w:rsidRDefault="00800175" w:rsidP="002A7E3D">
            <w:pPr>
              <w:ind w:firstLine="140"/>
              <w:rPr>
                <w:rFonts w:cs="Arial"/>
                <w:color w:val="000000"/>
                <w:sz w:val="14"/>
                <w:szCs w:val="14"/>
                <w:lang w:val="es-ES_tradnl"/>
              </w:rPr>
            </w:pPr>
            <w:r w:rsidRPr="00A34388">
              <w:rPr>
                <w:rFonts w:cs="Arial"/>
                <w:color w:val="000000"/>
                <w:sz w:val="14"/>
                <w:szCs w:val="14"/>
                <w:lang w:val="es-ES_tradnl"/>
              </w:rPr>
              <w:t xml:space="preserve"> </w:t>
            </w:r>
          </w:p>
        </w:tc>
        <w:tc>
          <w:tcPr>
            <w:tcW w:w="4173" w:type="dxa"/>
            <w:shd w:val="clear" w:color="auto" w:fill="auto"/>
            <w:tcMar>
              <w:top w:w="113" w:type="dxa"/>
            </w:tcMar>
          </w:tcPr>
          <w:p w:rsidR="00800175" w:rsidRPr="00A34388" w:rsidRDefault="00800175" w:rsidP="002A7E3D">
            <w:pPr>
              <w:spacing w:before="80"/>
              <w:rPr>
                <w:rFonts w:cs="Arial"/>
                <w:color w:val="000000"/>
                <w:sz w:val="14"/>
                <w:szCs w:val="14"/>
                <w:lang w:val="es-ES_tradnl"/>
              </w:rPr>
            </w:pPr>
            <w:r w:rsidRPr="00332758">
              <w:rPr>
                <w:rFonts w:cs="Arial"/>
                <w:sz w:val="14"/>
                <w:szCs w:val="14"/>
                <w:lang w:val="es-ES_tradnl"/>
              </w:rPr>
              <w:t>Publicación puntual de los documentos de las Asambleas.</w:t>
            </w:r>
          </w:p>
          <w:p w:rsidR="00800175" w:rsidRPr="00A34388" w:rsidRDefault="00800175" w:rsidP="002A7E3D">
            <w:pPr>
              <w:spacing w:before="80"/>
              <w:rPr>
                <w:rFonts w:cs="Arial"/>
                <w:color w:val="000000"/>
                <w:sz w:val="14"/>
                <w:szCs w:val="14"/>
                <w:lang w:val="es-ES_tradnl"/>
              </w:rPr>
            </w:pPr>
          </w:p>
        </w:tc>
        <w:tc>
          <w:tcPr>
            <w:tcW w:w="1253" w:type="dxa"/>
            <w:shd w:val="clear" w:color="auto" w:fill="auto"/>
            <w:tcMar>
              <w:top w:w="113" w:type="dxa"/>
            </w:tcMar>
          </w:tcPr>
          <w:p w:rsidR="00800175" w:rsidRPr="00A34388" w:rsidRDefault="00800175" w:rsidP="002A7E3D">
            <w:pPr>
              <w:spacing w:before="80"/>
              <w:jc w:val="center"/>
              <w:rPr>
                <w:rFonts w:cs="Arial"/>
                <w:sz w:val="14"/>
                <w:szCs w:val="14"/>
                <w:lang w:val="es-ES_tradnl"/>
              </w:rPr>
            </w:pPr>
            <w:r w:rsidRPr="00332758">
              <w:rPr>
                <w:rFonts w:cs="Arial"/>
                <w:sz w:val="14"/>
                <w:szCs w:val="14"/>
                <w:lang w:val="es-ES_tradnl"/>
              </w:rPr>
              <w:t>Programa 21</w:t>
            </w:r>
          </w:p>
        </w:tc>
        <w:tc>
          <w:tcPr>
            <w:tcW w:w="1059" w:type="dxa"/>
          </w:tcPr>
          <w:p w:rsidR="00800175" w:rsidRPr="000B4241" w:rsidRDefault="00800175" w:rsidP="00800175">
            <w:pPr>
              <w:jc w:val="center"/>
              <w:rPr>
                <w:color w:val="008000"/>
                <w:sz w:val="22"/>
                <w:szCs w:val="22"/>
              </w:rPr>
            </w:pPr>
            <w:r w:rsidRPr="000B4241">
              <w:rPr>
                <w:rFonts w:cs="Arial"/>
                <w:color w:val="008000"/>
                <w:sz w:val="22"/>
                <w:szCs w:val="22"/>
              </w:rPr>
              <w:sym w:font="Wingdings" w:char="F06C"/>
            </w:r>
          </w:p>
        </w:tc>
      </w:tr>
    </w:tbl>
    <w:p w:rsidR="00710F93" w:rsidRPr="00A34388" w:rsidRDefault="00710F93" w:rsidP="00710F93">
      <w:pPr>
        <w:tabs>
          <w:tab w:val="left" w:pos="0"/>
        </w:tabs>
        <w:rPr>
          <w:rFonts w:cs="Arial"/>
          <w:iCs/>
          <w:sz w:val="21"/>
          <w:szCs w:val="21"/>
          <w:lang w:val="es-ES_tradnl"/>
        </w:rPr>
      </w:pPr>
    </w:p>
    <w:p w:rsidR="00710F93" w:rsidRDefault="00710F93" w:rsidP="00C4782F">
      <w:pPr>
        <w:rPr>
          <w:lang w:val="es-ES_tradnl"/>
        </w:rPr>
      </w:pPr>
    </w:p>
    <w:p w:rsidR="00C4782F" w:rsidRPr="00A34388" w:rsidRDefault="00C4782F" w:rsidP="00C4782F">
      <w:pPr>
        <w:rPr>
          <w:rFonts w:ascii="Arial Bold" w:eastAsiaTheme="majorEastAsia" w:hAnsi="Arial Bold" w:cstheme="majorBidi" w:hint="eastAsia"/>
          <w:b/>
          <w:bCs/>
          <w:caps/>
          <w:sz w:val="22"/>
          <w:lang w:val="es-ES_tradnl"/>
        </w:rPr>
      </w:pPr>
      <w:r w:rsidRPr="00A34388">
        <w:rPr>
          <w:lang w:val="es-ES_tradnl"/>
        </w:rPr>
        <w:br w:type="page"/>
      </w:r>
    </w:p>
    <w:p w:rsidR="00F90BD6" w:rsidRPr="003934C8" w:rsidRDefault="00F90BD6" w:rsidP="00F90BD6">
      <w:pPr>
        <w:pStyle w:val="Heading3"/>
        <w:rPr>
          <w:rFonts w:hint="eastAsia"/>
          <w:lang w:val="es-ES"/>
        </w:rPr>
      </w:pPr>
      <w:bookmarkStart w:id="77" w:name="_Toc392852660"/>
      <w:bookmarkStart w:id="78" w:name="_Toc395279679"/>
      <w:r w:rsidRPr="003934C8">
        <w:rPr>
          <w:lang w:val="es-ES"/>
        </w:rPr>
        <w:lastRenderedPageBreak/>
        <w:t>Programa 19</w:t>
      </w:r>
      <w:r w:rsidRPr="003934C8">
        <w:rPr>
          <w:lang w:val="es-ES"/>
        </w:rPr>
        <w:tab/>
        <w:t>Comunicaciones</w:t>
      </w:r>
      <w:bookmarkEnd w:id="77"/>
      <w:bookmarkEnd w:id="78"/>
    </w:p>
    <w:p w:rsidR="00F90BD6" w:rsidRPr="00332758" w:rsidRDefault="00F90BD6" w:rsidP="00F90BD6">
      <w:pPr>
        <w:rPr>
          <w:lang w:val="es-ES_tradnl"/>
        </w:rPr>
      </w:pPr>
    </w:p>
    <w:p w:rsidR="00F90BD6" w:rsidRPr="00D42A38" w:rsidRDefault="00F90BD6" w:rsidP="00F90BD6">
      <w:pPr>
        <w:rPr>
          <w:b/>
          <w:sz w:val="22"/>
          <w:szCs w:val="22"/>
          <w:lang w:val="es-ES_tradnl"/>
        </w:rPr>
      </w:pPr>
      <w:bookmarkStart w:id="79" w:name="_Toc394914523"/>
      <w:r w:rsidRPr="00D42A38">
        <w:rPr>
          <w:b/>
          <w:sz w:val="22"/>
          <w:szCs w:val="22"/>
          <w:lang w:val="es-ES_tradnl"/>
        </w:rPr>
        <w:t>Director del Programa</w:t>
      </w:r>
      <w:r w:rsidRPr="00D42A38">
        <w:rPr>
          <w:b/>
          <w:sz w:val="22"/>
          <w:szCs w:val="22"/>
          <w:lang w:val="es-ES_tradnl"/>
        </w:rPr>
        <w:tab/>
        <w:t>Sr. J. C. Wichard</w:t>
      </w:r>
      <w:bookmarkEnd w:id="79"/>
    </w:p>
    <w:p w:rsidR="0071153F" w:rsidRPr="00A34388" w:rsidRDefault="0071153F" w:rsidP="00C4782F">
      <w:pPr>
        <w:rPr>
          <w:rFonts w:cs="Arial"/>
          <w:sz w:val="22"/>
          <w:szCs w:val="22"/>
          <w:lang w:val="es-ES_tradnl"/>
        </w:rPr>
      </w:pPr>
    </w:p>
    <w:p w:rsidR="0071153F" w:rsidRPr="00A34388" w:rsidRDefault="0071153F" w:rsidP="00C4782F">
      <w:pPr>
        <w:rPr>
          <w:rFonts w:cs="Arial"/>
          <w:sz w:val="22"/>
          <w:szCs w:val="22"/>
          <w:lang w:val="es-ES_tradnl"/>
        </w:rPr>
      </w:pPr>
    </w:p>
    <w:p w:rsidR="00C4782F" w:rsidRPr="00A34388" w:rsidRDefault="00C4782F" w:rsidP="00C4782F">
      <w:pPr>
        <w:rPr>
          <w:rFonts w:cs="Arial"/>
          <w:sz w:val="22"/>
          <w:szCs w:val="22"/>
          <w:lang w:val="es-ES_tradnl"/>
        </w:rPr>
      </w:pPr>
      <w:r w:rsidRPr="00A34388">
        <w:rPr>
          <w:rFonts w:cs="Arial"/>
          <w:sz w:val="22"/>
          <w:szCs w:val="22"/>
          <w:lang w:val="es-ES_tradnl"/>
        </w:rPr>
        <w:t>AVANCES LOGRADOS EN EL BIENIO 2012/13</w:t>
      </w:r>
    </w:p>
    <w:p w:rsidR="00C4782F" w:rsidRPr="00A34388" w:rsidRDefault="00C4782F" w:rsidP="00C4782F">
      <w:pPr>
        <w:rPr>
          <w:rFonts w:cs="Arial"/>
          <w:color w:val="000000"/>
          <w:szCs w:val="20"/>
          <w:lang w:val="es-ES_tradnl"/>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 xml:space="preserve">En </w:t>
      </w:r>
      <w:r w:rsidR="00855095" w:rsidRPr="00A34388">
        <w:rPr>
          <w:rFonts w:eastAsia="SimSun" w:cs="Arial"/>
          <w:szCs w:val="20"/>
          <w:lang w:val="es-ES_tradnl" w:eastAsia="zh-CN"/>
        </w:rPr>
        <w:t xml:space="preserve">el bienio </w:t>
      </w:r>
      <w:r w:rsidRPr="00A34388">
        <w:rPr>
          <w:rFonts w:eastAsia="SimSun" w:cs="Arial"/>
          <w:szCs w:val="20"/>
          <w:lang w:val="es-ES_tradnl" w:eastAsia="zh-CN"/>
        </w:rPr>
        <w:t xml:space="preserve">2012/13, el programa 19 dio como fruto una serie de importantes proyectos estratégicos que atañen a toda la Organización y que han ayudado a mejorar la calidad, facilidad de uso y suministro de los contenidos de la OMPI;  han </w:t>
      </w:r>
      <w:r w:rsidR="00855095" w:rsidRPr="00A34388">
        <w:rPr>
          <w:rFonts w:eastAsia="SimSun" w:cs="Arial"/>
          <w:szCs w:val="20"/>
          <w:lang w:val="es-ES_tradnl" w:eastAsia="zh-CN"/>
        </w:rPr>
        <w:t xml:space="preserve">contribuido </w:t>
      </w:r>
      <w:r w:rsidRPr="00A34388">
        <w:rPr>
          <w:rFonts w:eastAsia="SimSun" w:cs="Arial"/>
          <w:szCs w:val="20"/>
          <w:lang w:val="es-ES_tradnl" w:eastAsia="zh-CN"/>
        </w:rPr>
        <w:t xml:space="preserve">a concienciar sobre su labor y su identidad orgánica;  y han generado una cultura interna de comunicación y servicio.  Gracias a las nuevas estrategias en materia de medios de comunicación, se han logrado incrementos exponenciales en el número de personas que acceden en todo el mundo a los contenidos exclusivos de la OMPI.  </w:t>
      </w:r>
    </w:p>
    <w:p w:rsidR="00C4782F" w:rsidRPr="00A34388" w:rsidRDefault="00C4782F" w:rsidP="00C4782F">
      <w:pPr>
        <w:autoSpaceDE w:val="0"/>
        <w:autoSpaceDN w:val="0"/>
        <w:adjustRightInd w:val="0"/>
        <w:jc w:val="both"/>
        <w:rPr>
          <w:rFonts w:eastAsia="SimSun" w:cs="Arial"/>
          <w:szCs w:val="20"/>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iCs/>
          <w:szCs w:val="20"/>
          <w:lang w:val="es-ES_tradnl" w:eastAsia="zh-CN"/>
        </w:rPr>
        <w:t>Mejora en el suministro</w:t>
      </w:r>
      <w:r w:rsidRPr="00A34388">
        <w:rPr>
          <w:rFonts w:eastAsia="SimSun" w:cs="Arial"/>
          <w:szCs w:val="20"/>
          <w:lang w:val="es-ES_tradnl" w:eastAsia="zh-CN"/>
        </w:rPr>
        <w:t xml:space="preserve">.  La OMPI ha llevado a cabo una revisión exhaustiva de su sitio web.  El nuevo sitio web, que </w:t>
      </w:r>
      <w:r w:rsidR="007F2148" w:rsidRPr="00A34388">
        <w:rPr>
          <w:rFonts w:eastAsia="SimSun" w:cs="Arial"/>
          <w:szCs w:val="20"/>
          <w:lang w:val="es-ES_tradnl" w:eastAsia="zh-CN"/>
        </w:rPr>
        <w:t>entró</w:t>
      </w:r>
      <w:r w:rsidR="00855095" w:rsidRPr="00A34388">
        <w:rPr>
          <w:rFonts w:eastAsia="SimSun" w:cs="Arial"/>
          <w:szCs w:val="20"/>
          <w:lang w:val="es-ES_tradnl" w:eastAsia="zh-CN"/>
        </w:rPr>
        <w:t xml:space="preserve"> en funcionamiento </w:t>
      </w:r>
      <w:r w:rsidRPr="00A34388">
        <w:rPr>
          <w:rFonts w:eastAsia="SimSun" w:cs="Arial"/>
          <w:szCs w:val="20"/>
          <w:lang w:val="es-ES_tradnl" w:eastAsia="zh-CN"/>
        </w:rPr>
        <w:t xml:space="preserve">en noviembre de 2013, ha recibido una cantidad abrumadora de elogios por parte de los usuarios.  El proyecto </w:t>
      </w:r>
      <w:r w:rsidR="00855095" w:rsidRPr="00A34388">
        <w:rPr>
          <w:rFonts w:eastAsia="SimSun" w:cs="Arial"/>
          <w:szCs w:val="20"/>
          <w:lang w:val="es-ES_tradnl" w:eastAsia="zh-CN"/>
        </w:rPr>
        <w:t xml:space="preserve">incluyó </w:t>
      </w:r>
      <w:r w:rsidRPr="00A34388">
        <w:rPr>
          <w:rFonts w:eastAsia="SimSun" w:cs="Arial"/>
          <w:szCs w:val="20"/>
          <w:lang w:val="es-ES_tradnl" w:eastAsia="zh-CN"/>
        </w:rPr>
        <w:t xml:space="preserve">una reforma completa de los contenidos del sitio;  una importante ampliación en la disponibilidad de contenidos clave </w:t>
      </w:r>
      <w:r w:rsidR="00855095" w:rsidRPr="00A34388">
        <w:rPr>
          <w:rFonts w:eastAsia="SimSun" w:cs="Arial"/>
          <w:szCs w:val="20"/>
          <w:lang w:val="es-ES_tradnl" w:eastAsia="zh-CN"/>
        </w:rPr>
        <w:t xml:space="preserve">de manera que </w:t>
      </w:r>
      <w:r w:rsidRPr="00A34388">
        <w:rPr>
          <w:rFonts w:eastAsia="SimSun" w:cs="Arial"/>
          <w:szCs w:val="20"/>
          <w:lang w:val="es-ES_tradnl" w:eastAsia="zh-CN"/>
        </w:rPr>
        <w:t xml:space="preserve">todas las páginas de nivel superior </w:t>
      </w:r>
      <w:r w:rsidR="00855095" w:rsidRPr="00A34388">
        <w:rPr>
          <w:rFonts w:eastAsia="SimSun" w:cs="Arial"/>
          <w:szCs w:val="20"/>
          <w:lang w:val="es-ES_tradnl" w:eastAsia="zh-CN"/>
        </w:rPr>
        <w:t>pudieran consultarse en seis idiomas</w:t>
      </w:r>
      <w:r w:rsidRPr="00A34388">
        <w:rPr>
          <w:rFonts w:eastAsia="SimSun" w:cs="Arial"/>
          <w:szCs w:val="20"/>
          <w:lang w:val="es-ES_tradnl" w:eastAsia="zh-CN"/>
        </w:rPr>
        <w:t xml:space="preserve">;  el desarrollo de una nueva estrategia de experiencia del usuario;  una revisión y reestructuración globales de la arquitectura de información de la página en </w:t>
      </w:r>
      <w:r w:rsidR="00855095" w:rsidRPr="00A34388">
        <w:rPr>
          <w:rFonts w:eastAsia="SimSun" w:cs="Arial"/>
          <w:szCs w:val="20"/>
          <w:lang w:val="es-ES_tradnl" w:eastAsia="zh-CN"/>
        </w:rPr>
        <w:t xml:space="preserve">sintonía </w:t>
      </w:r>
      <w:r w:rsidRPr="00A34388">
        <w:rPr>
          <w:rFonts w:eastAsia="SimSun" w:cs="Arial"/>
          <w:szCs w:val="20"/>
          <w:lang w:val="es-ES_tradnl" w:eastAsia="zh-CN"/>
        </w:rPr>
        <w:t xml:space="preserve">con las necesidades de los distintos grupos interesados;  y un diseño web vanguardista y de respuesta ágil que optimiza el despliegue de contenidos ante los usuarios de acuerdo con el tamaño de pantalla del dispositivo </w:t>
      </w:r>
      <w:r w:rsidR="00855095" w:rsidRPr="00A34388">
        <w:rPr>
          <w:rFonts w:eastAsia="SimSun" w:cs="Arial"/>
          <w:szCs w:val="20"/>
          <w:lang w:val="es-ES_tradnl" w:eastAsia="zh-CN"/>
        </w:rPr>
        <w:t xml:space="preserve">utilizado </w:t>
      </w:r>
      <w:r w:rsidRPr="00A34388">
        <w:rPr>
          <w:rFonts w:eastAsia="SimSun" w:cs="Arial"/>
          <w:szCs w:val="20"/>
          <w:lang w:val="es-ES_tradnl" w:eastAsia="zh-CN"/>
        </w:rPr>
        <w:t>para acceder al sitio web.  Una</w:t>
      </w:r>
      <w:r w:rsidRPr="00A34388">
        <w:rPr>
          <w:lang w:val="es-ES_tradnl"/>
        </w:rPr>
        <w:t xml:space="preserve"> de las mejoras de contenidos con mayor aceptación ha sido la de las nuevas páginas de perfiles de países de la OMPI, que reúne contenidos dinámicos, extraídos de unas 20 bases de datos de la OMPI, sobre más de 190 países</w:t>
      </w:r>
      <w:r w:rsidRPr="00A34388">
        <w:rPr>
          <w:rFonts w:eastAsia="SimSun" w:cs="Arial"/>
          <w:szCs w:val="20"/>
          <w:lang w:val="es-ES_tradnl" w:eastAsia="zh-CN"/>
        </w:rPr>
        <w:t xml:space="preserve">. </w:t>
      </w:r>
    </w:p>
    <w:p w:rsidR="00C4782F" w:rsidRPr="00A34388" w:rsidRDefault="00C4782F" w:rsidP="00C4782F">
      <w:pPr>
        <w:pStyle w:val="ListParagraph"/>
        <w:rPr>
          <w:rFonts w:eastAsia="SimSun" w:cs="Arial"/>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 xml:space="preserve">La OMPI también ha reforzado su presencia en los medios sociales.  En los 21 meses siguientes a la puesta en marcha en marzo de 2012 de las primeras apariciones oficiales de la OMPI en Twitter, Flickr (intercambio de fotografías) y Scribd (intercambio de publicaciones), las impresiones potenciales en Twitter de la OMPI pasaron de 8,7 millones en 2012 a 22 millones en 2013.  La influencia en redes sociales de la OMPI (medida por </w:t>
      </w:r>
      <w:r w:rsidRPr="00A34388">
        <w:rPr>
          <w:rFonts w:eastAsia="SimSun" w:cs="Arial"/>
          <w:i/>
          <w:iCs/>
          <w:szCs w:val="20"/>
          <w:lang w:val="es-ES_tradnl" w:eastAsia="zh-CN"/>
        </w:rPr>
        <w:t>Klout</w:t>
      </w:r>
      <w:r w:rsidRPr="00A34388">
        <w:rPr>
          <w:rFonts w:eastAsia="SimSun" w:cs="Arial"/>
          <w:szCs w:val="20"/>
          <w:lang w:val="es-ES_tradnl" w:eastAsia="zh-CN"/>
        </w:rPr>
        <w:t>) ascendió a 64, sobrepasando a muchas instituciones nacionales e internacionales similares cuya presencia en las redes sociales data de más tiempo.  La OMPI también amplió su canal de YouTube, aumentando el uso del video como mecanismo fundamental para la distribución de contenidos dirigido a facilitar el acceso abierto a sus seminarios, reuniones y actos relacionados con la prensa.</w:t>
      </w:r>
    </w:p>
    <w:p w:rsidR="00C4782F" w:rsidRPr="00A34388" w:rsidRDefault="00C4782F" w:rsidP="00C4782F">
      <w:pPr>
        <w:autoSpaceDE w:val="0"/>
        <w:autoSpaceDN w:val="0"/>
        <w:adjustRightInd w:val="0"/>
        <w:jc w:val="both"/>
        <w:rPr>
          <w:rFonts w:eastAsia="SimSun" w:cs="Arial"/>
          <w:szCs w:val="20"/>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color w:val="000000"/>
          <w:szCs w:val="20"/>
          <w:lang w:val="es-ES_tradnl" w:eastAsia="zh-CN"/>
        </w:rPr>
        <w:t xml:space="preserve"> Contenidos de calidad.</w:t>
      </w:r>
      <w:r w:rsidRPr="00A34388">
        <w:rPr>
          <w:rFonts w:eastAsia="SimSun" w:cs="Arial"/>
          <w:szCs w:val="20"/>
          <w:lang w:val="es-ES_tradnl" w:eastAsia="zh-CN"/>
        </w:rPr>
        <w:t xml:space="preserve">  La Junta de Publicaciones, un nuevo organismo intersectorial, comenzó su andadura con el fin de contribuir a que se garantice que todas las nuevas publicaciones de la OMPI cumplen con ciertas normas de calidad, pertinencia y utilidad.  Para facilitar el acceso abierto a las publicaciones de la OMPI, se introdujo una nueva política de disponibilidad pública de todas las publicaciones para su descarga gratuita en línea.  Para los pedidos de publicaciones en papel de pago, la OMPI puso en marcha una </w:t>
      </w:r>
      <w:r w:rsidR="002B56D9">
        <w:rPr>
          <w:rFonts w:eastAsia="SimSun" w:cs="Arial"/>
          <w:szCs w:val="20"/>
          <w:lang w:val="es-ES_tradnl" w:eastAsia="zh-CN"/>
        </w:rPr>
        <w:t>prueba</w:t>
      </w:r>
      <w:r w:rsidRPr="00A34388">
        <w:rPr>
          <w:rFonts w:eastAsia="SimSun" w:cs="Arial"/>
          <w:szCs w:val="20"/>
          <w:lang w:val="es-ES_tradnl" w:eastAsia="zh-CN"/>
        </w:rPr>
        <w:t xml:space="preserve"> piloto de servicio externalizado de impresión por encargo.  </w:t>
      </w:r>
    </w:p>
    <w:p w:rsidR="00C4782F" w:rsidRPr="00A34388" w:rsidRDefault="00C4782F" w:rsidP="00C4782F">
      <w:pPr>
        <w:autoSpaceDE w:val="0"/>
        <w:autoSpaceDN w:val="0"/>
        <w:adjustRightInd w:val="0"/>
        <w:jc w:val="both"/>
        <w:rPr>
          <w:rFonts w:eastAsia="SimSun" w:cs="Arial"/>
          <w:szCs w:val="20"/>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 xml:space="preserve">Gracias a un diseño visual de gran calidad, que incluye infografías, se mejoró la accesibilidad y el alcance de los principales informes estadísticos y económicos de la OMPI, el informe anual del Director General a las Asambleas </w:t>
      </w:r>
      <w:r w:rsidR="00855095" w:rsidRPr="00A34388">
        <w:rPr>
          <w:rFonts w:eastAsia="SimSun" w:cs="Arial"/>
          <w:szCs w:val="20"/>
          <w:lang w:val="es-ES_tradnl" w:eastAsia="zh-CN"/>
        </w:rPr>
        <w:t xml:space="preserve">y </w:t>
      </w:r>
      <w:r w:rsidRPr="00A34388">
        <w:rPr>
          <w:rFonts w:eastAsia="SimSun" w:cs="Arial"/>
          <w:szCs w:val="20"/>
          <w:lang w:val="es-ES_tradnl" w:eastAsia="zh-CN"/>
        </w:rPr>
        <w:t xml:space="preserve">cuantioso material publicitario e informativo;  y la </w:t>
      </w:r>
      <w:r w:rsidRPr="00A34388">
        <w:rPr>
          <w:rFonts w:eastAsia="SimSun" w:cs="Arial"/>
          <w:i/>
          <w:szCs w:val="20"/>
          <w:lang w:val="es-ES_tradnl" w:eastAsia="zh-CN"/>
        </w:rPr>
        <w:t>Revista de la OMPI</w:t>
      </w:r>
      <w:r w:rsidRPr="00A34388">
        <w:rPr>
          <w:rFonts w:eastAsia="SimSun" w:cs="Arial"/>
          <w:szCs w:val="20"/>
          <w:lang w:val="es-ES_tradnl" w:eastAsia="zh-CN"/>
        </w:rPr>
        <w:t xml:space="preserve">, que </w:t>
      </w:r>
      <w:r w:rsidR="00855095" w:rsidRPr="00A34388">
        <w:rPr>
          <w:rFonts w:eastAsia="SimSun" w:cs="Arial"/>
          <w:szCs w:val="20"/>
          <w:lang w:val="es-ES_tradnl" w:eastAsia="zh-CN"/>
        </w:rPr>
        <w:t xml:space="preserve">suscitaron </w:t>
      </w:r>
      <w:r w:rsidRPr="00A34388">
        <w:rPr>
          <w:rFonts w:eastAsia="SimSun" w:cs="Arial"/>
          <w:szCs w:val="20"/>
          <w:lang w:val="es-ES_tradnl" w:eastAsia="zh-CN"/>
        </w:rPr>
        <w:t xml:space="preserve">gran </w:t>
      </w:r>
      <w:r w:rsidR="00855095" w:rsidRPr="00A34388">
        <w:rPr>
          <w:rFonts w:eastAsia="SimSun" w:cs="Arial"/>
          <w:szCs w:val="20"/>
          <w:lang w:val="es-ES_tradnl" w:eastAsia="zh-CN"/>
        </w:rPr>
        <w:t xml:space="preserve">número </w:t>
      </w:r>
      <w:r w:rsidRPr="00A34388">
        <w:rPr>
          <w:rFonts w:eastAsia="SimSun" w:cs="Arial"/>
          <w:szCs w:val="20"/>
          <w:lang w:val="es-ES_tradnl" w:eastAsia="zh-CN"/>
        </w:rPr>
        <w:t xml:space="preserve">de comentarios positivos a través de Twitter y de encuestas con los lectores.  (A finales de 2013, el 94% de los encuestados calificaba a la Revista (en su versión en inglés) como buena o muy buena).  Asimismo, la OMPI invirtió en la producción de contenidos fotográficos originales, creando galerías de imágenes en Flickr a fin de presentar, desde una perspectiva gráfica, las actividades y eventos de la OMPI, y de atraer nuevo público al sitio web.  </w:t>
      </w:r>
      <w:r w:rsidRPr="00A34388">
        <w:rPr>
          <w:lang w:val="es-ES_tradnl"/>
        </w:rPr>
        <w:t xml:space="preserve">El número total de consultas a fotografías de la OMPI en Flickr se incrementó desde las 150.000 registradas a finales de 2012 hasta más de 900.000 al concluir 2013.  Durante el bienio, se crearon un total de 122 nuevos videos para el sitio web y el canal de la OMPI en YouTube, con más contenidos de tipo periodístico y noticias sobre la P.I., además de vídeos didácticos y presentaciones.  Las cifras de visitantes se dispararon gracias a la incorporación de las animaciones de “Pororo” para niños (más de 3,8 millones de visitas), concluyéndose el bienio con un aumento exponencial del total de visitas al canal de la OMPI superior al 2.900% con respecto al </w:t>
      </w:r>
      <w:r w:rsidR="00855095" w:rsidRPr="00A34388">
        <w:rPr>
          <w:lang w:val="es-ES_tradnl"/>
        </w:rPr>
        <w:t xml:space="preserve">cierre </w:t>
      </w:r>
      <w:r w:rsidRPr="00A34388">
        <w:rPr>
          <w:lang w:val="es-ES_tradnl"/>
        </w:rPr>
        <w:t>de 2011</w:t>
      </w:r>
      <w:r w:rsidRPr="00A34388">
        <w:rPr>
          <w:rFonts w:eastAsia="SimSun" w:cs="Arial"/>
          <w:szCs w:val="20"/>
          <w:lang w:val="es-ES_tradnl" w:eastAsia="zh-CN"/>
        </w:rPr>
        <w:t>.</w:t>
      </w:r>
    </w:p>
    <w:p w:rsidR="00C4782F" w:rsidRPr="00A34388" w:rsidRDefault="00C4782F" w:rsidP="00C4782F">
      <w:pPr>
        <w:autoSpaceDE w:val="0"/>
        <w:autoSpaceDN w:val="0"/>
        <w:adjustRightInd w:val="0"/>
        <w:jc w:val="both"/>
        <w:rPr>
          <w:rFonts w:eastAsia="SimSun" w:cs="Arial"/>
          <w:szCs w:val="20"/>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color w:val="000000"/>
          <w:szCs w:val="20"/>
          <w:lang w:val="es-ES_tradnl" w:eastAsia="zh-CN"/>
        </w:rPr>
        <w:t>Mayor visibilidad.</w:t>
      </w:r>
      <w:r w:rsidRPr="00A34388">
        <w:rPr>
          <w:rFonts w:eastAsia="SimSun" w:cs="Arial"/>
          <w:szCs w:val="20"/>
          <w:lang w:val="es-ES_tradnl" w:eastAsia="zh-CN"/>
        </w:rPr>
        <w:t xml:space="preserve">  Durante el bienio, una serie de acontecimientos, productos y resultados significativos, como la adopción de los dos nuevos tratados de la OMPI, la publicación de los informes de </w:t>
      </w:r>
      <w:r w:rsidRPr="00A34388">
        <w:rPr>
          <w:rFonts w:eastAsia="SimSun" w:cs="Arial"/>
          <w:szCs w:val="20"/>
          <w:lang w:val="es-ES_tradnl" w:eastAsia="zh-CN"/>
        </w:rPr>
        <w:lastRenderedPageBreak/>
        <w:t xml:space="preserve">la Organización sobre P.I., de primer orden a nivel mundial, el importante hito que </w:t>
      </w:r>
      <w:r w:rsidR="00541444" w:rsidRPr="00A34388">
        <w:rPr>
          <w:rFonts w:eastAsia="SimSun" w:cs="Arial"/>
          <w:szCs w:val="20"/>
          <w:lang w:val="es-ES_tradnl" w:eastAsia="zh-CN"/>
        </w:rPr>
        <w:t xml:space="preserve">ha supuesto </w:t>
      </w:r>
      <w:r w:rsidRPr="00A34388">
        <w:rPr>
          <w:rFonts w:eastAsia="SimSun" w:cs="Arial"/>
          <w:szCs w:val="20"/>
          <w:lang w:val="es-ES_tradnl" w:eastAsia="zh-CN"/>
        </w:rPr>
        <w:t xml:space="preserve">la extensión de la Base Mundial de Datos sobre Marcas y del sistema PATENTSCOPE, y la puesta en marcha de la iniciativa WIPO GREEN, merecieron un importante esfuerzo concertado de comunicación.  Se desarrolló un </w:t>
      </w:r>
      <w:r w:rsidR="00541444" w:rsidRPr="00A34388">
        <w:rPr>
          <w:rFonts w:eastAsia="SimSun" w:cs="Arial"/>
          <w:szCs w:val="20"/>
          <w:lang w:val="es-ES_tradnl" w:eastAsia="zh-CN"/>
        </w:rPr>
        <w:t xml:space="preserve">enfoque </w:t>
      </w:r>
      <w:r w:rsidRPr="00A34388">
        <w:rPr>
          <w:rFonts w:eastAsia="SimSun" w:cs="Arial"/>
          <w:szCs w:val="20"/>
          <w:lang w:val="es-ES_tradnl" w:eastAsia="zh-CN"/>
        </w:rPr>
        <w:t xml:space="preserve">más integrado a los fines de fomentar esos importantes acontecimientos, lo que incluyó una estructura más lógica para la transmisión de mensajes;  contenidos editoriales, visuales y para la web adaptados y en seis idiomas;  difusión a través de múltiples canales;  y una relación dinámica entre la prensa y las partes interesadas. </w:t>
      </w:r>
    </w:p>
    <w:p w:rsidR="00C4782F" w:rsidRPr="00A34388" w:rsidRDefault="00C4782F" w:rsidP="00C4782F">
      <w:pPr>
        <w:pStyle w:val="ListParagraph"/>
        <w:rPr>
          <w:rFonts w:eastAsia="SimSun" w:cs="Arial"/>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 xml:space="preserve">Se recurrió de manera provechosa al uso como portavoces de celebridades, como el actor Javier Bardem, para la promoción del objetivo de la conferencia diplomática sobre la protección de las interpretaciones y ejecuciones audiovisuales, o el cantante Stevie Wonder para la conferencia diplomática de Marrakech, lo que propició que el Tratado de Marrakech obtuviera cobertura en prensa con medios in situ en cuatro de los diez sitios web de noticias más visitados a nivel mundial;  igualmente, la cobertura en Twitter alcanzó un máximo superior a 3,5 millones de impresiones potenciales de </w:t>
      </w:r>
      <w:r w:rsidR="00392742">
        <w:rPr>
          <w:rFonts w:eastAsia="SimSun" w:cs="Arial"/>
          <w:szCs w:val="20"/>
          <w:lang w:val="es-ES_tradnl" w:eastAsia="zh-CN"/>
        </w:rPr>
        <w:t>tuits</w:t>
      </w:r>
      <w:r w:rsidRPr="00A34388">
        <w:rPr>
          <w:rFonts w:eastAsia="SimSun" w:cs="Arial"/>
          <w:szCs w:val="20"/>
          <w:lang w:val="es-ES_tradnl" w:eastAsia="zh-CN"/>
        </w:rPr>
        <w:t xml:space="preserve"> con el </w:t>
      </w:r>
      <w:r w:rsidRPr="002B56D9">
        <w:rPr>
          <w:rFonts w:eastAsia="SimSun" w:cs="Arial"/>
          <w:i/>
          <w:szCs w:val="20"/>
          <w:lang w:val="es-ES_tradnl" w:eastAsia="zh-CN"/>
        </w:rPr>
        <w:t>hashtag</w:t>
      </w:r>
      <w:r w:rsidRPr="00A34388">
        <w:rPr>
          <w:rFonts w:eastAsia="SimSun" w:cs="Arial"/>
          <w:szCs w:val="20"/>
          <w:lang w:val="es-ES_tradnl" w:eastAsia="zh-CN"/>
        </w:rPr>
        <w:t xml:space="preserve"> #VIPDC.  El planteamiento integrado ha logrado aumentar también la cobertura en los medios a nivel internacional de los </w:t>
      </w:r>
      <w:r w:rsidRPr="00A34388">
        <w:rPr>
          <w:rFonts w:eastAsia="SimSun" w:cs="Arial"/>
          <w:iCs/>
          <w:szCs w:val="20"/>
          <w:lang w:val="es-ES_tradnl" w:eastAsia="zh-CN"/>
        </w:rPr>
        <w:t>Indicadores mundiales de P.I.</w:t>
      </w:r>
      <w:r w:rsidRPr="00A34388">
        <w:rPr>
          <w:rFonts w:eastAsia="SimSun" w:cs="Arial"/>
          <w:szCs w:val="20"/>
          <w:lang w:val="es-ES_tradnl" w:eastAsia="zh-CN"/>
        </w:rPr>
        <w:t xml:space="preserve"> (incluidas 2,3 millones de impresiones potenciales del </w:t>
      </w:r>
      <w:r w:rsidR="00392742">
        <w:rPr>
          <w:rFonts w:eastAsia="SimSun" w:cs="Arial"/>
          <w:szCs w:val="20"/>
          <w:lang w:val="es-ES_tradnl" w:eastAsia="zh-CN"/>
        </w:rPr>
        <w:t>tuit</w:t>
      </w:r>
      <w:r w:rsidRPr="00A34388">
        <w:rPr>
          <w:rFonts w:eastAsia="SimSun" w:cs="Arial"/>
          <w:szCs w:val="20"/>
          <w:lang w:val="es-ES_tradnl" w:eastAsia="zh-CN"/>
        </w:rPr>
        <w:t xml:space="preserve"> que ocupa el puesto superior); </w:t>
      </w:r>
      <w:r w:rsidR="00C43D91" w:rsidRPr="00A34388">
        <w:rPr>
          <w:rFonts w:eastAsia="SimSun" w:cs="Arial"/>
          <w:szCs w:val="20"/>
          <w:lang w:val="es-ES_tradnl" w:eastAsia="zh-CN"/>
        </w:rPr>
        <w:t xml:space="preserve"> </w:t>
      </w:r>
      <w:r w:rsidRPr="00A34388">
        <w:rPr>
          <w:rFonts w:eastAsia="SimSun" w:cs="Arial"/>
          <w:szCs w:val="20"/>
          <w:lang w:val="es-ES_tradnl" w:eastAsia="zh-CN"/>
        </w:rPr>
        <w:t xml:space="preserve">así como del </w:t>
      </w:r>
      <w:r w:rsidRPr="00A34388">
        <w:rPr>
          <w:rFonts w:eastAsia="SimSun" w:cs="Arial"/>
          <w:iCs/>
          <w:szCs w:val="20"/>
          <w:lang w:val="es-ES_tradnl" w:eastAsia="zh-CN"/>
        </w:rPr>
        <w:t xml:space="preserve">Índice mundial de innovación </w:t>
      </w:r>
      <w:r w:rsidRPr="00A34388">
        <w:rPr>
          <w:rFonts w:eastAsia="SimSun" w:cs="Arial"/>
          <w:szCs w:val="20"/>
          <w:lang w:val="es-ES_tradnl" w:eastAsia="zh-CN"/>
        </w:rPr>
        <w:t xml:space="preserve">(más de 400 artículos a nivel mundial y un incremento superior al 400% en visitas a la página en 2012 y 2013 respecto de 2011).  </w:t>
      </w:r>
    </w:p>
    <w:p w:rsidR="00C4782F" w:rsidRPr="00A34388" w:rsidRDefault="00C4782F" w:rsidP="00C4782F">
      <w:pPr>
        <w:autoSpaceDE w:val="0"/>
        <w:autoSpaceDN w:val="0"/>
        <w:adjustRightInd w:val="0"/>
        <w:jc w:val="bot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iCs/>
          <w:szCs w:val="20"/>
          <w:lang w:val="es-ES_tradnl" w:eastAsia="zh-CN"/>
        </w:rPr>
        <w:t>Divulgación.</w:t>
      </w:r>
      <w:r w:rsidRPr="00A34388">
        <w:rPr>
          <w:rFonts w:eastAsia="SimSun" w:cs="Arial"/>
          <w:szCs w:val="20"/>
          <w:lang w:val="es-ES_tradnl" w:eastAsia="zh-CN"/>
        </w:rPr>
        <w:t xml:space="preserve">  Para el Día Mundial de la Propiedad Intelectual, la Organización intensificó el recurso por su parte a los medios sociales con vistas a conseguir involucrar a un público lo más amplio posible y reforzar su adhesión.  En 2013, el número total de visitas a la página en Facebook del Día Mundial de la P.I. duplicó con creces (375.000) el registrado en 2012, y la mayoría de los “me gusta” recibidos por la página procedió de la India, los Estados Unidos de América, México, el Brasil y el Reino Unido.  El 26 de abril de 2013, el sitio web de la OMPI registró más del doble de visitas que en cualquier otro día de los doce meses anteriores.  Algunos de sus contenidos centrales fueron “Innovadores visionarios” y “Creatividad:  La nueva generación”, así como las exposiciones del Día Mundial de la P.I. sobre las patentes de Steve Jobs (2012) y la impresión tridimensional (2013).</w:t>
      </w:r>
    </w:p>
    <w:p w:rsidR="00C4782F" w:rsidRPr="00A34388" w:rsidRDefault="00C4782F" w:rsidP="00C4782F">
      <w:pPr>
        <w:pStyle w:val="ListParagrap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szCs w:val="20"/>
          <w:lang w:val="es-ES_tradnl" w:eastAsia="zh-CN"/>
        </w:rPr>
        <w:t>En respuesta a las solicitudes formuladas por los Estados miembros, durante el bienio se inauguraron alrededor de 46 nuevas bibliotecas depositarias en varios países en desarrollo y en transición.  La OMPI involucró a la comunidad ginebrina, incluida la diplomática, en eventos culturales diseñados para poner de manifiesto la conexión existente entre la propiedad intelectual y la producción cultural, entre los cuales cabe mencionar un festival de cine indio y un impresionante espectáculo de bailes georgianos.</w:t>
      </w:r>
    </w:p>
    <w:p w:rsidR="00C4782F" w:rsidRPr="00A34388" w:rsidRDefault="00C4782F" w:rsidP="00C4782F">
      <w:pPr>
        <w:pStyle w:val="ListParagrap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i/>
          <w:iCs/>
          <w:szCs w:val="20"/>
          <w:lang w:val="es-ES_tradnl" w:eastAsia="zh-CN"/>
        </w:rPr>
      </w:pPr>
      <w:r w:rsidRPr="00A34388">
        <w:rPr>
          <w:rFonts w:eastAsia="SimSun" w:cs="Arial"/>
          <w:i/>
          <w:iCs/>
          <w:szCs w:val="20"/>
          <w:lang w:val="es-ES_tradnl" w:eastAsia="zh-CN"/>
        </w:rPr>
        <w:t>Imagen institucional</w:t>
      </w:r>
      <w:r w:rsidRPr="00A34388">
        <w:rPr>
          <w:rFonts w:eastAsia="SimSun" w:cs="Arial"/>
          <w:szCs w:val="20"/>
          <w:lang w:val="es-ES_tradnl" w:eastAsia="zh-CN"/>
        </w:rPr>
        <w:t xml:space="preserve">.  A lo largo del bienio, quedó finalizado el proyecto estratégico destinado a definir, articular y reforzar los elementos que constituyen la identidad o imagen de “marca” de la OMPI y sobre los que se sustenta la reputación de la Organización.  Una encuesta </w:t>
      </w:r>
      <w:r w:rsidR="002B56D9">
        <w:rPr>
          <w:rFonts w:eastAsia="SimSun" w:cs="Arial"/>
          <w:szCs w:val="20"/>
          <w:lang w:val="es-ES_tradnl" w:eastAsia="zh-CN"/>
        </w:rPr>
        <w:t>sobre</w:t>
      </w:r>
      <w:r w:rsidRPr="00A34388">
        <w:rPr>
          <w:rFonts w:eastAsia="SimSun" w:cs="Arial"/>
          <w:szCs w:val="20"/>
          <w:lang w:val="es-ES_tradnl" w:eastAsia="zh-CN"/>
        </w:rPr>
        <w:t xml:space="preserve"> las impresiones acerca de la OMPI realizada en 2012 aportó una información inicial valiosa sobre el modo en que las partes interesadas, tanto externas como internas, perciben a la OMPI;  asimismo, fue útil para identificar retos fundamentales en materia de comunicación.  En 2013, la labor se centró en construir una expresión más clara y coherente - tanto en lo visual como en lo verbal - de la imagen, función, misión y valores de la OMPI de cara tanto a las comunicaciones externas como a las internas.  Como parte de esta tarea, se </w:t>
      </w:r>
      <w:r w:rsidR="002B56D9">
        <w:rPr>
          <w:rFonts w:eastAsia="SimSun" w:cs="Arial"/>
          <w:szCs w:val="20"/>
          <w:lang w:val="es-ES_tradnl" w:eastAsia="zh-CN"/>
        </w:rPr>
        <w:t>realizaron</w:t>
      </w:r>
      <w:r w:rsidRPr="00A34388">
        <w:rPr>
          <w:rFonts w:eastAsia="SimSun" w:cs="Arial"/>
          <w:szCs w:val="20"/>
          <w:lang w:val="es-ES_tradnl" w:eastAsia="zh-CN"/>
        </w:rPr>
        <w:t xml:space="preserve"> un atractivo “manual de la marca” y una exposición para fomentar la implicación de los empleados.  Se utilizaron el nuevo sitio web y un nuevo folleto de presentación, </w:t>
      </w:r>
      <w:r w:rsidRPr="00A34388">
        <w:rPr>
          <w:rFonts w:eastAsia="SimSun" w:cs="Arial"/>
          <w:i/>
          <w:iCs/>
          <w:szCs w:val="20"/>
          <w:lang w:val="es-ES_tradnl" w:eastAsia="zh-CN"/>
        </w:rPr>
        <w:t xml:space="preserve">OMPI – La P.I. en beneficio de todos, </w:t>
      </w:r>
      <w:r w:rsidRPr="00A34388">
        <w:rPr>
          <w:rFonts w:eastAsia="SimSun" w:cs="Arial"/>
          <w:iCs/>
          <w:szCs w:val="20"/>
          <w:lang w:val="es-ES_tradnl" w:eastAsia="zh-CN"/>
        </w:rPr>
        <w:t>como ejemplos de nuestra imagen institucional</w:t>
      </w:r>
      <w:r w:rsidRPr="00A34388">
        <w:rPr>
          <w:rFonts w:eastAsia="SimSun" w:cs="Arial"/>
          <w:szCs w:val="20"/>
          <w:lang w:val="es-ES_tradnl" w:eastAsia="zh-CN"/>
        </w:rPr>
        <w:t>.</w:t>
      </w:r>
    </w:p>
    <w:p w:rsidR="00C4782F" w:rsidRPr="00A34388" w:rsidRDefault="00C4782F" w:rsidP="00C4782F">
      <w:pPr>
        <w:autoSpaceDE w:val="0"/>
        <w:autoSpaceDN w:val="0"/>
        <w:adjustRightInd w:val="0"/>
        <w:jc w:val="both"/>
        <w:rPr>
          <w:rFonts w:eastAsia="SimSun" w:cs="Arial"/>
          <w:i/>
          <w:iCs/>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A34388">
        <w:rPr>
          <w:rFonts w:eastAsia="SimSun" w:cs="Arial"/>
          <w:i/>
          <w:szCs w:val="20"/>
          <w:lang w:val="es-ES_tradnl" w:eastAsia="zh-CN"/>
        </w:rPr>
        <w:t>Comunicaciones internas.</w:t>
      </w:r>
      <w:r w:rsidRPr="00A34388">
        <w:rPr>
          <w:rFonts w:eastAsia="SimSun" w:cs="Arial"/>
          <w:szCs w:val="20"/>
          <w:lang w:val="es-ES_tradnl" w:eastAsia="zh-CN"/>
        </w:rPr>
        <w:t xml:space="preserve">  En el </w:t>
      </w:r>
      <w:r w:rsidR="002B56D9" w:rsidRPr="00A34388">
        <w:rPr>
          <w:rFonts w:eastAsia="SimSun" w:cs="Arial"/>
          <w:szCs w:val="20"/>
          <w:lang w:val="es-ES_tradnl" w:eastAsia="zh-CN"/>
        </w:rPr>
        <w:t xml:space="preserve">marco </w:t>
      </w:r>
      <w:r w:rsidRPr="00A34388">
        <w:rPr>
          <w:rFonts w:eastAsia="SimSun" w:cs="Arial"/>
          <w:szCs w:val="20"/>
          <w:lang w:val="es-ES_tradnl" w:eastAsia="zh-CN"/>
        </w:rPr>
        <w:t>del PAE</w:t>
      </w:r>
      <w:r w:rsidR="002B56D9">
        <w:rPr>
          <w:rFonts w:eastAsia="SimSun" w:cs="Arial"/>
          <w:szCs w:val="20"/>
          <w:lang w:val="es-ES_tradnl" w:eastAsia="zh-CN"/>
        </w:rPr>
        <w:t xml:space="preserve"> </w:t>
      </w:r>
      <w:r w:rsidR="002B56D9" w:rsidRPr="00A34388">
        <w:rPr>
          <w:rFonts w:eastAsia="SimSun" w:cs="Arial"/>
          <w:szCs w:val="20"/>
          <w:lang w:val="es-ES_tradnl" w:eastAsia="zh-CN"/>
        </w:rPr>
        <w:t>(y más allá)</w:t>
      </w:r>
      <w:r w:rsidRPr="00A34388">
        <w:rPr>
          <w:rFonts w:eastAsia="SimSun" w:cs="Arial"/>
          <w:szCs w:val="20"/>
          <w:lang w:val="es-ES_tradnl" w:eastAsia="zh-CN"/>
        </w:rPr>
        <w:t xml:space="preserve">, el programa tuvo como efecto la aplicación de recomendaciones clave elaboradas sobre la base de comentarios de los empleados y destinadas a mejorar las comunicaciones internas en la OMPI.  Las medidas en este ámbito se centraron, en primer lugar, en concretar mecanismos para contribuir a la superación de la cultura de compartimentos estancos y fomentar una comunicación horizontal informal;  y en segundo lugar, en reforzar la comunicación vertical directa entre la </w:t>
      </w:r>
      <w:r w:rsidR="00C43D91" w:rsidRPr="00A34388">
        <w:rPr>
          <w:rFonts w:eastAsia="SimSun" w:cs="Arial"/>
          <w:szCs w:val="20"/>
          <w:lang w:val="es-ES_tradnl" w:eastAsia="zh-CN"/>
        </w:rPr>
        <w:t xml:space="preserve">administración </w:t>
      </w:r>
      <w:r w:rsidRPr="00A34388">
        <w:rPr>
          <w:rFonts w:eastAsia="SimSun" w:cs="Arial"/>
          <w:szCs w:val="20"/>
          <w:lang w:val="es-ES_tradnl" w:eastAsia="zh-CN"/>
        </w:rPr>
        <w:t>y los empleados de todos los niveles.  De acuerdo con una encuesta realizada entre el personal, el 75% de los entrevistados opinaron que el programa mensual “Novedades” marca una diferencia importante, en sentido positivo, en las comunicaciones internas.  La encuesta sobre las prioridades centrales de 2012 mostró igualmente un aumento del 50% en el porcentaje de empleados que creen que la Organización se comunica con ellos de manera eficaz.</w:t>
      </w:r>
    </w:p>
    <w:p w:rsidR="00C4782F" w:rsidRPr="00A34388" w:rsidRDefault="00C4782F" w:rsidP="00C4782F">
      <w:pPr>
        <w:autoSpaceDE w:val="0"/>
        <w:autoSpaceDN w:val="0"/>
        <w:adjustRightInd w:val="0"/>
        <w:jc w:val="bot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s="Arial"/>
          <w:szCs w:val="20"/>
          <w:lang w:val="es-ES_tradnl" w:eastAsia="zh-CN"/>
        </w:rPr>
      </w:pPr>
      <w:r w:rsidRPr="008F626D">
        <w:rPr>
          <w:rFonts w:eastAsia="SimSun" w:cs="Arial"/>
          <w:i/>
          <w:szCs w:val="20"/>
          <w:lang w:val="es-ES_tradnl" w:eastAsia="zh-CN"/>
        </w:rPr>
        <w:t>Cultura orientada hacia el servicio</w:t>
      </w:r>
      <w:r w:rsidRPr="008F626D">
        <w:rPr>
          <w:rFonts w:eastAsia="SimSun" w:cs="Arial"/>
          <w:szCs w:val="20"/>
          <w:lang w:val="es-ES_tradnl" w:eastAsia="zh-CN"/>
        </w:rPr>
        <w:t xml:space="preserve">.  Se puso en marcha un programa de formación </w:t>
      </w:r>
      <w:r w:rsidR="00C43D91" w:rsidRPr="008F626D">
        <w:rPr>
          <w:rFonts w:eastAsia="SimSun" w:cs="Arial"/>
          <w:szCs w:val="20"/>
          <w:lang w:val="es-ES_tradnl" w:eastAsia="zh-CN"/>
        </w:rPr>
        <w:t xml:space="preserve">dirigido a </w:t>
      </w:r>
      <w:r w:rsidRPr="00A34388">
        <w:rPr>
          <w:rFonts w:eastAsia="SimSun" w:cs="Arial"/>
          <w:szCs w:val="20"/>
          <w:lang w:val="es-ES_tradnl" w:eastAsia="zh-CN"/>
        </w:rPr>
        <w:t xml:space="preserve">alrededor de 500 empleados destinado a mejorar la orientación de la OMPI hacia el servicio, incluida la </w:t>
      </w:r>
      <w:r w:rsidRPr="00A34388">
        <w:rPr>
          <w:rFonts w:eastAsia="SimSun" w:cs="Arial"/>
          <w:szCs w:val="20"/>
          <w:lang w:val="es-ES_tradnl" w:eastAsia="zh-CN"/>
        </w:rPr>
        <w:lastRenderedPageBreak/>
        <w:t xml:space="preserve">capacidad de respuesta en la gestión de consultas </w:t>
      </w:r>
      <w:r w:rsidR="002B56D9">
        <w:rPr>
          <w:rFonts w:eastAsia="SimSun" w:cs="Arial"/>
          <w:szCs w:val="20"/>
          <w:lang w:val="es-ES_tradnl" w:eastAsia="zh-CN"/>
        </w:rPr>
        <w:t>por</w:t>
      </w:r>
      <w:r w:rsidRPr="00A34388">
        <w:rPr>
          <w:rFonts w:eastAsia="SimSun" w:cs="Arial"/>
          <w:szCs w:val="20"/>
          <w:lang w:val="es-ES_tradnl" w:eastAsia="zh-CN"/>
        </w:rPr>
        <w:t xml:space="preserve"> teléfono, Internet y correo electrónico.  Se facilitaron a los equipos estadísticas mensuales sobre su índice de respuesta a las llamadas telefónicas.  </w:t>
      </w:r>
      <w:r w:rsidR="00C43D91" w:rsidRPr="00A34388">
        <w:rPr>
          <w:rFonts w:eastAsia="SimSun" w:cs="Arial"/>
          <w:szCs w:val="20"/>
          <w:lang w:val="es-ES_tradnl" w:eastAsia="zh-CN"/>
        </w:rPr>
        <w:t xml:space="preserve">También se </w:t>
      </w:r>
      <w:r w:rsidR="007F2148" w:rsidRPr="00A34388">
        <w:rPr>
          <w:rFonts w:eastAsia="SimSun" w:cs="Arial"/>
          <w:szCs w:val="20"/>
          <w:lang w:val="es-ES_tradnl" w:eastAsia="zh-CN"/>
        </w:rPr>
        <w:t>proporcionaron</w:t>
      </w:r>
      <w:r w:rsidR="00C43D91" w:rsidRPr="00A34388">
        <w:rPr>
          <w:rFonts w:eastAsia="SimSun" w:cs="Arial"/>
          <w:szCs w:val="20"/>
          <w:lang w:val="es-ES_tradnl" w:eastAsia="zh-CN"/>
        </w:rPr>
        <w:t xml:space="preserve"> </w:t>
      </w:r>
      <w:r w:rsidRPr="00A34388">
        <w:rPr>
          <w:rFonts w:eastAsia="SimSun" w:cs="Arial"/>
          <w:szCs w:val="20"/>
          <w:lang w:val="es-ES_tradnl" w:eastAsia="zh-CN"/>
        </w:rPr>
        <w:t xml:space="preserve">herramientas prácticas para ayudar a mejorar </w:t>
      </w:r>
      <w:r w:rsidR="00C43D91" w:rsidRPr="00A34388">
        <w:rPr>
          <w:rFonts w:eastAsia="SimSun" w:cs="Arial"/>
          <w:szCs w:val="20"/>
          <w:lang w:val="es-ES_tradnl" w:eastAsia="zh-CN"/>
        </w:rPr>
        <w:t>el desempeño</w:t>
      </w:r>
      <w:r w:rsidRPr="00A34388">
        <w:rPr>
          <w:rFonts w:eastAsia="SimSun" w:cs="Arial"/>
          <w:szCs w:val="20"/>
          <w:lang w:val="es-ES_tradnl" w:eastAsia="zh-CN"/>
        </w:rPr>
        <w:t xml:space="preserve">, y se optimizaron las configuraciones telefónicas de 22 equipos de atención al cliente para mejorar el seguimiento del servicio.  Se elaboró una “netiqueta” (o conjunto de reglas de comportamiento en la Red) para utilizar en los correos electrónicos de la OMPI.  </w:t>
      </w:r>
      <w:r w:rsidR="002B56D9">
        <w:rPr>
          <w:rFonts w:eastAsia="SimSun" w:cs="Arial"/>
          <w:szCs w:val="20"/>
          <w:lang w:val="es-ES_tradnl" w:eastAsia="zh-CN"/>
        </w:rPr>
        <w:t xml:space="preserve">Otros </w:t>
      </w:r>
      <w:r w:rsidR="002B56D9" w:rsidRPr="00A34388">
        <w:rPr>
          <w:rFonts w:eastAsia="SimSun" w:cs="Arial"/>
          <w:szCs w:val="20"/>
          <w:lang w:val="es-ES_tradnl" w:eastAsia="zh-CN"/>
        </w:rPr>
        <w:t xml:space="preserve">cinco </w:t>
      </w:r>
      <w:r w:rsidRPr="00A34388">
        <w:rPr>
          <w:rFonts w:eastAsia="SimSun" w:cs="Arial"/>
          <w:szCs w:val="20"/>
          <w:lang w:val="es-ES_tradnl" w:eastAsia="zh-CN"/>
        </w:rPr>
        <w:t xml:space="preserve">servicios de la Organización se adhirieron al sistema “WINS” de identificación y seguimiento de consultas.  En 2012, se puso en marcha un servicio de atención accesible las 24 horas del día que deriva a las oficinas externas de la OMPI las consultas realizadas fuera del horario de atención al público.  </w:t>
      </w:r>
      <w:r w:rsidRPr="00332758">
        <w:rPr>
          <w:rFonts w:eastAsia="SimSun" w:cs="Arial"/>
          <w:szCs w:val="20"/>
          <w:lang w:val="es-ES_tradnl" w:eastAsia="zh-CN"/>
        </w:rPr>
        <w:t>La primera encuesta realizada por la Organización para medir el grado de satisfacción de los clientes externos con respecto a la prestación de servicios de la OMPI recurrió a una nueva metodología para evaluar los índices de satisfacción entre los clientes de Madrid, La Haya y Finanzas, y generó valores de referencia reales para muchos indicadores.  Los efectos positivos del programa de servicio al cliente pudieron constatarse en los resultados de las encuestas externas, en el aumento de las tasas de respuesta por vía telefónica y en la reducción del número de quejas recibidas con relación al servicio.</w:t>
      </w:r>
      <w:r w:rsidRPr="00A34388">
        <w:rPr>
          <w:rFonts w:eastAsia="SimSun" w:cs="Arial"/>
          <w:szCs w:val="20"/>
          <w:lang w:val="es-ES_tradnl" w:eastAsia="zh-CN"/>
        </w:rPr>
        <w:t xml:space="preserve">  </w:t>
      </w:r>
      <w:r w:rsidR="00C43D91" w:rsidRPr="00A34388">
        <w:rPr>
          <w:rFonts w:eastAsia="SimSun" w:cs="Arial"/>
          <w:szCs w:val="20"/>
          <w:lang w:val="es-ES_tradnl" w:eastAsia="zh-CN"/>
        </w:rPr>
        <w:t>Con un incremento del 53% en 2011 al 61% en 2012 de la percepción positiva que el personal tiene de la orientación hacia el servicio de la OMPI, l</w:t>
      </w:r>
      <w:r w:rsidRPr="00A34388">
        <w:rPr>
          <w:rFonts w:eastAsia="SimSun" w:cs="Arial"/>
          <w:szCs w:val="20"/>
          <w:lang w:val="es-ES_tradnl" w:eastAsia="zh-CN"/>
        </w:rPr>
        <w:t xml:space="preserve">as encuestas sobre las prioridades centrales del PAE </w:t>
      </w:r>
      <w:r w:rsidR="00C43D91" w:rsidRPr="00A34388">
        <w:rPr>
          <w:rFonts w:eastAsia="SimSun" w:cs="Arial"/>
          <w:szCs w:val="20"/>
          <w:lang w:val="es-ES_tradnl" w:eastAsia="zh-CN"/>
        </w:rPr>
        <w:t xml:space="preserve">han puesto de relieve </w:t>
      </w:r>
      <w:r w:rsidRPr="00A34388">
        <w:rPr>
          <w:rFonts w:eastAsia="SimSun" w:cs="Arial"/>
          <w:szCs w:val="20"/>
          <w:lang w:val="es-ES_tradnl" w:eastAsia="zh-CN"/>
        </w:rPr>
        <w:t xml:space="preserve">que </w:t>
      </w:r>
      <w:r w:rsidR="00C43D91" w:rsidRPr="00A34388">
        <w:rPr>
          <w:rFonts w:eastAsia="SimSun" w:cs="Arial"/>
          <w:szCs w:val="20"/>
          <w:lang w:val="es-ES_tradnl" w:eastAsia="zh-CN"/>
        </w:rPr>
        <w:t xml:space="preserve">el </w:t>
      </w:r>
      <w:r w:rsidRPr="00A34388">
        <w:rPr>
          <w:rFonts w:eastAsia="SimSun" w:cs="Arial"/>
          <w:szCs w:val="20"/>
          <w:lang w:val="es-ES_tradnl" w:eastAsia="zh-CN"/>
        </w:rPr>
        <w:t xml:space="preserve">cambio cultural </w:t>
      </w:r>
      <w:r w:rsidR="00C43D91" w:rsidRPr="00A34388">
        <w:rPr>
          <w:rFonts w:eastAsia="SimSun" w:cs="Arial"/>
          <w:szCs w:val="20"/>
          <w:lang w:val="es-ES_tradnl" w:eastAsia="zh-CN"/>
        </w:rPr>
        <w:t>puesto en marcha es sólido</w:t>
      </w:r>
      <w:r w:rsidRPr="00A34388">
        <w:rPr>
          <w:rFonts w:eastAsia="SimSun" w:cs="Arial"/>
          <w:szCs w:val="20"/>
          <w:lang w:val="es-ES_tradnl" w:eastAsia="zh-CN"/>
        </w:rPr>
        <w:t xml:space="preserve">. </w:t>
      </w:r>
    </w:p>
    <w:p w:rsidR="00C4782F" w:rsidRPr="00A34388" w:rsidRDefault="00C4782F" w:rsidP="00C4782F">
      <w:pPr>
        <w:autoSpaceDE w:val="0"/>
        <w:autoSpaceDN w:val="0"/>
        <w:adjustRightInd w:val="0"/>
        <w:rPr>
          <w:rFonts w:eastAsia="SimSun"/>
          <w:i/>
          <w:iCs/>
          <w:sz w:val="22"/>
          <w:szCs w:val="22"/>
          <w:lang w:val="es-ES_tradnl" w:eastAsia="zh-CN"/>
        </w:rPr>
      </w:pPr>
    </w:p>
    <w:p w:rsidR="00C4782F" w:rsidRPr="00A34388" w:rsidRDefault="00C4782F" w:rsidP="00C4782F">
      <w:pPr>
        <w:keepNext/>
        <w:keepLines/>
        <w:jc w:val="both"/>
        <w:rPr>
          <w:rFonts w:eastAsia="SimSun" w:cs="Arial"/>
          <w:sz w:val="22"/>
          <w:szCs w:val="22"/>
          <w:lang w:val="es-ES_tradnl" w:eastAsia="zh-CN"/>
        </w:rPr>
      </w:pPr>
      <w:r w:rsidRPr="00332758">
        <w:rPr>
          <w:rFonts w:eastAsia="SimSun" w:cs="Arial"/>
          <w:sz w:val="22"/>
          <w:szCs w:val="22"/>
          <w:lang w:val="es-ES_tradnl" w:eastAsia="zh-CN"/>
        </w:rPr>
        <w:t>APLICACIÓN DE LA AGENDA PARA EL DESARROLLO</w:t>
      </w:r>
      <w:r w:rsidRPr="00A34388">
        <w:rPr>
          <w:rFonts w:eastAsia="SimSun" w:cs="Arial"/>
          <w:sz w:val="22"/>
          <w:szCs w:val="22"/>
          <w:lang w:val="es-ES_tradnl" w:eastAsia="zh-CN"/>
        </w:rPr>
        <w:t xml:space="preserve"> </w:t>
      </w:r>
    </w:p>
    <w:p w:rsidR="00C4782F" w:rsidRPr="00A34388" w:rsidRDefault="00C4782F" w:rsidP="00C4782F">
      <w:pPr>
        <w:keepNext/>
        <w:keepLines/>
        <w:jc w:val="both"/>
        <w:rPr>
          <w:rFonts w:eastAsia="SimSun" w:cs="Arial"/>
          <w:sz w:val="16"/>
          <w:szCs w:val="16"/>
          <w:lang w:val="es-ES_tradnl" w:eastAsia="zh-CN"/>
        </w:rPr>
      </w:pPr>
    </w:p>
    <w:p w:rsidR="00C4782F" w:rsidRPr="00A34388" w:rsidRDefault="00C4782F" w:rsidP="00C4782F">
      <w:pPr>
        <w:numPr>
          <w:ilvl w:val="0"/>
          <w:numId w:val="51"/>
        </w:numPr>
        <w:autoSpaceDE w:val="0"/>
        <w:autoSpaceDN w:val="0"/>
        <w:adjustRightInd w:val="0"/>
        <w:jc w:val="both"/>
        <w:rPr>
          <w:rFonts w:eastAsia="SimSun"/>
          <w:color w:val="000000"/>
          <w:szCs w:val="20"/>
          <w:lang w:val="es-ES_tradnl" w:eastAsia="zh-CN"/>
        </w:rPr>
      </w:pPr>
      <w:r w:rsidRPr="00332758">
        <w:rPr>
          <w:rFonts w:eastAsia="SimSun" w:cs="Arial"/>
          <w:szCs w:val="20"/>
          <w:lang w:val="es-ES_tradnl" w:eastAsia="zh-CN"/>
        </w:rPr>
        <w:t>El diseño, la planificación y la ejecución de las actividades del programa 19 se basaron en las recomendaciones pertinentes de la Agenda para el Desarrollo.</w:t>
      </w:r>
      <w:r w:rsidRPr="00A34388">
        <w:rPr>
          <w:rFonts w:eastAsia="SimSun" w:cs="Arial"/>
          <w:szCs w:val="20"/>
          <w:lang w:val="es-ES_tradnl" w:eastAsia="zh-CN"/>
        </w:rPr>
        <w:t xml:space="preserve">  </w:t>
      </w:r>
      <w:r w:rsidRPr="00332758">
        <w:rPr>
          <w:rFonts w:eastAsia="SimSun" w:cs="Arial"/>
          <w:szCs w:val="20"/>
          <w:lang w:val="es-ES_tradnl" w:eastAsia="zh-CN"/>
        </w:rPr>
        <w:t>Se diseñaron actividades específicamente destinadas a mejorar el grado de sensibilización en los países en desarrollo y los PMA acerca de la importancia y las ventajas que entraña el sistema de derechos de propiedad intelectual.</w:t>
      </w:r>
      <w:r w:rsidRPr="00A34388">
        <w:rPr>
          <w:rFonts w:eastAsia="SimSun" w:cs="Arial"/>
          <w:szCs w:val="20"/>
          <w:lang w:val="es-ES_tradnl" w:eastAsia="zh-CN"/>
        </w:rPr>
        <w:t xml:space="preserve">  El programa 19 siguió ampliando la base de datos de casos prácticos IP Advantage (una iniciativa de la Agenda para el Desarrollo respaldada por el CDIP), que atrajo más de 312.000 visitas en 2012/13 y que facilitó apoyo a las comunicaciones (editoriales, diseño, video, internet y otras) relacionadas con numerosos productos derivados de la Agenda para el Desarrollo y con los resultados obtenidos gracias a otros programas de la Organización.</w:t>
      </w:r>
    </w:p>
    <w:p w:rsidR="00C4782F" w:rsidRPr="00A34388" w:rsidRDefault="00C4782F" w:rsidP="00C4782F">
      <w:pPr>
        <w:rPr>
          <w:rFonts w:cs="Arial"/>
          <w:sz w:val="22"/>
          <w:szCs w:val="22"/>
          <w:lang w:val="es-ES_tradnl"/>
        </w:rPr>
      </w:pPr>
    </w:p>
    <w:p w:rsidR="00C4782F" w:rsidRPr="00A34388" w:rsidRDefault="00C4782F" w:rsidP="00C4782F">
      <w:pPr>
        <w:rPr>
          <w:rFonts w:cs="Arial"/>
          <w:sz w:val="22"/>
          <w:szCs w:val="22"/>
          <w:lang w:val="es-ES_tradnl"/>
        </w:rPr>
      </w:pPr>
    </w:p>
    <w:p w:rsidR="00C4782F" w:rsidRPr="00A34388" w:rsidRDefault="00C4782F" w:rsidP="00C4782F">
      <w:pPr>
        <w:rPr>
          <w:rFonts w:cs="Arial"/>
          <w:sz w:val="22"/>
          <w:szCs w:val="22"/>
          <w:lang w:val="es-ES_tradnl"/>
        </w:rPr>
      </w:pPr>
      <w:r w:rsidRPr="00332758">
        <w:rPr>
          <w:rFonts w:cs="Arial"/>
          <w:sz w:val="22"/>
          <w:szCs w:val="22"/>
          <w:lang w:val="es-ES_tradnl"/>
        </w:rPr>
        <w:t>DATOS SOBRE EL RENDIMIENTO</w:t>
      </w:r>
    </w:p>
    <w:p w:rsidR="00C4782F" w:rsidRPr="00A34388" w:rsidRDefault="00C4782F" w:rsidP="00C4782F">
      <w:pPr>
        <w:rPr>
          <w:rFonts w:cs="Arial"/>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2835"/>
        <w:gridCol w:w="1134"/>
        <w:gridCol w:w="2551"/>
        <w:gridCol w:w="1276"/>
      </w:tblGrid>
      <w:tr w:rsidR="00C4782F" w:rsidRPr="00A9508D" w:rsidTr="006F0C07">
        <w:trPr>
          <w:trHeight w:val="435"/>
        </w:trPr>
        <w:tc>
          <w:tcPr>
            <w:tcW w:w="5000" w:type="pct"/>
            <w:gridSpan w:val="5"/>
            <w:tcBorders>
              <w:top w:val="single" w:sz="4" w:space="0" w:color="auto"/>
              <w:bottom w:val="single" w:sz="4" w:space="0" w:color="auto"/>
            </w:tcBorders>
            <w:shd w:val="clear" w:color="auto" w:fill="CCFFFF"/>
            <w:vAlign w:val="center"/>
          </w:tcPr>
          <w:p w:rsidR="00C4782F" w:rsidRPr="00332758" w:rsidRDefault="00C4782F" w:rsidP="006F0C07">
            <w:pPr>
              <w:keepNext/>
              <w:keepLines/>
              <w:tabs>
                <w:tab w:val="left" w:pos="1452"/>
              </w:tabs>
              <w:spacing w:before="120" w:after="120"/>
              <w:ind w:left="1452" w:hanging="1452"/>
              <w:rPr>
                <w:rFonts w:cs="Arial"/>
                <w:bCs/>
                <w:sz w:val="16"/>
                <w:szCs w:val="16"/>
                <w:lang w:val="es-ES_tradnl"/>
              </w:rPr>
            </w:pPr>
            <w:r w:rsidRPr="00332758">
              <w:rPr>
                <w:rFonts w:cs="Arial"/>
                <w:b/>
                <w:bCs/>
                <w:sz w:val="16"/>
                <w:szCs w:val="16"/>
                <w:lang w:val="es-ES_tradnl"/>
              </w:rPr>
              <w:t>Resultado previsto:</w:t>
            </w:r>
            <w:r w:rsidRPr="00332758">
              <w:rPr>
                <w:rFonts w:cs="Arial"/>
                <w:b/>
                <w:bCs/>
                <w:sz w:val="16"/>
                <w:szCs w:val="16"/>
                <w:lang w:val="es-ES_tradnl"/>
              </w:rPr>
              <w:tab/>
            </w:r>
            <w:r w:rsidRPr="00332758">
              <w:rPr>
                <w:rFonts w:cs="Arial"/>
                <w:bCs/>
                <w:sz w:val="16"/>
                <w:szCs w:val="16"/>
                <w:lang w:val="es-ES_tradnl"/>
              </w:rPr>
              <w:t>Comunicación más eficaz con el público en general acerca de la P.I. y la función de la OMPI.</w:t>
            </w:r>
          </w:p>
        </w:tc>
      </w:tr>
      <w:tr w:rsidR="00C4782F" w:rsidRPr="00A34388" w:rsidTr="006F0C07">
        <w:tc>
          <w:tcPr>
            <w:tcW w:w="834" w:type="pct"/>
            <w:tcBorders>
              <w:top w:val="single" w:sz="4" w:space="0" w:color="auto"/>
            </w:tcBorders>
            <w:vAlign w:val="center"/>
          </w:tcPr>
          <w:p w:rsidR="00C4782F" w:rsidRPr="00A34388" w:rsidRDefault="00C4782F" w:rsidP="006F0C07">
            <w:pPr>
              <w:rPr>
                <w:rFonts w:cs="Arial"/>
                <w:color w:val="808080"/>
                <w:sz w:val="16"/>
                <w:szCs w:val="16"/>
                <w:lang w:val="es-ES_tradnl"/>
              </w:rPr>
            </w:pPr>
            <w:r w:rsidRPr="00332758">
              <w:rPr>
                <w:rFonts w:cs="Arial"/>
                <w:b/>
                <w:sz w:val="16"/>
                <w:szCs w:val="16"/>
                <w:lang w:val="es-ES_tradnl"/>
              </w:rPr>
              <w:t>Indicadores de rendimiento</w:t>
            </w:r>
          </w:p>
        </w:tc>
        <w:tc>
          <w:tcPr>
            <w:tcW w:w="1515" w:type="pct"/>
            <w:tcBorders>
              <w:top w:val="single" w:sz="4" w:space="0" w:color="auto"/>
            </w:tcBorders>
            <w:shd w:val="clear" w:color="auto" w:fill="auto"/>
            <w:vAlign w:val="center"/>
          </w:tcPr>
          <w:p w:rsidR="00C4782F" w:rsidRPr="00A34388" w:rsidRDefault="00C4782F" w:rsidP="006F0C07">
            <w:pPr>
              <w:rPr>
                <w:rFonts w:cs="Arial"/>
                <w:b/>
                <w:bCs/>
                <w:color w:val="808080"/>
                <w:sz w:val="16"/>
                <w:szCs w:val="16"/>
                <w:lang w:val="es-ES_tradnl"/>
              </w:rPr>
            </w:pPr>
            <w:r w:rsidRPr="00332758">
              <w:rPr>
                <w:rFonts w:cs="Arial"/>
                <w:b/>
                <w:bCs/>
                <w:sz w:val="16"/>
                <w:szCs w:val="16"/>
                <w:lang w:val="es-ES_tradnl"/>
              </w:rPr>
              <w:t>Referencia</w:t>
            </w:r>
          </w:p>
        </w:tc>
        <w:tc>
          <w:tcPr>
            <w:tcW w:w="606" w:type="pct"/>
            <w:tcBorders>
              <w:top w:val="single" w:sz="4" w:space="0" w:color="auto"/>
            </w:tcBorders>
            <w:tcMar>
              <w:top w:w="110" w:type="dxa"/>
            </w:tcMar>
            <w:vAlign w:val="center"/>
          </w:tcPr>
          <w:p w:rsidR="00C4782F" w:rsidRPr="00A34388" w:rsidRDefault="00C4782F" w:rsidP="006F0C07">
            <w:pPr>
              <w:rPr>
                <w:rFonts w:cs="Arial"/>
                <w:b/>
                <w:bCs/>
                <w:color w:val="808080"/>
                <w:sz w:val="16"/>
                <w:szCs w:val="16"/>
                <w:lang w:val="es-ES_tradnl"/>
              </w:rPr>
            </w:pPr>
            <w:r w:rsidRPr="00332758">
              <w:rPr>
                <w:rFonts w:cs="Arial"/>
                <w:b/>
                <w:bCs/>
                <w:sz w:val="16"/>
                <w:szCs w:val="16"/>
                <w:lang w:val="es-ES_tradnl"/>
              </w:rPr>
              <w:t>Objetivos</w:t>
            </w:r>
          </w:p>
        </w:tc>
        <w:tc>
          <w:tcPr>
            <w:tcW w:w="1363" w:type="pct"/>
            <w:tcBorders>
              <w:top w:val="single" w:sz="4" w:space="0" w:color="auto"/>
            </w:tcBorders>
            <w:shd w:val="clear" w:color="auto" w:fill="FFFFFF"/>
            <w:tcMar>
              <w:top w:w="110" w:type="dxa"/>
            </w:tcMar>
            <w:vAlign w:val="center"/>
          </w:tcPr>
          <w:p w:rsidR="00C4782F" w:rsidRPr="00A34388" w:rsidRDefault="00C4782F" w:rsidP="006F0C07">
            <w:pPr>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tcBorders>
            <w:tcMar>
              <w:top w:w="110" w:type="dxa"/>
            </w:tcMar>
            <w:vAlign w:val="center"/>
          </w:tcPr>
          <w:p w:rsidR="00C4782F" w:rsidRPr="00332758" w:rsidRDefault="00C4782F" w:rsidP="006F0C07">
            <w:pPr>
              <w:keepNext/>
              <w:keepLines/>
              <w:jc w:val="center"/>
              <w:rPr>
                <w:rFonts w:cs="Arial"/>
                <w:b/>
                <w:bCs/>
                <w:sz w:val="16"/>
                <w:szCs w:val="16"/>
                <w:lang w:val="es-ES_tradnl"/>
              </w:rPr>
            </w:pPr>
            <w:r w:rsidRPr="00332758">
              <w:rPr>
                <w:rFonts w:cs="Arial"/>
                <w:b/>
                <w:bCs/>
                <w:sz w:val="16"/>
                <w:szCs w:val="16"/>
                <w:lang w:val="es-ES_tradnl"/>
              </w:rPr>
              <w:t>Clave de colores</w:t>
            </w:r>
          </w:p>
        </w:tc>
      </w:tr>
      <w:tr w:rsidR="00C4782F" w:rsidRPr="00A34388" w:rsidTr="006F0C07">
        <w:tc>
          <w:tcPr>
            <w:tcW w:w="834" w:type="pct"/>
          </w:tcPr>
          <w:p w:rsidR="00C4782F" w:rsidRPr="00A34388" w:rsidRDefault="00C4782F" w:rsidP="006F0C07">
            <w:pPr>
              <w:keepNext/>
              <w:rPr>
                <w:rFonts w:cs="Arial"/>
                <w:sz w:val="16"/>
                <w:szCs w:val="16"/>
                <w:lang w:val="es-ES_tradnl"/>
              </w:rPr>
            </w:pPr>
            <w:r w:rsidRPr="00332758">
              <w:rPr>
                <w:rFonts w:cs="Arial"/>
                <w:sz w:val="16"/>
                <w:szCs w:val="16"/>
                <w:lang w:val="es-ES_tradnl"/>
              </w:rPr>
              <w:t>Número de artículos de prensa sobre la labor de la OMPI.</w:t>
            </w:r>
          </w:p>
        </w:tc>
        <w:tc>
          <w:tcPr>
            <w:tcW w:w="1515" w:type="pct"/>
            <w:shd w:val="clear" w:color="auto" w:fill="auto"/>
          </w:tcPr>
          <w:p w:rsidR="00C4782F" w:rsidRPr="00A34388" w:rsidRDefault="00C4782F" w:rsidP="006F0C07">
            <w:pPr>
              <w:keepNext/>
              <w:rPr>
                <w:rFonts w:cs="Arial"/>
                <w:i/>
                <w:color w:val="002060"/>
                <w:sz w:val="16"/>
                <w:szCs w:val="16"/>
                <w:lang w:val="es-ES_tradnl"/>
              </w:rPr>
            </w:pPr>
            <w:r w:rsidRPr="00A34388">
              <w:rPr>
                <w:rFonts w:cs="Arial"/>
                <w:i/>
                <w:color w:val="002060"/>
                <w:sz w:val="16"/>
                <w:szCs w:val="16"/>
                <w:lang w:val="es-ES_tradnl"/>
              </w:rPr>
              <w:t xml:space="preserve">Referencia actualizada a </w:t>
            </w:r>
            <w:r w:rsidR="00293A53" w:rsidRPr="00A34388">
              <w:rPr>
                <w:rFonts w:cs="Arial"/>
                <w:i/>
                <w:color w:val="002060"/>
                <w:sz w:val="16"/>
                <w:szCs w:val="16"/>
                <w:lang w:val="es-ES_tradnl"/>
              </w:rPr>
              <w:t xml:space="preserve">fines </w:t>
            </w:r>
            <w:r w:rsidRPr="00A34388">
              <w:rPr>
                <w:rFonts w:cs="Arial"/>
                <w:i/>
                <w:color w:val="002060"/>
                <w:sz w:val="16"/>
                <w:szCs w:val="16"/>
                <w:lang w:val="es-ES_tradnl"/>
              </w:rPr>
              <w:t>de 2011:  7</w:t>
            </w:r>
            <w:r w:rsidR="00293A53" w:rsidRPr="00A34388">
              <w:rPr>
                <w:rFonts w:cs="Arial"/>
                <w:i/>
                <w:color w:val="002060"/>
                <w:sz w:val="16"/>
                <w:szCs w:val="16"/>
                <w:lang w:val="es-ES_tradnl"/>
              </w:rPr>
              <w:t>.</w:t>
            </w:r>
            <w:r w:rsidRPr="00A34388">
              <w:rPr>
                <w:rFonts w:cs="Arial"/>
                <w:i/>
                <w:color w:val="002060"/>
                <w:sz w:val="16"/>
                <w:szCs w:val="16"/>
                <w:lang w:val="es-ES_tradnl"/>
              </w:rPr>
              <w:t>423  (2010-2011</w:t>
            </w:r>
            <w:r w:rsidRPr="00A34388">
              <w:rPr>
                <w:rFonts w:cs="Arial"/>
                <w:color w:val="002060"/>
                <w:sz w:val="16"/>
                <w:szCs w:val="16"/>
                <w:lang w:val="es-ES_tradnl"/>
              </w:rPr>
              <w:t>)</w:t>
            </w:r>
          </w:p>
          <w:p w:rsidR="00C4782F" w:rsidRPr="00A34388" w:rsidRDefault="00C4782F" w:rsidP="006F0C07">
            <w:pPr>
              <w:keepNext/>
              <w:rPr>
                <w:rFonts w:cs="Arial"/>
                <w:i/>
                <w:color w:val="002060"/>
                <w:sz w:val="8"/>
                <w:szCs w:val="8"/>
                <w:lang w:val="es-ES_tradnl"/>
              </w:rPr>
            </w:pPr>
          </w:p>
          <w:p w:rsidR="00C4782F" w:rsidRPr="00A34388" w:rsidRDefault="00C4782F" w:rsidP="006F0C07">
            <w:pPr>
              <w:keepNext/>
              <w:rPr>
                <w:rFonts w:cs="Arial"/>
                <w:sz w:val="16"/>
                <w:szCs w:val="16"/>
                <w:lang w:val="es-ES_tradnl"/>
              </w:rPr>
            </w:pPr>
            <w:r w:rsidRPr="00A34388">
              <w:rPr>
                <w:rFonts w:cs="Arial"/>
                <w:i/>
                <w:sz w:val="16"/>
                <w:szCs w:val="16"/>
                <w:lang w:val="es-ES_tradnl"/>
              </w:rPr>
              <w:t>Referencia original:</w:t>
            </w:r>
            <w:r w:rsidR="007E4D96" w:rsidRPr="00A34388">
              <w:rPr>
                <w:rFonts w:cs="Arial"/>
                <w:i/>
                <w:sz w:val="16"/>
                <w:szCs w:val="16"/>
                <w:lang w:val="es-ES_tradnl"/>
              </w:rPr>
              <w:t xml:space="preserve"> </w:t>
            </w:r>
            <w:r w:rsidRPr="00A34388">
              <w:rPr>
                <w:rFonts w:cs="Arial"/>
                <w:i/>
                <w:sz w:val="16"/>
                <w:szCs w:val="16"/>
                <w:lang w:val="es-ES_tradnl"/>
              </w:rPr>
              <w:t xml:space="preserve"> Presup. por prog. 2012/13:  6.226  (2008/09</w:t>
            </w:r>
            <w:r w:rsidRPr="00A34388">
              <w:rPr>
                <w:rFonts w:cs="Arial"/>
                <w:sz w:val="16"/>
                <w:szCs w:val="16"/>
                <w:lang w:val="es-ES_tradnl"/>
              </w:rPr>
              <w:t>)</w:t>
            </w:r>
          </w:p>
        </w:tc>
        <w:tc>
          <w:tcPr>
            <w:tcW w:w="606" w:type="pct"/>
            <w:tcMar>
              <w:top w:w="110" w:type="dxa"/>
            </w:tcMar>
          </w:tcPr>
          <w:p w:rsidR="00C4782F" w:rsidRPr="00A34388" w:rsidRDefault="00C4782F" w:rsidP="006F0C07">
            <w:pPr>
              <w:keepNext/>
              <w:rPr>
                <w:rFonts w:cs="Arial"/>
                <w:sz w:val="16"/>
                <w:szCs w:val="16"/>
                <w:lang w:val="es-ES_tradnl"/>
              </w:rPr>
            </w:pPr>
            <w:r w:rsidRPr="00332758">
              <w:rPr>
                <w:rFonts w:cs="Arial"/>
                <w:sz w:val="16"/>
                <w:szCs w:val="16"/>
                <w:lang w:val="es-ES_tradnl"/>
              </w:rPr>
              <w:t>Aumento del 5%.</w:t>
            </w:r>
          </w:p>
        </w:tc>
        <w:tc>
          <w:tcPr>
            <w:tcW w:w="1363" w:type="pct"/>
            <w:shd w:val="clear" w:color="auto" w:fill="FFFFFF"/>
            <w:tcMar>
              <w:top w:w="110" w:type="dxa"/>
            </w:tcMar>
          </w:tcPr>
          <w:p w:rsidR="00C4782F" w:rsidRPr="00A34388" w:rsidRDefault="00C4782F" w:rsidP="006F0C07">
            <w:pPr>
              <w:keepNext/>
              <w:keepLines/>
              <w:rPr>
                <w:rFonts w:cs="Arial"/>
                <w:sz w:val="16"/>
                <w:szCs w:val="16"/>
                <w:lang w:val="es-ES_tradnl"/>
              </w:rPr>
            </w:pPr>
            <w:r w:rsidRPr="00A34388">
              <w:rPr>
                <w:rFonts w:cs="Arial"/>
                <w:sz w:val="16"/>
                <w:szCs w:val="16"/>
                <w:lang w:val="es-ES_tradnl"/>
              </w:rPr>
              <w:t xml:space="preserve">10.093 artículos en 2012/13; </w:t>
            </w:r>
            <w:r w:rsidR="00267DA6" w:rsidRPr="00A34388">
              <w:rPr>
                <w:rFonts w:cs="Arial"/>
                <w:sz w:val="16"/>
                <w:szCs w:val="16"/>
                <w:lang w:val="es-ES_tradnl"/>
              </w:rPr>
              <w:t xml:space="preserve"> </w:t>
            </w:r>
            <w:r w:rsidRPr="00A34388">
              <w:rPr>
                <w:rFonts w:cs="Arial"/>
                <w:sz w:val="16"/>
                <w:szCs w:val="16"/>
                <w:lang w:val="es-ES_tradnl"/>
              </w:rPr>
              <w:t>incremento del 36% respecto del bienio 2010/11.</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keepNext/>
              <w:rPr>
                <w:rFonts w:cs="Arial"/>
                <w:sz w:val="16"/>
                <w:szCs w:val="16"/>
                <w:lang w:val="es-ES_tradnl"/>
              </w:rPr>
            </w:pPr>
            <w:r w:rsidRPr="00332758">
              <w:rPr>
                <w:rFonts w:cs="Arial"/>
                <w:sz w:val="16"/>
                <w:szCs w:val="16"/>
                <w:lang w:val="es-ES_tradnl"/>
              </w:rPr>
              <w:t>Tasa de disponibilidad de las principales publicaciones de la OMPI en todos los idiomas oficiales de las NN.UU.</w:t>
            </w:r>
          </w:p>
        </w:tc>
        <w:tc>
          <w:tcPr>
            <w:tcW w:w="1515" w:type="pct"/>
            <w:shd w:val="clear" w:color="auto" w:fill="auto"/>
          </w:tcPr>
          <w:p w:rsidR="00C4782F" w:rsidRPr="00A34388" w:rsidRDefault="00C4782F" w:rsidP="006F0C07">
            <w:pPr>
              <w:keepNext/>
              <w:rPr>
                <w:rFonts w:cs="Arial"/>
                <w:i/>
                <w:color w:val="002060"/>
                <w:sz w:val="16"/>
                <w:szCs w:val="16"/>
                <w:lang w:val="es-ES_tradnl"/>
              </w:rPr>
            </w:pPr>
            <w:r w:rsidRPr="00A34388">
              <w:rPr>
                <w:rFonts w:cs="Arial"/>
                <w:i/>
                <w:color w:val="002060"/>
                <w:sz w:val="16"/>
                <w:szCs w:val="16"/>
                <w:lang w:val="es-ES_tradnl"/>
              </w:rPr>
              <w:t>Referencia actualizada a fin</w:t>
            </w:r>
            <w:r w:rsidR="00293A53" w:rsidRPr="00A34388">
              <w:rPr>
                <w:rFonts w:cs="Arial"/>
                <w:i/>
                <w:color w:val="002060"/>
                <w:sz w:val="16"/>
                <w:szCs w:val="16"/>
                <w:lang w:val="es-ES_tradnl"/>
              </w:rPr>
              <w:t>es</w:t>
            </w:r>
            <w:r w:rsidRPr="00A34388">
              <w:rPr>
                <w:rFonts w:cs="Arial"/>
                <w:i/>
                <w:color w:val="002060"/>
                <w:sz w:val="16"/>
                <w:szCs w:val="16"/>
                <w:lang w:val="es-ES_tradnl"/>
              </w:rPr>
              <w:t xml:space="preserve"> de 2011:  63,8%</w:t>
            </w:r>
          </w:p>
          <w:p w:rsidR="00C4782F" w:rsidRPr="00A34388" w:rsidRDefault="00C4782F" w:rsidP="006F0C07">
            <w:pPr>
              <w:keepNext/>
              <w:rPr>
                <w:rFonts w:cs="Arial"/>
                <w:i/>
                <w:color w:val="002060"/>
                <w:sz w:val="8"/>
                <w:szCs w:val="8"/>
                <w:lang w:val="es-ES_tradnl"/>
              </w:rPr>
            </w:pPr>
          </w:p>
          <w:p w:rsidR="00C4782F" w:rsidRPr="00A34388" w:rsidRDefault="00C4782F" w:rsidP="006F0C07">
            <w:pPr>
              <w:keepNext/>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 2012/13:  63.8%</w:t>
            </w:r>
          </w:p>
        </w:tc>
        <w:tc>
          <w:tcPr>
            <w:tcW w:w="606" w:type="pct"/>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70%</w:t>
            </w:r>
          </w:p>
        </w:tc>
        <w:tc>
          <w:tcPr>
            <w:tcW w:w="1363" w:type="pct"/>
            <w:shd w:val="clear" w:color="auto" w:fill="FFFFFF"/>
            <w:tcMar>
              <w:top w:w="110" w:type="dxa"/>
            </w:tcMar>
          </w:tcPr>
          <w:p w:rsidR="00C4782F" w:rsidRPr="00A34388" w:rsidRDefault="00C4782F" w:rsidP="006F0C07">
            <w:pPr>
              <w:keepNext/>
              <w:keepLines/>
              <w:rPr>
                <w:rFonts w:cs="Arial"/>
                <w:b/>
                <w:bCs/>
                <w:sz w:val="16"/>
                <w:szCs w:val="16"/>
                <w:lang w:val="es-ES_tradnl"/>
              </w:rPr>
            </w:pPr>
            <w:r w:rsidRPr="00A34388">
              <w:rPr>
                <w:rFonts w:cs="Arial"/>
                <w:sz w:val="16"/>
                <w:szCs w:val="16"/>
                <w:lang w:val="es-ES_tradnl"/>
              </w:rPr>
              <w:t>El 71,2% de las publicaciones principales estaban disponibles en los 6 seis idiomas a finales de 2012.  El enfoque de “publicaciones principales” quedó superado en 2013 por la nueva política lingüística.</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keepNext/>
              <w:rPr>
                <w:rFonts w:cs="Arial"/>
                <w:sz w:val="16"/>
                <w:szCs w:val="16"/>
                <w:lang w:val="es-ES_tradnl"/>
              </w:rPr>
            </w:pPr>
            <w:r w:rsidRPr="00332758">
              <w:rPr>
                <w:rFonts w:cs="Arial"/>
                <w:sz w:val="16"/>
                <w:szCs w:val="16"/>
                <w:lang w:val="es-ES_tradnl"/>
              </w:rPr>
              <w:t>Promedio de visualizaciones por vídeo de la OMPI en YouTube</w:t>
            </w:r>
            <w:r w:rsidRPr="00A34388">
              <w:rPr>
                <w:rFonts w:cs="Arial"/>
                <w:sz w:val="16"/>
                <w:szCs w:val="16"/>
                <w:lang w:val="es-ES_tradnl"/>
              </w:rPr>
              <w:t xml:space="preserve"> </w:t>
            </w:r>
          </w:p>
        </w:tc>
        <w:tc>
          <w:tcPr>
            <w:tcW w:w="1515" w:type="pct"/>
            <w:shd w:val="clear" w:color="auto" w:fill="auto"/>
          </w:tcPr>
          <w:p w:rsidR="00C4782F" w:rsidRPr="00A34388" w:rsidRDefault="00C4782F" w:rsidP="006F0C07">
            <w:pPr>
              <w:keepNext/>
              <w:rPr>
                <w:rFonts w:cs="Arial"/>
                <w:i/>
                <w:color w:val="002060"/>
                <w:sz w:val="16"/>
                <w:szCs w:val="16"/>
                <w:lang w:val="es-ES_tradnl"/>
              </w:rPr>
            </w:pPr>
            <w:r w:rsidRPr="00A34388">
              <w:rPr>
                <w:rFonts w:cs="Arial"/>
                <w:i/>
                <w:color w:val="002060"/>
                <w:sz w:val="16"/>
                <w:szCs w:val="16"/>
                <w:lang w:val="es-ES_tradnl"/>
              </w:rPr>
              <w:t>Referencia actualizada a fin</w:t>
            </w:r>
            <w:r w:rsidR="00293A53" w:rsidRPr="00A34388">
              <w:rPr>
                <w:rFonts w:cs="Arial"/>
                <w:i/>
                <w:color w:val="002060"/>
                <w:sz w:val="16"/>
                <w:szCs w:val="16"/>
                <w:lang w:val="es-ES_tradnl"/>
              </w:rPr>
              <w:t>e</w:t>
            </w:r>
            <w:r w:rsidRPr="00A34388">
              <w:rPr>
                <w:rFonts w:cs="Arial"/>
                <w:i/>
                <w:color w:val="002060"/>
                <w:sz w:val="16"/>
                <w:szCs w:val="16"/>
                <w:lang w:val="es-ES_tradnl"/>
              </w:rPr>
              <w:t>s de 2011:  1.618 por video (26 abr.  2010 a 31 dic. 2011</w:t>
            </w:r>
            <w:r w:rsidRPr="00A34388">
              <w:rPr>
                <w:rFonts w:cs="Arial"/>
                <w:color w:val="002060"/>
                <w:sz w:val="16"/>
                <w:szCs w:val="16"/>
                <w:lang w:val="es-ES_tradnl"/>
              </w:rPr>
              <w:t>)</w:t>
            </w:r>
          </w:p>
          <w:p w:rsidR="00C4782F" w:rsidRPr="00A34388" w:rsidRDefault="00C4782F" w:rsidP="006F0C07">
            <w:pPr>
              <w:keepNext/>
              <w:rPr>
                <w:rFonts w:cs="Arial"/>
                <w:i/>
                <w:color w:val="002060"/>
                <w:sz w:val="8"/>
                <w:szCs w:val="8"/>
                <w:lang w:val="es-ES_tradnl"/>
              </w:rPr>
            </w:pPr>
          </w:p>
          <w:p w:rsidR="00C4782F" w:rsidRPr="00A34388" w:rsidRDefault="00C4782F" w:rsidP="006F0C07">
            <w:pPr>
              <w:keepNext/>
              <w:rPr>
                <w:rFonts w:cs="Arial"/>
                <w:sz w:val="16"/>
                <w:szCs w:val="16"/>
                <w:lang w:val="es-ES_tradnl"/>
              </w:rPr>
            </w:pPr>
            <w:r w:rsidRPr="00A34388">
              <w:rPr>
                <w:rFonts w:cs="Arial"/>
                <w:i/>
                <w:sz w:val="16"/>
                <w:szCs w:val="16"/>
                <w:lang w:val="es-ES_tradnl"/>
              </w:rPr>
              <w:t>Referencia original:</w:t>
            </w:r>
            <w:r w:rsidR="007E4D96" w:rsidRPr="00A34388">
              <w:rPr>
                <w:rFonts w:cs="Arial"/>
                <w:i/>
                <w:sz w:val="16"/>
                <w:szCs w:val="16"/>
                <w:lang w:val="es-ES_tradnl"/>
              </w:rPr>
              <w:t xml:space="preserve"> </w:t>
            </w:r>
            <w:r w:rsidRPr="00A34388">
              <w:rPr>
                <w:rFonts w:cs="Arial"/>
                <w:i/>
                <w:sz w:val="16"/>
                <w:szCs w:val="16"/>
                <w:lang w:val="es-ES_tradnl"/>
              </w:rPr>
              <w:t xml:space="preserve"> Presup. por prog. 2012/13:</w:t>
            </w:r>
            <w:r w:rsidRPr="00A34388">
              <w:rPr>
                <w:rFonts w:cs="Arial"/>
                <w:i/>
                <w:iCs/>
                <w:sz w:val="16"/>
                <w:szCs w:val="16"/>
                <w:lang w:val="es-ES_tradnl"/>
              </w:rPr>
              <w:t xml:space="preserve">  </w:t>
            </w:r>
            <w:r w:rsidRPr="00A34388">
              <w:rPr>
                <w:rFonts w:cs="Arial"/>
                <w:sz w:val="16"/>
                <w:szCs w:val="16"/>
                <w:lang w:val="es-ES_tradnl"/>
              </w:rPr>
              <w:t>414 por video (26 abr. a 31 dic. 2010)</w:t>
            </w:r>
          </w:p>
        </w:tc>
        <w:tc>
          <w:tcPr>
            <w:tcW w:w="606" w:type="pct"/>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Aumento del 10% </w:t>
            </w:r>
          </w:p>
        </w:tc>
        <w:tc>
          <w:tcPr>
            <w:tcW w:w="1363" w:type="pct"/>
            <w:shd w:val="clear" w:color="auto" w:fill="FFFFFF"/>
            <w:tcMar>
              <w:top w:w="110" w:type="dxa"/>
            </w:tcMar>
          </w:tcPr>
          <w:p w:rsidR="00C4782F" w:rsidRPr="00A34388" w:rsidRDefault="00C4782F" w:rsidP="001A7B27">
            <w:pPr>
              <w:rPr>
                <w:rFonts w:cs="Arial"/>
                <w:sz w:val="16"/>
                <w:szCs w:val="16"/>
                <w:lang w:val="es-ES_tradnl"/>
              </w:rPr>
            </w:pPr>
            <w:r w:rsidRPr="00A34388">
              <w:rPr>
                <w:rFonts w:cs="Arial"/>
                <w:sz w:val="16"/>
                <w:szCs w:val="16"/>
                <w:lang w:val="es-ES_tradnl"/>
              </w:rPr>
              <w:t xml:space="preserve">Total de </w:t>
            </w:r>
            <w:r w:rsidR="001A7B27" w:rsidRPr="00A34388">
              <w:rPr>
                <w:rFonts w:cs="Arial"/>
                <w:sz w:val="16"/>
                <w:szCs w:val="16"/>
                <w:lang w:val="es-ES_tradnl"/>
              </w:rPr>
              <w:t>visualizaciones</w:t>
            </w:r>
            <w:r w:rsidRPr="00A34388">
              <w:rPr>
                <w:rFonts w:cs="Arial"/>
                <w:sz w:val="16"/>
                <w:szCs w:val="16"/>
                <w:lang w:val="es-ES_tradnl"/>
              </w:rPr>
              <w:t xml:space="preserve">: </w:t>
            </w:r>
            <w:r w:rsidR="007E4D96" w:rsidRPr="00A34388">
              <w:rPr>
                <w:rFonts w:cs="Arial"/>
                <w:sz w:val="16"/>
                <w:szCs w:val="16"/>
                <w:lang w:val="es-ES_tradnl"/>
              </w:rPr>
              <w:t xml:space="preserve"> </w:t>
            </w:r>
            <w:r w:rsidRPr="00A34388">
              <w:rPr>
                <w:rFonts w:cs="Arial"/>
                <w:sz w:val="16"/>
                <w:szCs w:val="16"/>
                <w:lang w:val="es-ES_tradnl"/>
              </w:rPr>
              <w:t xml:space="preserve">4.221.312 </w:t>
            </w:r>
            <w:r w:rsidR="001A7B27" w:rsidRPr="00A34388">
              <w:rPr>
                <w:rFonts w:cs="Arial"/>
                <w:sz w:val="16"/>
                <w:szCs w:val="16"/>
                <w:lang w:val="es-ES_tradnl"/>
              </w:rPr>
              <w:t xml:space="preserve">de </w:t>
            </w:r>
            <w:r w:rsidRPr="00A34388">
              <w:rPr>
                <w:rFonts w:cs="Arial"/>
                <w:sz w:val="16"/>
                <w:szCs w:val="16"/>
                <w:lang w:val="es-ES_tradnl"/>
              </w:rPr>
              <w:t xml:space="preserve">226 videos en 2012/13, lo que </w:t>
            </w:r>
            <w:r w:rsidR="001A7B27" w:rsidRPr="00A34388">
              <w:rPr>
                <w:rFonts w:cs="Arial"/>
                <w:sz w:val="16"/>
                <w:szCs w:val="16"/>
                <w:lang w:val="es-ES_tradnl"/>
              </w:rPr>
              <w:t xml:space="preserve">equivale a </w:t>
            </w:r>
            <w:r w:rsidRPr="00A34388">
              <w:rPr>
                <w:rFonts w:cs="Arial"/>
                <w:sz w:val="16"/>
                <w:szCs w:val="16"/>
                <w:lang w:val="es-ES_tradnl"/>
              </w:rPr>
              <w:t xml:space="preserve">un promedio de 18.678 </w:t>
            </w:r>
            <w:r w:rsidR="001A7B27" w:rsidRPr="00A34388">
              <w:rPr>
                <w:rFonts w:cs="Arial"/>
                <w:sz w:val="16"/>
                <w:szCs w:val="16"/>
                <w:lang w:val="es-ES_tradnl"/>
              </w:rPr>
              <w:t xml:space="preserve">visualizaciones </w:t>
            </w:r>
            <w:r w:rsidRPr="00A34388">
              <w:rPr>
                <w:rFonts w:cs="Arial"/>
                <w:sz w:val="16"/>
                <w:szCs w:val="16"/>
                <w:lang w:val="es-ES_tradnl"/>
              </w:rPr>
              <w:t xml:space="preserve">por video, o un </w:t>
            </w:r>
            <w:r w:rsidR="007F2148" w:rsidRPr="00A34388">
              <w:rPr>
                <w:rFonts w:cs="Arial"/>
                <w:sz w:val="16"/>
                <w:szCs w:val="16"/>
                <w:lang w:val="es-ES_tradnl"/>
              </w:rPr>
              <w:t>aumento</w:t>
            </w:r>
            <w:r w:rsidR="001A7B27" w:rsidRPr="00A34388">
              <w:rPr>
                <w:rFonts w:cs="Arial"/>
                <w:sz w:val="16"/>
                <w:szCs w:val="16"/>
                <w:lang w:val="es-ES_tradnl"/>
              </w:rPr>
              <w:t xml:space="preserve"> </w:t>
            </w:r>
            <w:r w:rsidRPr="00A34388">
              <w:rPr>
                <w:rFonts w:cs="Arial"/>
                <w:sz w:val="16"/>
                <w:szCs w:val="16"/>
                <w:lang w:val="es-ES_tradnl"/>
              </w:rPr>
              <w:t xml:space="preserve"> superior al 1.000% respecto del bienio anterior.</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rPr>
                <w:rFonts w:cs="Arial"/>
                <w:sz w:val="16"/>
                <w:szCs w:val="16"/>
                <w:lang w:val="es-ES_tradnl"/>
              </w:rPr>
            </w:pPr>
            <w:r w:rsidRPr="00332758">
              <w:rPr>
                <w:rFonts w:cs="Arial"/>
                <w:sz w:val="16"/>
                <w:szCs w:val="16"/>
                <w:lang w:val="es-ES_tradnl"/>
              </w:rPr>
              <w:t>Promedio de descargas por publicación de la OMPI.</w:t>
            </w:r>
            <w:r w:rsidRPr="00A34388">
              <w:rPr>
                <w:rFonts w:cs="Arial"/>
                <w:sz w:val="16"/>
                <w:szCs w:val="16"/>
                <w:lang w:val="es-ES_tradnl"/>
              </w:rPr>
              <w:t xml:space="preserve"> </w:t>
            </w:r>
          </w:p>
        </w:tc>
        <w:tc>
          <w:tcPr>
            <w:tcW w:w="1515" w:type="pct"/>
            <w:shd w:val="clear" w:color="auto" w:fill="auto"/>
          </w:tcPr>
          <w:p w:rsidR="00C4782F" w:rsidRPr="00A34388" w:rsidRDefault="00C4782F" w:rsidP="006F0C07">
            <w:pPr>
              <w:rPr>
                <w:rFonts w:cs="Arial"/>
                <w:i/>
                <w:color w:val="002060"/>
                <w:sz w:val="16"/>
                <w:szCs w:val="16"/>
                <w:lang w:val="es-ES_tradnl"/>
              </w:rPr>
            </w:pPr>
            <w:r w:rsidRPr="00A34388">
              <w:rPr>
                <w:rFonts w:cs="Arial"/>
                <w:i/>
                <w:color w:val="002060"/>
                <w:sz w:val="16"/>
                <w:szCs w:val="16"/>
                <w:lang w:val="es-ES_tradnl"/>
              </w:rPr>
              <w:t xml:space="preserve">Referencia actualizada a fines de 2011:  </w:t>
            </w:r>
            <w:r w:rsidRPr="00A34388">
              <w:rPr>
                <w:rFonts w:cs="Arial"/>
                <w:i/>
                <w:sz w:val="16"/>
                <w:szCs w:val="16"/>
                <w:lang w:val="es-ES_tradnl"/>
              </w:rPr>
              <w:t>Por determinar (todavía no se dispone de instrumentos analíticos)</w:t>
            </w:r>
          </w:p>
          <w:p w:rsidR="00C4782F" w:rsidRPr="00A34388" w:rsidRDefault="00C4782F" w:rsidP="006F0C07">
            <w:pPr>
              <w:rPr>
                <w:rFonts w:cs="Arial"/>
                <w:i/>
                <w:color w:val="002060"/>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 2012/13:  Por determinar</w:t>
            </w:r>
          </w:p>
        </w:tc>
        <w:tc>
          <w:tcPr>
            <w:tcW w:w="606" w:type="pct"/>
            <w:tcMar>
              <w:top w:w="110" w:type="dxa"/>
            </w:tcMar>
          </w:tcPr>
          <w:p w:rsidR="00C4782F" w:rsidRPr="00A34388" w:rsidRDefault="00C4782F" w:rsidP="006F0C07">
            <w:pPr>
              <w:rPr>
                <w:rFonts w:cs="Arial"/>
                <w:sz w:val="16"/>
                <w:szCs w:val="16"/>
                <w:lang w:val="es-ES_tradnl"/>
              </w:rPr>
            </w:pPr>
            <w:r w:rsidRPr="00332758">
              <w:rPr>
                <w:rFonts w:cs="Arial"/>
                <w:sz w:val="16"/>
                <w:szCs w:val="16"/>
                <w:lang w:val="es-ES_tradnl"/>
              </w:rPr>
              <w:t>Aumento del 5%.</w:t>
            </w:r>
            <w:r w:rsidRPr="00A34388">
              <w:rPr>
                <w:rFonts w:cs="Arial"/>
                <w:sz w:val="16"/>
                <w:szCs w:val="16"/>
                <w:lang w:val="es-ES_tradnl"/>
              </w:rPr>
              <w:t xml:space="preserve"> </w:t>
            </w:r>
          </w:p>
        </w:tc>
        <w:tc>
          <w:tcPr>
            <w:tcW w:w="1363" w:type="pct"/>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Las visitas en </w:t>
            </w:r>
            <w:r w:rsidRPr="00A34388">
              <w:rPr>
                <w:rFonts w:cs="Arial"/>
                <w:i/>
                <w:iCs/>
                <w:sz w:val="16"/>
                <w:szCs w:val="16"/>
                <w:lang w:val="es-ES_tradnl"/>
              </w:rPr>
              <w:t>Scribd</w:t>
            </w:r>
            <w:r w:rsidRPr="00A34388">
              <w:rPr>
                <w:rFonts w:cs="Arial"/>
                <w:sz w:val="16"/>
                <w:szCs w:val="16"/>
                <w:lang w:val="es-ES_tradnl"/>
              </w:rPr>
              <w:t xml:space="preserve"> a publicaciones de la OMPI aumentaron, pasando de 93.070 en 2012 a 255.771 en 2013, es decir, un incremento año a año en el propio bienio del 174%.</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Pr>
          <w:p w:rsidR="00C4782F" w:rsidRPr="00A34388" w:rsidRDefault="00C4782F" w:rsidP="006F0C07">
            <w:pPr>
              <w:rPr>
                <w:rFonts w:cs="Arial"/>
                <w:sz w:val="16"/>
                <w:szCs w:val="16"/>
                <w:lang w:val="es-ES_tradnl"/>
              </w:rPr>
            </w:pPr>
            <w:r w:rsidRPr="00332758">
              <w:rPr>
                <w:rFonts w:cs="Arial"/>
                <w:sz w:val="16"/>
                <w:szCs w:val="16"/>
                <w:lang w:val="es-ES_tradnl"/>
              </w:rPr>
              <w:t xml:space="preserve">Número de países </w:t>
            </w:r>
            <w:r w:rsidRPr="00332758">
              <w:rPr>
                <w:rFonts w:cs="Arial"/>
                <w:sz w:val="16"/>
                <w:szCs w:val="16"/>
                <w:lang w:val="es-ES_tradnl"/>
              </w:rPr>
              <w:lastRenderedPageBreak/>
              <w:t>que comunican que han organizado eventos y actividades con motivo del Día Mundial de la Propiedad Intelectual.</w:t>
            </w:r>
            <w:r w:rsidRPr="00A34388">
              <w:rPr>
                <w:rFonts w:cs="Arial"/>
                <w:sz w:val="16"/>
                <w:szCs w:val="16"/>
                <w:lang w:val="es-ES_tradnl"/>
              </w:rPr>
              <w:t xml:space="preserve"> </w:t>
            </w:r>
          </w:p>
        </w:tc>
        <w:tc>
          <w:tcPr>
            <w:tcW w:w="1515" w:type="pct"/>
            <w:shd w:val="clear" w:color="auto" w:fill="auto"/>
          </w:tcPr>
          <w:p w:rsidR="00C4782F" w:rsidRPr="00783C89" w:rsidRDefault="00C4782F" w:rsidP="006F0C07">
            <w:pPr>
              <w:rPr>
                <w:rFonts w:cs="Arial"/>
                <w:i/>
                <w:color w:val="002060"/>
                <w:sz w:val="16"/>
                <w:szCs w:val="16"/>
                <w:lang w:val="es-ES_tradnl"/>
              </w:rPr>
            </w:pPr>
            <w:r w:rsidRPr="00A34388">
              <w:rPr>
                <w:rFonts w:cs="Arial"/>
                <w:i/>
                <w:color w:val="002060"/>
                <w:sz w:val="16"/>
                <w:szCs w:val="16"/>
                <w:lang w:val="es-ES_tradnl"/>
              </w:rPr>
              <w:lastRenderedPageBreak/>
              <w:t xml:space="preserve">Referencia actualizada a fines de </w:t>
            </w:r>
            <w:r w:rsidRPr="00783C89">
              <w:rPr>
                <w:rFonts w:cs="Arial"/>
                <w:i/>
                <w:color w:val="002060"/>
                <w:sz w:val="16"/>
                <w:szCs w:val="16"/>
                <w:lang w:val="es-ES_tradnl"/>
              </w:rPr>
              <w:lastRenderedPageBreak/>
              <w:t xml:space="preserve">2011:  </w:t>
            </w:r>
            <w:r w:rsidRPr="00783C89">
              <w:rPr>
                <w:rFonts w:cs="Arial"/>
                <w:color w:val="002060"/>
                <w:sz w:val="16"/>
                <w:szCs w:val="16"/>
                <w:lang w:val="es-ES_tradnl"/>
              </w:rPr>
              <w:t>132 países informaron de que habían organizado eventos con motivo del Día Mundial de la Propiedad Intelectual (58 en 2010 y 74 en 2011).</w:t>
            </w:r>
          </w:p>
          <w:p w:rsidR="00C4782F" w:rsidRPr="00A34388" w:rsidRDefault="00C4782F" w:rsidP="006F0C07">
            <w:pPr>
              <w:rPr>
                <w:rFonts w:cs="Arial"/>
                <w:i/>
                <w:color w:val="002060"/>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Referencia original:</w:t>
            </w:r>
            <w:r w:rsidR="007E4D96" w:rsidRPr="00A34388">
              <w:rPr>
                <w:rFonts w:cs="Arial"/>
                <w:i/>
                <w:sz w:val="16"/>
                <w:szCs w:val="16"/>
                <w:lang w:val="es-ES_tradnl"/>
              </w:rPr>
              <w:t xml:space="preserve"> </w:t>
            </w:r>
            <w:r w:rsidRPr="00A34388">
              <w:rPr>
                <w:rFonts w:cs="Arial"/>
                <w:i/>
                <w:sz w:val="16"/>
                <w:szCs w:val="16"/>
                <w:lang w:val="es-ES_tradnl"/>
              </w:rPr>
              <w:t xml:space="preserve"> Presup. por prog. 2012/13:  Por determinar</w:t>
            </w:r>
          </w:p>
        </w:tc>
        <w:tc>
          <w:tcPr>
            <w:tcW w:w="606" w:type="pct"/>
            <w:tcMar>
              <w:top w:w="110" w:type="dxa"/>
            </w:tcMar>
          </w:tcPr>
          <w:p w:rsidR="00C4782F" w:rsidRPr="00A34388" w:rsidRDefault="00C4782F" w:rsidP="006F0C07">
            <w:pPr>
              <w:rPr>
                <w:rFonts w:cs="Arial"/>
                <w:sz w:val="16"/>
                <w:szCs w:val="16"/>
                <w:lang w:val="es-ES_tradnl"/>
              </w:rPr>
            </w:pPr>
            <w:r w:rsidRPr="00332758">
              <w:rPr>
                <w:rFonts w:cs="Arial"/>
                <w:sz w:val="16"/>
                <w:szCs w:val="16"/>
                <w:lang w:val="es-ES_tradnl"/>
              </w:rPr>
              <w:lastRenderedPageBreak/>
              <w:t>75 países.</w:t>
            </w:r>
            <w:r w:rsidRPr="00A34388">
              <w:rPr>
                <w:rFonts w:cs="Arial"/>
                <w:sz w:val="16"/>
                <w:szCs w:val="16"/>
                <w:lang w:val="es-ES_tradnl"/>
              </w:rPr>
              <w:t xml:space="preserve"> </w:t>
            </w:r>
          </w:p>
        </w:tc>
        <w:tc>
          <w:tcPr>
            <w:tcW w:w="1363" w:type="pct"/>
            <w:shd w:val="clear" w:color="auto" w:fill="FFFFFF"/>
            <w:tcMar>
              <w:top w:w="110" w:type="dxa"/>
            </w:tcMar>
          </w:tcPr>
          <w:p w:rsidR="00C4782F" w:rsidRPr="00332758" w:rsidRDefault="00C4782F" w:rsidP="006F0C07">
            <w:pPr>
              <w:rPr>
                <w:rFonts w:cs="Arial"/>
                <w:sz w:val="16"/>
                <w:szCs w:val="16"/>
                <w:lang w:val="es-ES_tradnl"/>
              </w:rPr>
            </w:pPr>
            <w:r w:rsidRPr="00332758">
              <w:rPr>
                <w:rFonts w:cs="Arial"/>
                <w:sz w:val="16"/>
                <w:szCs w:val="16"/>
                <w:lang w:val="es-ES_tradnl"/>
              </w:rPr>
              <w:t xml:space="preserve">76 países informaron de la </w:t>
            </w:r>
            <w:r w:rsidRPr="00332758">
              <w:rPr>
                <w:rFonts w:cs="Arial"/>
                <w:sz w:val="16"/>
                <w:szCs w:val="16"/>
                <w:lang w:val="es-ES_tradnl"/>
              </w:rPr>
              <w:lastRenderedPageBreak/>
              <w:t>celebración de eventos con motivo del Día Mundial de la Propiedad Intelectual.</w:t>
            </w:r>
          </w:p>
          <w:p w:rsidR="00C4782F" w:rsidRPr="00332758" w:rsidRDefault="00C4782F" w:rsidP="006F0C07">
            <w:pPr>
              <w:pStyle w:val="ListParagraph"/>
              <w:ind w:left="360"/>
              <w:rPr>
                <w:rFonts w:cs="Arial"/>
                <w:sz w:val="16"/>
                <w:szCs w:val="16"/>
                <w:lang w:val="es-ES_tradnl"/>
              </w:rPr>
            </w:pPr>
          </w:p>
          <w:p w:rsidR="00C4782F" w:rsidRPr="00332758" w:rsidRDefault="00C4782F" w:rsidP="006F0C07">
            <w:pPr>
              <w:rPr>
                <w:rFonts w:cs="Arial"/>
                <w:sz w:val="16"/>
                <w:szCs w:val="16"/>
                <w:lang w:val="es-ES_tradnl"/>
              </w:rPr>
            </w:pPr>
            <w:r w:rsidRPr="00332758">
              <w:rPr>
                <w:rFonts w:cs="Arial"/>
                <w:sz w:val="16"/>
                <w:szCs w:val="16"/>
                <w:lang w:val="es-ES_tradnl"/>
              </w:rPr>
              <w:t>89 países informaron de la celebración de eventos con motivo del Día Mundial de la Propiedad Intelectual.</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lastRenderedPageBreak/>
              <w:t>Plenamente</w:t>
            </w:r>
            <w:r w:rsidRPr="00A34388">
              <w:rPr>
                <w:rFonts w:cs="Arial"/>
                <w:bCs/>
                <w:color w:val="008000"/>
                <w:sz w:val="16"/>
                <w:szCs w:val="16"/>
                <w:lang w:val="es-ES_tradnl"/>
              </w:rPr>
              <w:br/>
            </w:r>
            <w:r w:rsidRPr="00A34388">
              <w:rPr>
                <w:rFonts w:cs="Arial"/>
                <w:bCs/>
                <w:color w:val="008000"/>
                <w:sz w:val="16"/>
                <w:szCs w:val="16"/>
                <w:lang w:val="es-ES_tradnl"/>
              </w:rPr>
              <w:lastRenderedPageBreak/>
              <w:t>logrado</w:t>
            </w:r>
          </w:p>
        </w:tc>
      </w:tr>
      <w:tr w:rsidR="00C4782F" w:rsidRPr="00A34388" w:rsidTr="006F0C07">
        <w:tc>
          <w:tcPr>
            <w:tcW w:w="834" w:type="pct"/>
          </w:tcPr>
          <w:p w:rsidR="00C4782F" w:rsidRPr="00A34388" w:rsidRDefault="00C4782F" w:rsidP="006F0C07">
            <w:pPr>
              <w:rPr>
                <w:rFonts w:cs="Arial"/>
                <w:sz w:val="16"/>
                <w:szCs w:val="16"/>
                <w:lang w:val="es-ES_tradnl"/>
              </w:rPr>
            </w:pPr>
            <w:r w:rsidRPr="00332758">
              <w:rPr>
                <w:rFonts w:cs="Arial"/>
                <w:sz w:val="16"/>
                <w:szCs w:val="16"/>
                <w:lang w:val="es-ES_tradnl"/>
              </w:rPr>
              <w:lastRenderedPageBreak/>
              <w:t>Número de peticiones de información externas atendidas por la Biblioteca de la OMPI.</w:t>
            </w:r>
          </w:p>
        </w:tc>
        <w:tc>
          <w:tcPr>
            <w:tcW w:w="1515" w:type="pct"/>
            <w:shd w:val="clear" w:color="auto" w:fill="auto"/>
          </w:tcPr>
          <w:p w:rsidR="00C4782F" w:rsidRPr="00A34388" w:rsidRDefault="00C4782F" w:rsidP="006F0C07">
            <w:pPr>
              <w:rPr>
                <w:rFonts w:cs="Arial"/>
                <w:color w:val="002060"/>
                <w:sz w:val="16"/>
                <w:szCs w:val="16"/>
                <w:lang w:val="es-ES_tradnl"/>
              </w:rPr>
            </w:pPr>
            <w:r w:rsidRPr="00A34388">
              <w:rPr>
                <w:rFonts w:cs="Arial"/>
                <w:i/>
                <w:color w:val="002060"/>
                <w:sz w:val="16"/>
                <w:szCs w:val="16"/>
                <w:lang w:val="es-ES_tradnl"/>
              </w:rPr>
              <w:t>Referencia actualizada a fin</w:t>
            </w:r>
            <w:r w:rsidR="00293A53" w:rsidRPr="00A34388">
              <w:rPr>
                <w:rFonts w:cs="Arial"/>
                <w:i/>
                <w:color w:val="002060"/>
                <w:sz w:val="16"/>
                <w:szCs w:val="16"/>
                <w:lang w:val="es-ES_tradnl"/>
              </w:rPr>
              <w:t>es</w:t>
            </w:r>
            <w:r w:rsidRPr="00A34388">
              <w:rPr>
                <w:rFonts w:cs="Arial"/>
                <w:i/>
                <w:color w:val="002060"/>
                <w:sz w:val="16"/>
                <w:szCs w:val="16"/>
                <w:lang w:val="es-ES_tradnl"/>
              </w:rPr>
              <w:t xml:space="preserve"> de 2011:  514 (2010/11</w:t>
            </w:r>
            <w:r w:rsidRPr="00A34388">
              <w:rPr>
                <w:rFonts w:cs="Arial"/>
                <w:color w:val="002060"/>
                <w:sz w:val="16"/>
                <w:szCs w:val="16"/>
                <w:lang w:val="es-ES_tradnl"/>
              </w:rPr>
              <w:t>)</w:t>
            </w:r>
          </w:p>
          <w:p w:rsidR="00C4782F" w:rsidRPr="00A34388" w:rsidRDefault="00C4782F" w:rsidP="006F0C07">
            <w:pPr>
              <w:rPr>
                <w:rFonts w:cs="Arial"/>
                <w:i/>
                <w:color w:val="002060"/>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 2012/13:</w:t>
            </w:r>
            <w:r w:rsidRPr="00A34388">
              <w:rPr>
                <w:rFonts w:cs="Arial"/>
                <w:i/>
                <w:iCs/>
                <w:sz w:val="16"/>
                <w:szCs w:val="16"/>
                <w:lang w:val="es-ES_tradnl"/>
              </w:rPr>
              <w:br/>
            </w:r>
            <w:r w:rsidRPr="00A34388">
              <w:rPr>
                <w:rFonts w:cs="Arial"/>
                <w:sz w:val="16"/>
                <w:szCs w:val="16"/>
                <w:lang w:val="es-ES_tradnl"/>
              </w:rPr>
              <w:t>270 (2008/09)</w:t>
            </w:r>
          </w:p>
        </w:tc>
        <w:tc>
          <w:tcPr>
            <w:tcW w:w="606" w:type="pct"/>
            <w:tcMar>
              <w:top w:w="110" w:type="dxa"/>
            </w:tcMar>
          </w:tcPr>
          <w:p w:rsidR="00C4782F" w:rsidRPr="00A34388" w:rsidRDefault="00C4782F" w:rsidP="006F0C07">
            <w:pPr>
              <w:ind w:firstLine="34"/>
              <w:rPr>
                <w:rFonts w:cs="Arial"/>
                <w:sz w:val="16"/>
                <w:szCs w:val="16"/>
                <w:lang w:val="es-ES_tradnl"/>
              </w:rPr>
            </w:pPr>
            <w:r w:rsidRPr="00A34388">
              <w:rPr>
                <w:rFonts w:cs="Arial"/>
                <w:sz w:val="16"/>
                <w:szCs w:val="16"/>
                <w:lang w:val="es-ES_tradnl"/>
              </w:rPr>
              <w:t xml:space="preserve">Aumento del 10% </w:t>
            </w:r>
          </w:p>
        </w:tc>
        <w:tc>
          <w:tcPr>
            <w:tcW w:w="1363" w:type="pct"/>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1.234 peticiones atendidas en 2012/13, es decir, un </w:t>
            </w:r>
            <w:r w:rsidR="001A7B27" w:rsidRPr="00A34388">
              <w:rPr>
                <w:rFonts w:cs="Arial"/>
                <w:sz w:val="16"/>
                <w:szCs w:val="16"/>
                <w:lang w:val="es-ES_tradnl"/>
              </w:rPr>
              <w:t xml:space="preserve">aumento </w:t>
            </w:r>
            <w:r w:rsidRPr="00A34388">
              <w:rPr>
                <w:rFonts w:cs="Arial"/>
                <w:sz w:val="16"/>
                <w:szCs w:val="16"/>
                <w:lang w:val="es-ES_tradnl"/>
              </w:rPr>
              <w:t>del 140% respecto de la referencia de 2010/11:</w:t>
            </w:r>
          </w:p>
          <w:p w:rsidR="00C4782F" w:rsidRPr="00A34388" w:rsidRDefault="00C4782F" w:rsidP="006F0C07">
            <w:pPr>
              <w:pStyle w:val="ListParagraph"/>
              <w:numPr>
                <w:ilvl w:val="0"/>
                <w:numId w:val="52"/>
              </w:numPr>
              <w:rPr>
                <w:rFonts w:cs="Arial"/>
                <w:b/>
                <w:bCs/>
                <w:sz w:val="16"/>
                <w:szCs w:val="16"/>
                <w:lang w:val="es-ES_tradnl"/>
              </w:rPr>
            </w:pPr>
            <w:r w:rsidRPr="00A34388">
              <w:rPr>
                <w:rFonts w:cs="Arial"/>
                <w:sz w:val="16"/>
                <w:szCs w:val="16"/>
                <w:lang w:val="es-ES_tradnl"/>
              </w:rPr>
              <w:t>610 (2012)</w:t>
            </w:r>
          </w:p>
          <w:p w:rsidR="00C4782F" w:rsidRPr="00A34388" w:rsidRDefault="00C4782F" w:rsidP="006F0C07">
            <w:pPr>
              <w:pStyle w:val="ListParagraph"/>
              <w:numPr>
                <w:ilvl w:val="0"/>
                <w:numId w:val="52"/>
              </w:numPr>
              <w:rPr>
                <w:rFonts w:cs="Arial"/>
                <w:b/>
                <w:bCs/>
                <w:sz w:val="16"/>
                <w:szCs w:val="16"/>
                <w:lang w:val="es-ES_tradnl"/>
              </w:rPr>
            </w:pPr>
            <w:r w:rsidRPr="00A34388">
              <w:rPr>
                <w:rFonts w:cs="Arial"/>
                <w:sz w:val="16"/>
                <w:szCs w:val="16"/>
                <w:lang w:val="es-ES_tradnl"/>
              </w:rPr>
              <w:t>624 (2013)</w:t>
            </w:r>
          </w:p>
          <w:p w:rsidR="00C4782F" w:rsidRPr="00A34388" w:rsidRDefault="00C4782F" w:rsidP="006F0C07">
            <w:pPr>
              <w:rPr>
                <w:rFonts w:cs="Arial"/>
                <w:sz w:val="8"/>
                <w:szCs w:val="8"/>
                <w:lang w:val="es-ES_tradnl"/>
              </w:rPr>
            </w:pPr>
          </w:p>
        </w:tc>
        <w:tc>
          <w:tcPr>
            <w:tcW w:w="682" w:type="pct"/>
            <w:tcMar>
              <w:top w:w="110" w:type="dxa"/>
            </w:tcMar>
          </w:tcPr>
          <w:p w:rsidR="00C4782F" w:rsidRPr="00332758" w:rsidRDefault="00C4782F" w:rsidP="006F0C07">
            <w:pPr>
              <w:keepNext/>
              <w:keepLines/>
              <w:jc w:val="center"/>
              <w:rPr>
                <w:rFonts w:cs="Arial"/>
                <w:b/>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34388" w:rsidTr="006F0C07">
        <w:tc>
          <w:tcPr>
            <w:tcW w:w="834" w:type="pct"/>
            <w:tcBorders>
              <w:bottom w:val="single" w:sz="4" w:space="0" w:color="auto"/>
            </w:tcBorders>
          </w:tcPr>
          <w:p w:rsidR="00C4782F" w:rsidRPr="00A34388" w:rsidRDefault="00C4782F" w:rsidP="006F0C07">
            <w:pPr>
              <w:rPr>
                <w:rFonts w:cs="Arial"/>
                <w:sz w:val="16"/>
                <w:szCs w:val="16"/>
                <w:lang w:val="es-ES_tradnl"/>
              </w:rPr>
            </w:pPr>
            <w:r w:rsidRPr="00332758">
              <w:rPr>
                <w:rFonts w:cs="Arial"/>
                <w:sz w:val="16"/>
                <w:szCs w:val="16"/>
                <w:lang w:val="es-ES_tradnl"/>
              </w:rPr>
              <w:t>Porcentaje de opiniones favorables de las partes interesadas sobre la misión, las actividades y la imagen institucional de la OMPI.</w:t>
            </w:r>
            <w:r w:rsidRPr="00A34388">
              <w:rPr>
                <w:rFonts w:cs="Arial"/>
                <w:sz w:val="16"/>
                <w:szCs w:val="16"/>
                <w:lang w:val="es-ES_tradnl"/>
              </w:rPr>
              <w:t xml:space="preserve"> </w:t>
            </w:r>
          </w:p>
        </w:tc>
        <w:tc>
          <w:tcPr>
            <w:tcW w:w="1515" w:type="pct"/>
            <w:tcBorders>
              <w:bottom w:val="single" w:sz="4" w:space="0" w:color="auto"/>
            </w:tcBorders>
            <w:shd w:val="clear" w:color="auto" w:fill="auto"/>
          </w:tcPr>
          <w:p w:rsidR="00C4782F" w:rsidRPr="00783C89" w:rsidRDefault="00C4782F" w:rsidP="006F0C07">
            <w:pPr>
              <w:rPr>
                <w:rFonts w:cs="Arial"/>
                <w:color w:val="002060"/>
                <w:sz w:val="16"/>
                <w:szCs w:val="16"/>
                <w:lang w:val="es-ES_tradnl"/>
              </w:rPr>
            </w:pPr>
            <w:r w:rsidRPr="00783C89">
              <w:rPr>
                <w:rFonts w:cs="Arial"/>
                <w:i/>
                <w:color w:val="002060"/>
                <w:sz w:val="16"/>
                <w:szCs w:val="16"/>
                <w:lang w:val="es-ES_tradnl"/>
              </w:rPr>
              <w:t>Referencia actualizada a fines de 2011:</w:t>
            </w:r>
            <w:r w:rsidRPr="00783C89">
              <w:rPr>
                <w:rFonts w:cs="Arial"/>
                <w:color w:val="002060"/>
                <w:sz w:val="16"/>
                <w:szCs w:val="16"/>
                <w:lang w:val="es-ES_tradnl"/>
              </w:rPr>
              <w:t xml:space="preserve">  El 65% de los encuestados convino en señalar a la OMPI como el líder global en protección y promoción de la P.I. (WIPO Stakeholders Perceptions Survey, enero de 2012)</w:t>
            </w:r>
          </w:p>
          <w:p w:rsidR="00C4782F" w:rsidRPr="00A34388" w:rsidRDefault="00C4782F" w:rsidP="006F0C07">
            <w:pPr>
              <w:rPr>
                <w:rFonts w:cs="Arial"/>
                <w:i/>
                <w:color w:val="002060"/>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Referencia original:</w:t>
            </w:r>
            <w:r w:rsidR="007E4D96" w:rsidRPr="00A34388">
              <w:rPr>
                <w:rFonts w:cs="Arial"/>
                <w:i/>
                <w:sz w:val="16"/>
                <w:szCs w:val="16"/>
                <w:lang w:val="es-ES_tradnl"/>
              </w:rPr>
              <w:t xml:space="preserve"> </w:t>
            </w:r>
            <w:r w:rsidRPr="00A34388">
              <w:rPr>
                <w:rFonts w:cs="Arial"/>
                <w:i/>
                <w:sz w:val="16"/>
                <w:szCs w:val="16"/>
                <w:lang w:val="es-ES_tradnl"/>
              </w:rPr>
              <w:t xml:space="preserve"> Presup. por prog. 2012/13:  Por determinar</w:t>
            </w:r>
          </w:p>
          <w:p w:rsidR="00C4782F" w:rsidRPr="00A34388" w:rsidRDefault="00C4782F" w:rsidP="006F0C07">
            <w:pPr>
              <w:rPr>
                <w:rFonts w:cs="Arial"/>
                <w:sz w:val="16"/>
                <w:szCs w:val="16"/>
                <w:lang w:val="es-ES_tradnl"/>
              </w:rPr>
            </w:pPr>
          </w:p>
        </w:tc>
        <w:tc>
          <w:tcPr>
            <w:tcW w:w="606" w:type="pct"/>
            <w:tcBorders>
              <w:bottom w:val="single" w:sz="4" w:space="0" w:color="auto"/>
            </w:tcBorders>
            <w:tcMar>
              <w:top w:w="110" w:type="dxa"/>
            </w:tcMar>
          </w:tcPr>
          <w:p w:rsidR="00C4782F" w:rsidRPr="00A34388" w:rsidRDefault="00C4782F" w:rsidP="006F0C07">
            <w:pPr>
              <w:ind w:firstLine="34"/>
              <w:rPr>
                <w:rFonts w:cs="Arial"/>
                <w:sz w:val="16"/>
                <w:szCs w:val="16"/>
                <w:lang w:val="es-ES_tradnl"/>
              </w:rPr>
            </w:pPr>
            <w:r w:rsidRPr="00A34388">
              <w:rPr>
                <w:rFonts w:cs="Arial"/>
                <w:sz w:val="16"/>
                <w:szCs w:val="16"/>
                <w:lang w:val="es-ES_tradnl"/>
              </w:rPr>
              <w:t>≥ 70%</w:t>
            </w:r>
          </w:p>
        </w:tc>
        <w:tc>
          <w:tcPr>
            <w:tcW w:w="1363" w:type="pct"/>
            <w:tcBorders>
              <w:bottom w:val="single" w:sz="4" w:space="0" w:color="auto"/>
            </w:tcBorders>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El 87% de los encuestados opinan que la imagen pública de la OMPI es buena, muy buena o excelente. </w:t>
            </w:r>
            <w:r w:rsidR="00537926" w:rsidRPr="00A34388">
              <w:rPr>
                <w:rFonts w:cs="Arial"/>
                <w:sz w:val="16"/>
                <w:szCs w:val="16"/>
                <w:lang w:val="es-ES_tradnl"/>
              </w:rPr>
              <w:t xml:space="preserve"> </w:t>
            </w:r>
            <w:r w:rsidRPr="00A34388">
              <w:rPr>
                <w:rFonts w:cs="Arial"/>
                <w:sz w:val="16"/>
                <w:szCs w:val="16"/>
                <w:lang w:val="es-ES_tradnl"/>
              </w:rPr>
              <w:t>El 81% de quienes respondieron a la encuesta creen que la OMPI es el foro internacional adecuado para la promoción de la P.I. (resultados de la encuesta de prestación óptima del servicio de la OMPI, agosto de 2013).</w:t>
            </w:r>
          </w:p>
          <w:p w:rsidR="00C4782F" w:rsidRPr="00A34388" w:rsidRDefault="00C4782F" w:rsidP="006F0C07">
            <w:pPr>
              <w:rPr>
                <w:rFonts w:cs="Arial"/>
                <w:sz w:val="16"/>
                <w:szCs w:val="16"/>
                <w:lang w:val="es-ES_tradnl"/>
              </w:rPr>
            </w:pPr>
          </w:p>
        </w:tc>
        <w:tc>
          <w:tcPr>
            <w:tcW w:w="682" w:type="pct"/>
            <w:tcBorders>
              <w:bottom w:val="single" w:sz="4" w:space="0" w:color="auto"/>
            </w:tcBorders>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C4782F" w:rsidRPr="00A9508D" w:rsidTr="006F0C07">
        <w:tc>
          <w:tcPr>
            <w:tcW w:w="5000" w:type="pct"/>
            <w:gridSpan w:val="5"/>
            <w:tcBorders>
              <w:top w:val="single" w:sz="4" w:space="0" w:color="auto"/>
              <w:bottom w:val="single" w:sz="4" w:space="0" w:color="auto"/>
            </w:tcBorders>
            <w:shd w:val="clear" w:color="auto" w:fill="CCFFFF"/>
            <w:vAlign w:val="center"/>
          </w:tcPr>
          <w:p w:rsidR="00C4782F" w:rsidRPr="00332758" w:rsidRDefault="00C4782F" w:rsidP="006F0C07">
            <w:pPr>
              <w:keepNext/>
              <w:keepLines/>
              <w:tabs>
                <w:tab w:val="left" w:pos="1452"/>
              </w:tabs>
              <w:spacing w:before="120" w:after="120"/>
              <w:ind w:left="1452" w:hanging="1452"/>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Mejora en la prestación de servicios y la atención de consultas.</w:t>
            </w:r>
          </w:p>
        </w:tc>
      </w:tr>
      <w:tr w:rsidR="00C4782F" w:rsidRPr="00A34388" w:rsidTr="006F0C07">
        <w:tc>
          <w:tcPr>
            <w:tcW w:w="834" w:type="pct"/>
            <w:tcBorders>
              <w:top w:val="single" w:sz="4" w:space="0" w:color="auto"/>
            </w:tcBorders>
            <w:vAlign w:val="center"/>
          </w:tcPr>
          <w:p w:rsidR="00C4782F" w:rsidRPr="00A34388" w:rsidRDefault="00C4782F" w:rsidP="006F0C07">
            <w:pPr>
              <w:rPr>
                <w:rFonts w:cs="Arial"/>
                <w:color w:val="808080"/>
                <w:sz w:val="16"/>
                <w:szCs w:val="16"/>
                <w:lang w:val="es-ES_tradnl"/>
              </w:rPr>
            </w:pPr>
            <w:r w:rsidRPr="00332758">
              <w:rPr>
                <w:rFonts w:cs="Arial"/>
                <w:b/>
                <w:sz w:val="16"/>
                <w:szCs w:val="16"/>
                <w:lang w:val="es-ES_tradnl"/>
              </w:rPr>
              <w:t>Indicadores de rendimiento</w:t>
            </w:r>
          </w:p>
        </w:tc>
        <w:tc>
          <w:tcPr>
            <w:tcW w:w="1515" w:type="pct"/>
            <w:tcBorders>
              <w:top w:val="single" w:sz="4" w:space="0" w:color="auto"/>
            </w:tcBorders>
            <w:shd w:val="clear" w:color="auto" w:fill="auto"/>
            <w:vAlign w:val="center"/>
          </w:tcPr>
          <w:p w:rsidR="00C4782F" w:rsidRPr="00A34388" w:rsidRDefault="00C4782F" w:rsidP="006F0C07">
            <w:pPr>
              <w:rPr>
                <w:rFonts w:cs="Arial"/>
                <w:b/>
                <w:bCs/>
                <w:color w:val="808080"/>
                <w:sz w:val="16"/>
                <w:szCs w:val="16"/>
                <w:lang w:val="es-ES_tradnl"/>
              </w:rPr>
            </w:pPr>
            <w:r w:rsidRPr="00332758">
              <w:rPr>
                <w:rFonts w:cs="Arial"/>
                <w:b/>
                <w:bCs/>
                <w:sz w:val="16"/>
                <w:szCs w:val="16"/>
                <w:lang w:val="es-ES_tradnl"/>
              </w:rPr>
              <w:t>Referencia</w:t>
            </w:r>
          </w:p>
        </w:tc>
        <w:tc>
          <w:tcPr>
            <w:tcW w:w="606" w:type="pct"/>
            <w:tcBorders>
              <w:top w:val="single" w:sz="4" w:space="0" w:color="auto"/>
            </w:tcBorders>
            <w:tcMar>
              <w:top w:w="110" w:type="dxa"/>
            </w:tcMar>
            <w:vAlign w:val="center"/>
          </w:tcPr>
          <w:p w:rsidR="00C4782F" w:rsidRPr="00A34388" w:rsidRDefault="00C4782F" w:rsidP="006F0C07">
            <w:pPr>
              <w:rPr>
                <w:rFonts w:cs="Arial"/>
                <w:b/>
                <w:bCs/>
                <w:color w:val="808080"/>
                <w:sz w:val="16"/>
                <w:szCs w:val="16"/>
                <w:lang w:val="es-ES_tradnl"/>
              </w:rPr>
            </w:pPr>
            <w:r w:rsidRPr="00332758">
              <w:rPr>
                <w:rFonts w:cs="Arial"/>
                <w:b/>
                <w:bCs/>
                <w:sz w:val="16"/>
                <w:szCs w:val="16"/>
                <w:lang w:val="es-ES_tradnl"/>
              </w:rPr>
              <w:t>Objetivos</w:t>
            </w:r>
          </w:p>
        </w:tc>
        <w:tc>
          <w:tcPr>
            <w:tcW w:w="1363" w:type="pct"/>
            <w:tcBorders>
              <w:top w:val="single" w:sz="4" w:space="0" w:color="auto"/>
            </w:tcBorders>
            <w:shd w:val="clear" w:color="auto" w:fill="FFFFFF"/>
            <w:tcMar>
              <w:top w:w="110" w:type="dxa"/>
            </w:tcMar>
            <w:vAlign w:val="center"/>
          </w:tcPr>
          <w:p w:rsidR="00C4782F" w:rsidRPr="00A34388" w:rsidRDefault="00C4782F" w:rsidP="006F0C07">
            <w:pPr>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tcBorders>
            <w:tcMar>
              <w:top w:w="110" w:type="dxa"/>
            </w:tcMar>
            <w:vAlign w:val="center"/>
          </w:tcPr>
          <w:p w:rsidR="00C4782F" w:rsidRPr="00332758" w:rsidRDefault="00C4782F" w:rsidP="006F0C07">
            <w:pPr>
              <w:keepNext/>
              <w:keepLines/>
              <w:jc w:val="center"/>
              <w:rPr>
                <w:rFonts w:cs="Arial"/>
                <w:b/>
                <w:bCs/>
                <w:sz w:val="16"/>
                <w:szCs w:val="16"/>
                <w:lang w:val="es-ES_tradnl"/>
              </w:rPr>
            </w:pPr>
            <w:r w:rsidRPr="00332758">
              <w:rPr>
                <w:rFonts w:cs="Arial"/>
                <w:b/>
                <w:bCs/>
                <w:sz w:val="16"/>
                <w:szCs w:val="16"/>
                <w:lang w:val="es-ES_tradnl"/>
              </w:rPr>
              <w:t>Clave de colores</w:t>
            </w:r>
          </w:p>
        </w:tc>
      </w:tr>
      <w:tr w:rsidR="00C4782F" w:rsidRPr="00A34388" w:rsidTr="006F0C07">
        <w:tc>
          <w:tcPr>
            <w:tcW w:w="834" w:type="pct"/>
          </w:tcPr>
          <w:p w:rsidR="00C4782F" w:rsidRPr="00A34388" w:rsidRDefault="00C4782F" w:rsidP="006F0C07">
            <w:pPr>
              <w:rPr>
                <w:rFonts w:cs="Arial"/>
                <w:sz w:val="16"/>
                <w:szCs w:val="16"/>
                <w:lang w:val="es-ES_tradnl"/>
              </w:rPr>
            </w:pPr>
            <w:r w:rsidRPr="00332758">
              <w:rPr>
                <w:rFonts w:cs="Arial"/>
                <w:sz w:val="16"/>
                <w:szCs w:val="16"/>
                <w:lang w:val="es-ES_tradnl"/>
              </w:rPr>
              <w:t>Índice de satisfacción de los clientes y partes interesadas.</w:t>
            </w:r>
          </w:p>
        </w:tc>
        <w:tc>
          <w:tcPr>
            <w:tcW w:w="1515" w:type="pct"/>
            <w:shd w:val="clear" w:color="auto" w:fill="auto"/>
          </w:tcPr>
          <w:p w:rsidR="00C4782F" w:rsidRPr="00783C89" w:rsidRDefault="00C4782F" w:rsidP="006F0C07">
            <w:pPr>
              <w:rPr>
                <w:rFonts w:cs="Arial"/>
                <w:i/>
                <w:color w:val="002060"/>
                <w:sz w:val="16"/>
                <w:szCs w:val="16"/>
                <w:lang w:val="es-ES_tradnl"/>
              </w:rPr>
            </w:pPr>
            <w:r w:rsidRPr="00783C89">
              <w:rPr>
                <w:rFonts w:cs="Arial"/>
                <w:i/>
                <w:color w:val="002060"/>
                <w:sz w:val="16"/>
                <w:szCs w:val="16"/>
                <w:lang w:val="es-ES_tradnl"/>
              </w:rPr>
              <w:t xml:space="preserve">Referencia actualizada a fines de 2011:  </w:t>
            </w:r>
          </w:p>
          <w:p w:rsidR="00C4782F" w:rsidRPr="00783C89" w:rsidRDefault="00C4782F" w:rsidP="006F0C07">
            <w:pPr>
              <w:rPr>
                <w:rFonts w:cs="Arial"/>
                <w:color w:val="002060"/>
                <w:sz w:val="16"/>
                <w:szCs w:val="16"/>
                <w:lang w:val="es-ES_tradnl"/>
              </w:rPr>
            </w:pPr>
            <w:r w:rsidRPr="00783C89">
              <w:rPr>
                <w:rFonts w:cs="Arial"/>
                <w:color w:val="002060"/>
                <w:sz w:val="16"/>
                <w:szCs w:val="16"/>
                <w:lang w:val="es-ES_tradnl"/>
              </w:rPr>
              <w:t>El 86% de los usuarios de los sistemas de Madrid y La Haya está satisfecho o muy satisfecho (resultados de la encuesta de 2012).</w:t>
            </w:r>
          </w:p>
          <w:p w:rsidR="00C4782F" w:rsidRPr="00A34388" w:rsidRDefault="00C4782F" w:rsidP="006F0C07">
            <w:pPr>
              <w:rPr>
                <w:rFonts w:cs="Arial"/>
                <w:i/>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 2012/</w:t>
            </w:r>
            <w:r w:rsidR="007F2148" w:rsidRPr="00A34388">
              <w:rPr>
                <w:rFonts w:cs="Arial"/>
                <w:i/>
                <w:sz w:val="16"/>
                <w:szCs w:val="16"/>
                <w:lang w:val="es-ES_tradnl"/>
              </w:rPr>
              <w:t>13:  Por</w:t>
            </w:r>
            <w:r w:rsidRPr="00A34388">
              <w:rPr>
                <w:rFonts w:cs="Arial"/>
                <w:i/>
                <w:sz w:val="16"/>
                <w:szCs w:val="16"/>
                <w:lang w:val="es-ES_tradnl"/>
              </w:rPr>
              <w:t xml:space="preserve"> determinar</w:t>
            </w:r>
          </w:p>
          <w:p w:rsidR="00C4782F" w:rsidRPr="00A34388" w:rsidRDefault="00C4782F" w:rsidP="006F0C07">
            <w:pPr>
              <w:autoSpaceDE w:val="0"/>
              <w:autoSpaceDN w:val="0"/>
              <w:adjustRightInd w:val="0"/>
              <w:rPr>
                <w:rFonts w:cs="Arial"/>
                <w:sz w:val="16"/>
                <w:szCs w:val="16"/>
                <w:lang w:val="es-ES_tradnl"/>
              </w:rPr>
            </w:pPr>
          </w:p>
        </w:tc>
        <w:tc>
          <w:tcPr>
            <w:tcW w:w="606" w:type="pct"/>
            <w:tcMar>
              <w:top w:w="110" w:type="dxa"/>
            </w:tcMar>
          </w:tcPr>
          <w:p w:rsidR="00C4782F" w:rsidRPr="00A34388" w:rsidRDefault="00C4782F" w:rsidP="006F0C07">
            <w:pPr>
              <w:ind w:firstLine="34"/>
              <w:rPr>
                <w:rFonts w:cs="Arial"/>
                <w:sz w:val="16"/>
                <w:szCs w:val="16"/>
                <w:lang w:val="es-ES_tradnl"/>
              </w:rPr>
            </w:pPr>
            <w:r w:rsidRPr="00332758">
              <w:rPr>
                <w:rFonts w:cs="Arial"/>
                <w:sz w:val="16"/>
                <w:szCs w:val="16"/>
                <w:lang w:val="es-ES_tradnl"/>
              </w:rPr>
              <w:t>≥ 70% satisfechos o muy satisfechos.</w:t>
            </w:r>
            <w:r w:rsidRPr="00A34388">
              <w:rPr>
                <w:rFonts w:cs="Arial"/>
                <w:sz w:val="16"/>
                <w:szCs w:val="16"/>
                <w:lang w:val="es-ES_tradnl"/>
              </w:rPr>
              <w:t xml:space="preserve"> </w:t>
            </w:r>
          </w:p>
        </w:tc>
        <w:tc>
          <w:tcPr>
            <w:tcW w:w="1363" w:type="pct"/>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El 84% de los clientes estaban satisfechos o muy satisfechos (resultados de la encuesta de agosto de 2013). </w:t>
            </w:r>
            <w:r w:rsidR="00537926" w:rsidRPr="00A34388">
              <w:rPr>
                <w:rFonts w:cs="Arial"/>
                <w:sz w:val="16"/>
                <w:szCs w:val="16"/>
                <w:lang w:val="es-ES_tradnl"/>
              </w:rPr>
              <w:t xml:space="preserve"> </w:t>
            </w:r>
            <w:r w:rsidRPr="00A34388">
              <w:rPr>
                <w:rFonts w:cs="Arial"/>
                <w:sz w:val="16"/>
                <w:szCs w:val="16"/>
                <w:lang w:val="es-ES_tradnl"/>
              </w:rPr>
              <w:t>Las respuestas para los dos sistemas se desglosan del siguiente modo:</w:t>
            </w:r>
          </w:p>
          <w:p w:rsidR="00C4782F" w:rsidRPr="00A34388" w:rsidRDefault="00C4782F" w:rsidP="006F0C07">
            <w:pPr>
              <w:ind w:left="458" w:hanging="426"/>
              <w:rPr>
                <w:rFonts w:cs="Arial"/>
                <w:sz w:val="16"/>
                <w:szCs w:val="16"/>
                <w:lang w:val="es-ES_tradnl"/>
              </w:rPr>
            </w:pPr>
            <w:r w:rsidRPr="00A34388">
              <w:rPr>
                <w:rFonts w:cs="Arial"/>
                <w:sz w:val="16"/>
                <w:szCs w:val="16"/>
                <w:lang w:val="es-ES_tradnl"/>
              </w:rPr>
              <w:t>2012:</w:t>
            </w:r>
            <w:r w:rsidRPr="00A34388">
              <w:rPr>
                <w:rFonts w:cs="Arial"/>
                <w:sz w:val="16"/>
                <w:szCs w:val="16"/>
                <w:lang w:val="es-ES_tradnl"/>
              </w:rPr>
              <w:tab/>
              <w:t xml:space="preserve">Madrid =78%  </w:t>
            </w:r>
            <w:r w:rsidRPr="00A34388">
              <w:rPr>
                <w:rFonts w:cs="Arial"/>
                <w:sz w:val="16"/>
                <w:szCs w:val="16"/>
                <w:lang w:val="es-ES_tradnl"/>
              </w:rPr>
              <w:br/>
            </w:r>
            <w:r w:rsidRPr="00A34388">
              <w:rPr>
                <w:rFonts w:cs="Arial"/>
                <w:sz w:val="16"/>
                <w:szCs w:val="16"/>
                <w:lang w:val="es-ES_tradnl"/>
              </w:rPr>
              <w:tab/>
              <w:t>La Haya =95%</w:t>
            </w:r>
          </w:p>
          <w:p w:rsidR="00C4782F" w:rsidRPr="00A34388" w:rsidRDefault="00C4782F" w:rsidP="006F0C07">
            <w:pPr>
              <w:ind w:left="458" w:hanging="426"/>
              <w:rPr>
                <w:rFonts w:cs="Arial"/>
                <w:sz w:val="16"/>
                <w:szCs w:val="16"/>
                <w:lang w:val="es-ES_tradnl"/>
              </w:rPr>
            </w:pPr>
            <w:r w:rsidRPr="00A34388">
              <w:rPr>
                <w:rFonts w:cs="Arial"/>
                <w:sz w:val="16"/>
                <w:szCs w:val="16"/>
                <w:lang w:val="es-ES_tradnl"/>
              </w:rPr>
              <w:t xml:space="preserve">2013: </w:t>
            </w:r>
            <w:r w:rsidRPr="00A34388">
              <w:rPr>
                <w:rFonts w:cs="Arial"/>
                <w:sz w:val="16"/>
                <w:szCs w:val="16"/>
                <w:lang w:val="es-ES_tradnl"/>
              </w:rPr>
              <w:tab/>
              <w:t xml:space="preserve">Madrid =80%  </w:t>
            </w:r>
            <w:r w:rsidRPr="00A34388">
              <w:rPr>
                <w:rFonts w:cs="Arial"/>
                <w:sz w:val="16"/>
                <w:szCs w:val="16"/>
                <w:lang w:val="es-ES_tradnl"/>
              </w:rPr>
              <w:br/>
            </w:r>
            <w:r w:rsidRPr="00A34388">
              <w:rPr>
                <w:rFonts w:cs="Arial"/>
                <w:sz w:val="16"/>
                <w:szCs w:val="16"/>
                <w:lang w:val="es-ES_tradnl"/>
              </w:rPr>
              <w:tab/>
              <w:t>La Haya =88%</w:t>
            </w:r>
          </w:p>
        </w:tc>
        <w:tc>
          <w:tcPr>
            <w:tcW w:w="682" w:type="pct"/>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 logrado</w:t>
            </w:r>
          </w:p>
        </w:tc>
      </w:tr>
      <w:tr w:rsidR="00C4782F" w:rsidRPr="00A34388" w:rsidTr="006F0C07">
        <w:tc>
          <w:tcPr>
            <w:tcW w:w="834" w:type="pct"/>
            <w:tcBorders>
              <w:bottom w:val="single" w:sz="4" w:space="0" w:color="auto"/>
            </w:tcBorders>
          </w:tcPr>
          <w:p w:rsidR="00C4782F" w:rsidRPr="00A34388" w:rsidRDefault="00C4782F" w:rsidP="006F0C07">
            <w:pPr>
              <w:rPr>
                <w:rFonts w:cs="Arial"/>
                <w:sz w:val="16"/>
                <w:szCs w:val="16"/>
                <w:lang w:val="es-ES_tradnl"/>
              </w:rPr>
            </w:pPr>
            <w:r w:rsidRPr="00332758">
              <w:rPr>
                <w:rFonts w:cs="Arial"/>
                <w:sz w:val="16"/>
                <w:szCs w:val="16"/>
                <w:lang w:val="es-ES_tradnl"/>
              </w:rPr>
              <w:t>Tiempo de atención de las solicitudes de información gestionadas mediante el sistema de identificación y seguimiento (ticketing system).</w:t>
            </w:r>
          </w:p>
          <w:p w:rsidR="00C4782F" w:rsidRPr="00A34388" w:rsidRDefault="00C4782F" w:rsidP="006F0C07">
            <w:pPr>
              <w:rPr>
                <w:rFonts w:cs="Arial"/>
                <w:sz w:val="16"/>
                <w:szCs w:val="16"/>
                <w:lang w:val="es-ES_tradnl"/>
              </w:rPr>
            </w:pPr>
          </w:p>
        </w:tc>
        <w:tc>
          <w:tcPr>
            <w:tcW w:w="1515" w:type="pct"/>
            <w:tcBorders>
              <w:bottom w:val="single" w:sz="4" w:space="0" w:color="auto"/>
            </w:tcBorders>
            <w:shd w:val="clear" w:color="auto" w:fill="auto"/>
          </w:tcPr>
          <w:p w:rsidR="00C4782F" w:rsidRPr="00783C89" w:rsidRDefault="00C4782F" w:rsidP="006F0C07">
            <w:pPr>
              <w:rPr>
                <w:rFonts w:cs="Arial"/>
                <w:color w:val="002060"/>
                <w:sz w:val="16"/>
                <w:szCs w:val="16"/>
                <w:lang w:val="es-ES_tradnl"/>
              </w:rPr>
            </w:pPr>
            <w:r w:rsidRPr="00783C89">
              <w:rPr>
                <w:rFonts w:cs="Arial"/>
                <w:i/>
                <w:color w:val="002060"/>
                <w:sz w:val="16"/>
                <w:szCs w:val="16"/>
                <w:lang w:val="es-ES_tradnl"/>
              </w:rPr>
              <w:t xml:space="preserve">Referencia actualizada a fines de 2011:  </w:t>
            </w:r>
            <w:r w:rsidRPr="00783C89">
              <w:rPr>
                <w:rFonts w:cs="Arial"/>
                <w:color w:val="002060"/>
                <w:sz w:val="16"/>
                <w:szCs w:val="16"/>
                <w:lang w:val="es-ES_tradnl"/>
              </w:rPr>
              <w:t>70%</w:t>
            </w:r>
          </w:p>
          <w:p w:rsidR="00C4782F" w:rsidRPr="00A34388" w:rsidRDefault="00C4782F" w:rsidP="006F0C07">
            <w:pPr>
              <w:rPr>
                <w:rFonts w:cs="Arial"/>
                <w:i/>
                <w:sz w:val="8"/>
                <w:szCs w:val="8"/>
                <w:lang w:val="es-ES_tradnl"/>
              </w:rPr>
            </w:pPr>
          </w:p>
          <w:p w:rsidR="00C4782F" w:rsidRPr="00A34388" w:rsidRDefault="00C4782F" w:rsidP="006F0C07">
            <w:pPr>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 2012/13:</w:t>
            </w:r>
            <w:r w:rsidRPr="00A34388">
              <w:rPr>
                <w:rFonts w:cs="Arial"/>
                <w:i/>
                <w:iCs/>
                <w:sz w:val="16"/>
                <w:szCs w:val="16"/>
                <w:lang w:val="es-ES_tradnl"/>
              </w:rPr>
              <w:br/>
            </w:r>
            <w:r w:rsidRPr="00A34388">
              <w:rPr>
                <w:rFonts w:cs="Arial"/>
                <w:sz w:val="16"/>
                <w:szCs w:val="16"/>
                <w:lang w:val="es-ES_tradnl"/>
              </w:rPr>
              <w:t>Datos de septiembre a diciembre de 2011</w:t>
            </w:r>
          </w:p>
        </w:tc>
        <w:tc>
          <w:tcPr>
            <w:tcW w:w="606" w:type="pct"/>
            <w:tcBorders>
              <w:bottom w:val="single" w:sz="4" w:space="0" w:color="auto"/>
            </w:tcBorders>
            <w:tcMar>
              <w:top w:w="110" w:type="dxa"/>
            </w:tcMar>
          </w:tcPr>
          <w:p w:rsidR="00C4782F" w:rsidRPr="00A34388" w:rsidRDefault="00C4782F" w:rsidP="006F0C07">
            <w:pPr>
              <w:autoSpaceDE w:val="0"/>
              <w:autoSpaceDN w:val="0"/>
              <w:adjustRightInd w:val="0"/>
              <w:rPr>
                <w:rFonts w:cs="Arial"/>
                <w:sz w:val="16"/>
                <w:szCs w:val="16"/>
                <w:lang w:val="es-ES_tradnl"/>
              </w:rPr>
            </w:pPr>
            <w:r w:rsidRPr="00A34388">
              <w:rPr>
                <w:rFonts w:cs="Arial"/>
                <w:sz w:val="16"/>
                <w:szCs w:val="16"/>
                <w:lang w:val="es-ES_tradnl"/>
              </w:rPr>
              <w:t>≥ 90% en un plazo de tres días hábiles</w:t>
            </w:r>
          </w:p>
        </w:tc>
        <w:tc>
          <w:tcPr>
            <w:tcW w:w="1363" w:type="pct"/>
            <w:tcBorders>
              <w:bottom w:val="single" w:sz="4" w:space="0" w:color="auto"/>
            </w:tcBorders>
            <w:shd w:val="clear" w:color="auto" w:fill="FFFFFF"/>
            <w:tcMar>
              <w:top w:w="110" w:type="dxa"/>
            </w:tcMar>
          </w:tcPr>
          <w:p w:rsidR="00C4782F" w:rsidRPr="00A34388" w:rsidRDefault="00C4782F" w:rsidP="006F0C07">
            <w:pPr>
              <w:rPr>
                <w:rFonts w:cs="Arial"/>
                <w:sz w:val="16"/>
                <w:szCs w:val="16"/>
                <w:lang w:val="es-ES_tradnl"/>
              </w:rPr>
            </w:pPr>
            <w:r w:rsidRPr="00A34388">
              <w:rPr>
                <w:rFonts w:cs="Arial"/>
                <w:sz w:val="16"/>
                <w:szCs w:val="16"/>
                <w:lang w:val="es-ES_tradnl"/>
              </w:rPr>
              <w:t xml:space="preserve">El 90% de las </w:t>
            </w:r>
            <w:r w:rsidR="008804AB">
              <w:rPr>
                <w:rFonts w:cs="Arial"/>
                <w:sz w:val="16"/>
                <w:szCs w:val="16"/>
                <w:lang w:val="es-ES_tradnl"/>
              </w:rPr>
              <w:t>consultas</w:t>
            </w:r>
            <w:r w:rsidRPr="00A34388">
              <w:rPr>
                <w:rFonts w:cs="Arial"/>
                <w:sz w:val="16"/>
                <w:szCs w:val="16"/>
                <w:lang w:val="es-ES_tradnl"/>
              </w:rPr>
              <w:t xml:space="preserve"> recibidas entre abril y diciembre de 2012, y el 99% de las recibidas entre enero y diciembre de 2013 por el Centro de Atención al Cliente fueron atendidas en un plazo de tres días hábiles.</w:t>
            </w:r>
          </w:p>
          <w:p w:rsidR="00C4782F" w:rsidRPr="00A34388" w:rsidRDefault="00C4782F" w:rsidP="006F0C07">
            <w:pPr>
              <w:rPr>
                <w:rFonts w:ascii="Calibri" w:hAnsi="Calibri" w:cs="Calibri"/>
                <w:sz w:val="16"/>
                <w:szCs w:val="16"/>
                <w:lang w:val="es-ES_tradnl"/>
              </w:rPr>
            </w:pPr>
          </w:p>
        </w:tc>
        <w:tc>
          <w:tcPr>
            <w:tcW w:w="682" w:type="pct"/>
            <w:tcBorders>
              <w:bottom w:val="single" w:sz="4" w:space="0" w:color="auto"/>
            </w:tcBorders>
            <w:tcMar>
              <w:top w:w="110" w:type="dxa"/>
            </w:tcMar>
          </w:tcPr>
          <w:p w:rsidR="00C4782F" w:rsidRPr="00332758" w:rsidRDefault="00C4782F" w:rsidP="006F0C07">
            <w:pPr>
              <w:keepNext/>
              <w:keepLines/>
              <w:jc w:val="center"/>
              <w:rPr>
                <w:rFonts w:cs="Arial"/>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bl>
    <w:p w:rsidR="00C4782F" w:rsidRPr="00A34388" w:rsidRDefault="00C4782F" w:rsidP="00C4782F">
      <w:pPr>
        <w:rPr>
          <w:rFonts w:eastAsia="SimSun"/>
          <w:color w:val="000000"/>
          <w:sz w:val="22"/>
          <w:szCs w:val="22"/>
          <w:lang w:val="es-ES_tradnl" w:eastAsia="zh-CN"/>
        </w:rPr>
      </w:pPr>
    </w:p>
    <w:p w:rsidR="00C4782F" w:rsidRPr="00A34388" w:rsidRDefault="00C4782F" w:rsidP="00C4782F">
      <w:pPr>
        <w:rPr>
          <w:rFonts w:eastAsia="SimSun"/>
          <w:color w:val="000000"/>
          <w:sz w:val="22"/>
          <w:szCs w:val="22"/>
          <w:lang w:val="es-ES_tradnl" w:eastAsia="zh-CN"/>
        </w:rPr>
      </w:pPr>
    </w:p>
    <w:p w:rsidR="004C0FD5" w:rsidRPr="00332758" w:rsidRDefault="004C0FD5">
      <w:pPr>
        <w:rPr>
          <w:rFonts w:eastAsia="SimSun"/>
          <w:sz w:val="22"/>
          <w:szCs w:val="22"/>
          <w:lang w:val="es-ES_tradnl" w:eastAsia="zh-CN"/>
        </w:rPr>
      </w:pPr>
      <w:r w:rsidRPr="00332758">
        <w:rPr>
          <w:rFonts w:eastAsia="SimSun"/>
          <w:sz w:val="22"/>
          <w:szCs w:val="22"/>
          <w:lang w:val="es-ES_tradnl" w:eastAsia="zh-CN"/>
        </w:rPr>
        <w:br w:type="page"/>
      </w:r>
    </w:p>
    <w:p w:rsidR="00C4782F" w:rsidRPr="00A34388" w:rsidRDefault="00C4782F" w:rsidP="00C4782F">
      <w:pPr>
        <w:autoSpaceDE w:val="0"/>
        <w:autoSpaceDN w:val="0"/>
        <w:adjustRightInd w:val="0"/>
        <w:jc w:val="both"/>
        <w:rPr>
          <w:rFonts w:eastAsia="SimSun"/>
          <w:color w:val="000000"/>
          <w:sz w:val="22"/>
          <w:szCs w:val="22"/>
          <w:lang w:val="es-ES_tradnl" w:eastAsia="zh-CN"/>
        </w:rPr>
      </w:pPr>
      <w:r w:rsidRPr="00332758">
        <w:rPr>
          <w:rFonts w:eastAsia="SimSun"/>
          <w:sz w:val="22"/>
          <w:szCs w:val="22"/>
          <w:lang w:val="es-ES_tradnl" w:eastAsia="zh-CN"/>
        </w:rPr>
        <w:lastRenderedPageBreak/>
        <w:t>PRESUPUESTO Y GASTOS REALES</w:t>
      </w:r>
    </w:p>
    <w:p w:rsidR="00C4782F" w:rsidRPr="00A34388" w:rsidRDefault="00C4782F" w:rsidP="00C4782F">
      <w:pPr>
        <w:autoSpaceDE w:val="0"/>
        <w:autoSpaceDN w:val="0"/>
        <w:adjustRightInd w:val="0"/>
        <w:jc w:val="both"/>
        <w:rPr>
          <w:rFonts w:eastAsia="SimSun"/>
          <w:color w:val="000000"/>
          <w:sz w:val="22"/>
          <w:szCs w:val="22"/>
          <w:lang w:val="es-ES_tradnl" w:eastAsia="zh-CN"/>
        </w:rPr>
      </w:pPr>
    </w:p>
    <w:p w:rsidR="00C4782F" w:rsidRPr="00A34388" w:rsidRDefault="00C4782F" w:rsidP="00C4782F">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(por resultado) </w:t>
      </w:r>
    </w:p>
    <w:p w:rsidR="00C4782F" w:rsidRPr="00332758" w:rsidRDefault="00C4782F" w:rsidP="00C4782F">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C4782F" w:rsidRPr="00A34388" w:rsidRDefault="00C4782F" w:rsidP="00C4782F">
      <w:pPr>
        <w:autoSpaceDE w:val="0"/>
        <w:autoSpaceDN w:val="0"/>
        <w:adjustRightInd w:val="0"/>
        <w:jc w:val="both"/>
        <w:rPr>
          <w:rFonts w:eastAsia="SimSun"/>
          <w:color w:val="000000"/>
          <w:sz w:val="22"/>
          <w:szCs w:val="22"/>
          <w:lang w:val="es-ES_tradnl" w:eastAsia="zh-CN"/>
        </w:rPr>
      </w:pPr>
    </w:p>
    <w:tbl>
      <w:tblPr>
        <w:tblW w:w="0" w:type="auto"/>
        <w:tblInd w:w="108" w:type="dxa"/>
        <w:tblLook w:val="04A0" w:firstRow="1" w:lastRow="0" w:firstColumn="1" w:lastColumn="0" w:noHBand="0" w:noVBand="1"/>
      </w:tblPr>
      <w:tblGrid>
        <w:gridCol w:w="630"/>
        <w:gridCol w:w="4190"/>
        <w:gridCol w:w="1512"/>
        <w:gridCol w:w="1512"/>
        <w:gridCol w:w="1512"/>
      </w:tblGrid>
      <w:tr w:rsidR="00C4782F" w:rsidRPr="00A34388" w:rsidTr="006F0C07">
        <w:tc>
          <w:tcPr>
            <w:tcW w:w="48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A34388">
              <w:rPr>
                <w:rFonts w:cs="Arial"/>
                <w:bCs/>
                <w:color w:val="000000"/>
                <w:sz w:val="16"/>
                <w:szCs w:val="16"/>
                <w:lang w:val="es-ES_tradnl"/>
              </w:rPr>
              <w:t>Gastos en 2012/13</w:t>
            </w:r>
          </w:p>
        </w:tc>
      </w:tr>
      <w:tr w:rsidR="00C4782F" w:rsidRPr="00A34388" w:rsidTr="006F0C07">
        <w:tc>
          <w:tcPr>
            <w:tcW w:w="630" w:type="dxa"/>
            <w:tcBorders>
              <w:top w:val="nil"/>
              <w:left w:val="single" w:sz="4" w:space="0" w:color="auto"/>
              <w:bottom w:val="nil"/>
              <w:right w:val="nil"/>
            </w:tcBorders>
            <w:shd w:val="clear" w:color="000000" w:fill="FFFFFF"/>
            <w:noWrap/>
          </w:tcPr>
          <w:p w:rsidR="00C4782F" w:rsidRPr="00A34388" w:rsidRDefault="00C4782F" w:rsidP="006F0C07">
            <w:pPr>
              <w:spacing w:before="120"/>
              <w:jc w:val="center"/>
              <w:rPr>
                <w:rFonts w:cs="Arial"/>
                <w:color w:val="808080"/>
                <w:sz w:val="16"/>
                <w:szCs w:val="16"/>
                <w:lang w:val="es-ES_tradnl"/>
              </w:rPr>
            </w:pPr>
            <w:r w:rsidRPr="00332758">
              <w:rPr>
                <w:rFonts w:cs="Arial"/>
                <w:sz w:val="16"/>
                <w:szCs w:val="16"/>
                <w:lang w:val="es-ES_tradnl"/>
              </w:rPr>
              <w:t>VIII.1</w:t>
            </w:r>
          </w:p>
        </w:tc>
        <w:tc>
          <w:tcPr>
            <w:tcW w:w="4190" w:type="dxa"/>
            <w:tcBorders>
              <w:top w:val="nil"/>
              <w:left w:val="nil"/>
              <w:bottom w:val="nil"/>
              <w:right w:val="nil"/>
            </w:tcBorders>
            <w:shd w:val="clear" w:color="000000" w:fill="FFFFFF"/>
          </w:tcPr>
          <w:p w:rsidR="00C4782F" w:rsidRPr="00A34388" w:rsidRDefault="00C4782F" w:rsidP="006F0C07">
            <w:pPr>
              <w:spacing w:before="120"/>
              <w:rPr>
                <w:rFonts w:cs="Arial"/>
                <w:color w:val="808080"/>
                <w:sz w:val="16"/>
                <w:szCs w:val="16"/>
                <w:lang w:val="es-ES_tradnl"/>
              </w:rPr>
            </w:pPr>
            <w:r w:rsidRPr="00332758">
              <w:rPr>
                <w:rFonts w:cs="Arial"/>
                <w:sz w:val="16"/>
                <w:szCs w:val="16"/>
                <w:lang w:val="es-ES_tradnl"/>
              </w:rPr>
              <w:t>Comunicación más eficaz con el público en general acerca de la P.I. y la función de la OMPI.</w:t>
            </w:r>
          </w:p>
        </w:tc>
        <w:tc>
          <w:tcPr>
            <w:tcW w:w="1512" w:type="dxa"/>
            <w:tcBorders>
              <w:top w:val="nil"/>
              <w:left w:val="nil"/>
              <w:bottom w:val="nil"/>
              <w:right w:val="nil"/>
            </w:tcBorders>
            <w:shd w:val="clear" w:color="000000" w:fill="FFFFFF"/>
            <w:vAlign w:val="center"/>
          </w:tcPr>
          <w:p w:rsidR="00C4782F" w:rsidRPr="00A34388" w:rsidRDefault="00C4782F" w:rsidP="006F0C07">
            <w:pPr>
              <w:spacing w:before="120"/>
              <w:jc w:val="right"/>
              <w:rPr>
                <w:rFonts w:cs="Arial"/>
                <w:color w:val="808080"/>
                <w:sz w:val="16"/>
                <w:szCs w:val="16"/>
                <w:lang w:val="es-ES_tradnl"/>
              </w:rPr>
            </w:pPr>
            <w:r w:rsidRPr="00332758">
              <w:rPr>
                <w:rFonts w:cs="Arial"/>
                <w:sz w:val="16"/>
                <w:szCs w:val="16"/>
                <w:lang w:val="es-ES_tradnl"/>
              </w:rPr>
              <w:t xml:space="preserve">13.664 </w:t>
            </w:r>
          </w:p>
        </w:tc>
        <w:tc>
          <w:tcPr>
            <w:tcW w:w="1512" w:type="dxa"/>
            <w:tcBorders>
              <w:top w:val="nil"/>
              <w:left w:val="nil"/>
              <w:bottom w:val="nil"/>
              <w:right w:val="nil"/>
            </w:tcBorders>
            <w:shd w:val="clear" w:color="000000" w:fill="FFFFFF"/>
            <w:vAlign w:val="center"/>
          </w:tcPr>
          <w:p w:rsidR="00C4782F" w:rsidRPr="00A34388" w:rsidRDefault="00C4782F" w:rsidP="006F0C07">
            <w:pPr>
              <w:spacing w:before="120"/>
              <w:jc w:val="right"/>
              <w:rPr>
                <w:rFonts w:cs="Arial"/>
                <w:color w:val="808080"/>
                <w:sz w:val="16"/>
                <w:szCs w:val="16"/>
                <w:lang w:val="es-ES_tradnl"/>
              </w:rPr>
            </w:pPr>
            <w:r w:rsidRPr="00332758">
              <w:rPr>
                <w:rFonts w:cs="Arial"/>
                <w:sz w:val="16"/>
                <w:szCs w:val="16"/>
                <w:lang w:val="es-ES_tradnl"/>
              </w:rPr>
              <w:t xml:space="preserve">13.725 </w:t>
            </w:r>
          </w:p>
        </w:tc>
        <w:tc>
          <w:tcPr>
            <w:tcW w:w="1512" w:type="dxa"/>
            <w:tcBorders>
              <w:top w:val="nil"/>
              <w:left w:val="nil"/>
              <w:bottom w:val="nil"/>
              <w:right w:val="single" w:sz="4" w:space="0" w:color="auto"/>
            </w:tcBorders>
            <w:shd w:val="clear" w:color="000000" w:fill="FFFFFF"/>
            <w:vAlign w:val="center"/>
          </w:tcPr>
          <w:p w:rsidR="00C4782F" w:rsidRPr="00332758" w:rsidRDefault="00C4782F" w:rsidP="006F0C07">
            <w:pPr>
              <w:spacing w:before="120"/>
              <w:jc w:val="right"/>
              <w:rPr>
                <w:rFonts w:cs="Arial"/>
                <w:sz w:val="16"/>
                <w:szCs w:val="16"/>
                <w:lang w:val="es-ES_tradnl"/>
              </w:rPr>
            </w:pPr>
            <w:r w:rsidRPr="00332758">
              <w:rPr>
                <w:rFonts w:cs="Arial"/>
                <w:sz w:val="16"/>
                <w:szCs w:val="16"/>
                <w:lang w:val="es-ES_tradnl"/>
              </w:rPr>
              <w:t>13.449</w:t>
            </w:r>
          </w:p>
        </w:tc>
      </w:tr>
      <w:tr w:rsidR="00C4782F" w:rsidRPr="00A34388" w:rsidTr="006F0C07">
        <w:tc>
          <w:tcPr>
            <w:tcW w:w="630" w:type="dxa"/>
            <w:tcBorders>
              <w:top w:val="nil"/>
              <w:left w:val="single" w:sz="4" w:space="0" w:color="auto"/>
              <w:bottom w:val="single" w:sz="4" w:space="0" w:color="auto"/>
              <w:right w:val="nil"/>
            </w:tcBorders>
            <w:shd w:val="clear" w:color="000000" w:fill="FFFFFF"/>
            <w:noWrap/>
            <w:vAlign w:val="center"/>
          </w:tcPr>
          <w:p w:rsidR="00C4782F" w:rsidRPr="00A34388" w:rsidRDefault="00C4782F" w:rsidP="006F0C07">
            <w:pPr>
              <w:spacing w:before="120" w:after="120"/>
              <w:rPr>
                <w:rFonts w:cs="Arial"/>
                <w:color w:val="808080"/>
                <w:sz w:val="16"/>
                <w:szCs w:val="16"/>
                <w:lang w:val="es-ES_tradnl"/>
              </w:rPr>
            </w:pPr>
            <w:r w:rsidRPr="00332758">
              <w:rPr>
                <w:rFonts w:cs="Arial"/>
                <w:sz w:val="16"/>
                <w:szCs w:val="16"/>
                <w:lang w:val="es-ES_tradnl"/>
              </w:rPr>
              <w:t>VIII.2</w:t>
            </w:r>
          </w:p>
        </w:tc>
        <w:tc>
          <w:tcPr>
            <w:tcW w:w="4190" w:type="dxa"/>
            <w:tcBorders>
              <w:top w:val="nil"/>
              <w:left w:val="nil"/>
              <w:bottom w:val="single" w:sz="4" w:space="0" w:color="auto"/>
              <w:right w:val="nil"/>
            </w:tcBorders>
            <w:shd w:val="clear" w:color="000000" w:fill="FFFFFF"/>
            <w:vAlign w:val="center"/>
          </w:tcPr>
          <w:p w:rsidR="00C4782F" w:rsidRPr="00A34388" w:rsidRDefault="00C4782F" w:rsidP="006F0C07">
            <w:pPr>
              <w:spacing w:before="120" w:after="120"/>
              <w:rPr>
                <w:rFonts w:cs="Arial"/>
                <w:color w:val="808080"/>
                <w:sz w:val="16"/>
                <w:szCs w:val="16"/>
                <w:lang w:val="es-ES_tradnl"/>
              </w:rPr>
            </w:pPr>
            <w:r w:rsidRPr="00332758">
              <w:rPr>
                <w:rFonts w:cs="Arial"/>
                <w:sz w:val="16"/>
                <w:szCs w:val="16"/>
                <w:lang w:val="es-ES_tradnl"/>
              </w:rPr>
              <w:t>Mejora en la prestación de servicios y la atención de consultas.</w:t>
            </w:r>
          </w:p>
        </w:tc>
        <w:tc>
          <w:tcPr>
            <w:tcW w:w="1512" w:type="dxa"/>
            <w:tcBorders>
              <w:top w:val="nil"/>
              <w:left w:val="nil"/>
              <w:bottom w:val="single" w:sz="4" w:space="0" w:color="auto"/>
              <w:right w:val="nil"/>
            </w:tcBorders>
            <w:shd w:val="clear" w:color="000000" w:fill="FFFFFF"/>
            <w:vAlign w:val="center"/>
          </w:tcPr>
          <w:p w:rsidR="00C4782F" w:rsidRPr="00A34388" w:rsidRDefault="00C4782F" w:rsidP="006F0C07">
            <w:pPr>
              <w:spacing w:before="120" w:after="120"/>
              <w:jc w:val="right"/>
              <w:rPr>
                <w:rFonts w:cs="Arial"/>
                <w:color w:val="808080"/>
                <w:sz w:val="16"/>
                <w:szCs w:val="16"/>
                <w:lang w:val="es-ES_tradnl"/>
              </w:rPr>
            </w:pPr>
            <w:r w:rsidRPr="00332758">
              <w:rPr>
                <w:rFonts w:cs="Arial"/>
                <w:sz w:val="16"/>
                <w:szCs w:val="16"/>
                <w:lang w:val="es-ES_tradnl"/>
              </w:rPr>
              <w:t xml:space="preserve">2.935 </w:t>
            </w:r>
          </w:p>
        </w:tc>
        <w:tc>
          <w:tcPr>
            <w:tcW w:w="1512" w:type="dxa"/>
            <w:tcBorders>
              <w:top w:val="nil"/>
              <w:left w:val="nil"/>
              <w:bottom w:val="single" w:sz="4" w:space="0" w:color="auto"/>
              <w:right w:val="nil"/>
            </w:tcBorders>
            <w:shd w:val="clear" w:color="000000" w:fill="FFFFFF"/>
            <w:vAlign w:val="center"/>
          </w:tcPr>
          <w:p w:rsidR="00C4782F" w:rsidRPr="00A34388" w:rsidRDefault="00C4782F" w:rsidP="006F0C07">
            <w:pPr>
              <w:spacing w:before="120" w:after="120"/>
              <w:jc w:val="right"/>
              <w:rPr>
                <w:rFonts w:cs="Arial"/>
                <w:color w:val="808080"/>
                <w:sz w:val="16"/>
                <w:szCs w:val="16"/>
                <w:lang w:val="es-ES_tradnl"/>
              </w:rPr>
            </w:pPr>
            <w:r w:rsidRPr="00332758">
              <w:rPr>
                <w:rFonts w:cs="Arial"/>
                <w:sz w:val="16"/>
                <w:szCs w:val="16"/>
                <w:lang w:val="es-ES_tradnl"/>
              </w:rPr>
              <w:t xml:space="preserve">2.851 </w:t>
            </w:r>
          </w:p>
        </w:tc>
        <w:tc>
          <w:tcPr>
            <w:tcW w:w="1512" w:type="dxa"/>
            <w:tcBorders>
              <w:top w:val="nil"/>
              <w:left w:val="nil"/>
              <w:bottom w:val="single" w:sz="4" w:space="0" w:color="auto"/>
              <w:right w:val="single" w:sz="4" w:space="0" w:color="auto"/>
            </w:tcBorders>
            <w:shd w:val="clear" w:color="000000" w:fill="FFFFFF"/>
            <w:vAlign w:val="center"/>
          </w:tcPr>
          <w:p w:rsidR="00C4782F" w:rsidRPr="00332758" w:rsidRDefault="00C4782F" w:rsidP="006F0C07">
            <w:pPr>
              <w:spacing w:before="120" w:after="120"/>
              <w:jc w:val="right"/>
              <w:rPr>
                <w:rFonts w:cs="Arial"/>
                <w:sz w:val="16"/>
                <w:szCs w:val="16"/>
                <w:lang w:val="es-ES_tradnl"/>
              </w:rPr>
            </w:pPr>
            <w:r w:rsidRPr="00332758">
              <w:rPr>
                <w:rFonts w:cs="Arial"/>
                <w:sz w:val="16"/>
                <w:szCs w:val="16"/>
                <w:lang w:val="es-ES_tradnl"/>
              </w:rPr>
              <w:t>2.660</w:t>
            </w:r>
          </w:p>
        </w:tc>
      </w:tr>
      <w:tr w:rsidR="00C4782F" w:rsidRPr="00A34388" w:rsidTr="006F0C07">
        <w:tc>
          <w:tcPr>
            <w:tcW w:w="630" w:type="dxa"/>
            <w:tcBorders>
              <w:top w:val="nil"/>
              <w:left w:val="single" w:sz="4" w:space="0" w:color="auto"/>
              <w:bottom w:val="single" w:sz="4" w:space="0" w:color="auto"/>
              <w:right w:val="nil"/>
            </w:tcBorders>
            <w:shd w:val="clear" w:color="000000" w:fill="CCFFFF"/>
            <w:noWrap/>
            <w:vAlign w:val="bottom"/>
          </w:tcPr>
          <w:p w:rsidR="00C4782F" w:rsidRPr="00A34388" w:rsidRDefault="00C4782F" w:rsidP="006F0C07">
            <w:pPr>
              <w:spacing w:before="120" w:after="120"/>
              <w:jc w:val="center"/>
              <w:rPr>
                <w:rFonts w:cs="Arial"/>
                <w:b/>
                <w:bCs/>
                <w:color w:val="808080"/>
                <w:sz w:val="16"/>
                <w:szCs w:val="16"/>
                <w:lang w:val="es-ES_tradnl"/>
              </w:rPr>
            </w:pPr>
            <w:r w:rsidRPr="00332758">
              <w:rPr>
                <w:rFonts w:cs="Arial"/>
                <w:b/>
                <w:bCs/>
                <w:sz w:val="16"/>
                <w:szCs w:val="16"/>
                <w:lang w:val="es-ES_tradnl"/>
              </w:rPr>
              <w:t xml:space="preserve"> </w:t>
            </w:r>
          </w:p>
        </w:tc>
        <w:tc>
          <w:tcPr>
            <w:tcW w:w="4190" w:type="dxa"/>
            <w:tcBorders>
              <w:top w:val="nil"/>
              <w:left w:val="nil"/>
              <w:bottom w:val="single" w:sz="4" w:space="0" w:color="auto"/>
              <w:right w:val="nil"/>
            </w:tcBorders>
            <w:shd w:val="clear" w:color="000000" w:fill="CCFFFF"/>
            <w:noWrap/>
            <w:vAlign w:val="center"/>
          </w:tcPr>
          <w:p w:rsidR="00C4782F" w:rsidRPr="00A34388" w:rsidRDefault="00C4782F" w:rsidP="006F0C07">
            <w:pPr>
              <w:spacing w:before="120" w:after="120"/>
              <w:rPr>
                <w:rFonts w:cs="Arial"/>
                <w:b/>
                <w:bCs/>
                <w:color w:val="808080"/>
                <w:sz w:val="16"/>
                <w:szCs w:val="16"/>
                <w:lang w:val="es-ES_tradnl"/>
              </w:rPr>
            </w:pPr>
            <w:r w:rsidRPr="00332758">
              <w:rPr>
                <w:rFonts w:cs="Arial"/>
                <w:b/>
                <w:bCs/>
                <w:sz w:val="16"/>
                <w:szCs w:val="16"/>
                <w:lang w:val="es-ES_tradnl"/>
              </w:rPr>
              <w:t>TOTAL</w:t>
            </w:r>
          </w:p>
        </w:tc>
        <w:tc>
          <w:tcPr>
            <w:tcW w:w="1512" w:type="dxa"/>
            <w:tcBorders>
              <w:top w:val="nil"/>
              <w:left w:val="single" w:sz="4" w:space="0" w:color="auto"/>
              <w:bottom w:val="single" w:sz="4" w:space="0" w:color="auto"/>
              <w:right w:val="single" w:sz="4" w:space="0" w:color="auto"/>
            </w:tcBorders>
            <w:shd w:val="clear" w:color="000000" w:fill="CCFFFF"/>
            <w:vAlign w:val="center"/>
          </w:tcPr>
          <w:p w:rsidR="00C4782F" w:rsidRPr="00A34388" w:rsidRDefault="00C4782F" w:rsidP="006F0C07">
            <w:pPr>
              <w:spacing w:before="120" w:after="120"/>
              <w:jc w:val="right"/>
              <w:rPr>
                <w:rFonts w:cs="Arial"/>
                <w:b/>
                <w:bCs/>
                <w:color w:val="808080"/>
                <w:sz w:val="16"/>
                <w:szCs w:val="16"/>
                <w:lang w:val="es-ES_tradnl"/>
              </w:rPr>
            </w:pPr>
            <w:r w:rsidRPr="00332758">
              <w:rPr>
                <w:rFonts w:cs="Arial"/>
                <w:b/>
                <w:bCs/>
                <w:sz w:val="16"/>
                <w:szCs w:val="16"/>
                <w:lang w:val="es-ES_tradnl"/>
              </w:rPr>
              <w:t>16.599</w:t>
            </w:r>
          </w:p>
        </w:tc>
        <w:tc>
          <w:tcPr>
            <w:tcW w:w="1512" w:type="dxa"/>
            <w:tcBorders>
              <w:top w:val="nil"/>
              <w:left w:val="nil"/>
              <w:bottom w:val="single" w:sz="4" w:space="0" w:color="auto"/>
              <w:right w:val="single" w:sz="4" w:space="0" w:color="auto"/>
            </w:tcBorders>
            <w:shd w:val="clear" w:color="000000" w:fill="CCFFFF"/>
            <w:noWrap/>
            <w:vAlign w:val="center"/>
          </w:tcPr>
          <w:p w:rsidR="00C4782F" w:rsidRPr="00A34388" w:rsidRDefault="00C4782F" w:rsidP="006F0C07">
            <w:pPr>
              <w:spacing w:before="120" w:after="120"/>
              <w:jc w:val="right"/>
              <w:rPr>
                <w:rFonts w:cs="Arial"/>
                <w:b/>
                <w:bCs/>
                <w:color w:val="808080"/>
                <w:sz w:val="16"/>
                <w:szCs w:val="16"/>
                <w:lang w:val="es-ES_tradnl"/>
              </w:rPr>
            </w:pPr>
            <w:r w:rsidRPr="00332758">
              <w:rPr>
                <w:rFonts w:cs="Arial"/>
                <w:b/>
                <w:bCs/>
                <w:sz w:val="16"/>
                <w:szCs w:val="16"/>
                <w:lang w:val="es-ES_tradnl"/>
              </w:rPr>
              <w:t>16.576</w:t>
            </w:r>
          </w:p>
        </w:tc>
        <w:tc>
          <w:tcPr>
            <w:tcW w:w="1512" w:type="dxa"/>
            <w:tcBorders>
              <w:top w:val="nil"/>
              <w:left w:val="nil"/>
              <w:bottom w:val="single" w:sz="4" w:space="0" w:color="auto"/>
              <w:right w:val="single" w:sz="4" w:space="0" w:color="auto"/>
            </w:tcBorders>
            <w:shd w:val="clear" w:color="000000" w:fill="CCFFFF"/>
            <w:vAlign w:val="center"/>
          </w:tcPr>
          <w:p w:rsidR="00C4782F" w:rsidRPr="00332758" w:rsidRDefault="00C4782F" w:rsidP="006F0C07">
            <w:pPr>
              <w:spacing w:before="120" w:after="120"/>
              <w:jc w:val="right"/>
              <w:rPr>
                <w:rFonts w:cs="Arial"/>
                <w:b/>
                <w:bCs/>
                <w:sz w:val="16"/>
                <w:szCs w:val="16"/>
                <w:lang w:val="es-ES_tradnl"/>
              </w:rPr>
            </w:pPr>
            <w:r w:rsidRPr="00332758">
              <w:rPr>
                <w:rFonts w:cs="Arial"/>
                <w:b/>
                <w:bCs/>
                <w:sz w:val="16"/>
                <w:szCs w:val="16"/>
                <w:lang w:val="es-ES_tradnl"/>
              </w:rPr>
              <w:t>16.108</w:t>
            </w:r>
          </w:p>
        </w:tc>
      </w:tr>
    </w:tbl>
    <w:p w:rsidR="00C4782F" w:rsidRPr="00A34388" w:rsidRDefault="00C4782F" w:rsidP="00C4782F">
      <w:pPr>
        <w:autoSpaceDE w:val="0"/>
        <w:autoSpaceDN w:val="0"/>
        <w:adjustRightInd w:val="0"/>
        <w:jc w:val="both"/>
        <w:rPr>
          <w:rFonts w:eastAsia="SimSun"/>
          <w:color w:val="000000"/>
          <w:sz w:val="22"/>
          <w:szCs w:val="22"/>
          <w:lang w:val="es-ES_tradnl" w:eastAsia="zh-CN"/>
        </w:rPr>
      </w:pPr>
    </w:p>
    <w:p w:rsidR="00C4782F" w:rsidRPr="00A34388" w:rsidRDefault="00C4782F" w:rsidP="00C4782F">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(de personal y no relativos al personal) </w:t>
      </w:r>
    </w:p>
    <w:p w:rsidR="00C4782F" w:rsidRPr="00332758" w:rsidRDefault="00C4782F" w:rsidP="00C4782F">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C4782F" w:rsidRPr="00A34388" w:rsidRDefault="00C4782F" w:rsidP="00C4782F">
      <w:pPr>
        <w:autoSpaceDE w:val="0"/>
        <w:autoSpaceDN w:val="0"/>
        <w:adjustRightInd w:val="0"/>
        <w:jc w:val="both"/>
        <w:rPr>
          <w:rFonts w:eastAsia="SimSun"/>
          <w:color w:val="000000"/>
          <w:sz w:val="22"/>
          <w:szCs w:val="22"/>
          <w:lang w:val="es-ES_tradnl" w:eastAsia="zh-CN"/>
        </w:rPr>
      </w:pPr>
    </w:p>
    <w:tbl>
      <w:tblPr>
        <w:tblW w:w="0" w:type="auto"/>
        <w:tblInd w:w="108" w:type="dxa"/>
        <w:tblLook w:val="04A0" w:firstRow="1" w:lastRow="0" w:firstColumn="1" w:lastColumn="0" w:noHBand="0" w:noVBand="1"/>
      </w:tblPr>
      <w:tblGrid>
        <w:gridCol w:w="2694"/>
        <w:gridCol w:w="1665"/>
        <w:gridCol w:w="1666"/>
        <w:gridCol w:w="1665"/>
        <w:gridCol w:w="1666"/>
      </w:tblGrid>
      <w:tr w:rsidR="00C4782F" w:rsidRPr="00A34388" w:rsidTr="006F0C07">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C4782F" w:rsidRPr="00A34388" w:rsidRDefault="00C4782F" w:rsidP="006F0C07">
            <w:pPr>
              <w:spacing w:before="120" w:after="120"/>
              <w:rPr>
                <w:rFonts w:cs="Arial"/>
                <w:color w:val="000000"/>
                <w:sz w:val="16"/>
                <w:szCs w:val="16"/>
                <w:lang w:val="es-ES_tradnl"/>
              </w:rPr>
            </w:pPr>
            <w:r w:rsidRPr="00A34388">
              <w:rPr>
                <w:rFonts w:cs="Arial"/>
                <w:color w:val="000000"/>
                <w:sz w:val="16"/>
                <w:szCs w:val="16"/>
                <w:lang w:val="es-ES_tradnl"/>
              </w:rPr>
              <w:t xml:space="preserve"> </w:t>
            </w:r>
          </w:p>
        </w:tc>
        <w:tc>
          <w:tcPr>
            <w:tcW w:w="1665" w:type="dxa"/>
            <w:tcBorders>
              <w:top w:val="single" w:sz="4" w:space="0" w:color="auto"/>
              <w:left w:val="nil"/>
              <w:bottom w:val="nil"/>
              <w:right w:val="single" w:sz="4" w:space="0" w:color="auto"/>
            </w:tcBorders>
            <w:shd w:val="clear" w:color="000000" w:fill="CCFFFF"/>
            <w:vAlign w:val="center"/>
          </w:tcPr>
          <w:p w:rsidR="00C4782F" w:rsidRPr="00A34388" w:rsidRDefault="00C4782F" w:rsidP="006F0C07">
            <w:pPr>
              <w:spacing w:before="120" w:after="120"/>
              <w:jc w:val="center"/>
              <w:rPr>
                <w:rFonts w:cs="Arial"/>
                <w:bCs/>
                <w:color w:val="808080"/>
                <w:sz w:val="16"/>
                <w:szCs w:val="16"/>
                <w:lang w:val="es-ES_tradnl"/>
              </w:rPr>
            </w:pPr>
            <w:r w:rsidRPr="00332758">
              <w:rPr>
                <w:rFonts w:cs="Arial"/>
                <w:bCs/>
                <w:sz w:val="16"/>
                <w:szCs w:val="16"/>
                <w:lang w:val="es-ES_tradnl"/>
              </w:rPr>
              <w:t>Presupuesto aprobado 2012/13</w:t>
            </w:r>
          </w:p>
        </w:tc>
        <w:tc>
          <w:tcPr>
            <w:tcW w:w="1666" w:type="dxa"/>
            <w:tcBorders>
              <w:top w:val="single" w:sz="4" w:space="0" w:color="auto"/>
              <w:left w:val="nil"/>
              <w:bottom w:val="nil"/>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65" w:type="dxa"/>
            <w:tcBorders>
              <w:top w:val="single" w:sz="4" w:space="0" w:color="auto"/>
              <w:left w:val="nil"/>
              <w:bottom w:val="nil"/>
              <w:right w:val="single" w:sz="4" w:space="0" w:color="auto"/>
            </w:tcBorders>
            <w:shd w:val="clear" w:color="000000" w:fill="CCFFFF"/>
            <w:vAlign w:val="center"/>
          </w:tcPr>
          <w:p w:rsidR="00C4782F" w:rsidRPr="00A34388" w:rsidRDefault="00C4782F" w:rsidP="006F0C07">
            <w:pPr>
              <w:spacing w:before="120" w:after="120"/>
              <w:jc w:val="center"/>
              <w:rPr>
                <w:rFonts w:cs="Arial"/>
                <w:bCs/>
                <w:color w:val="808080"/>
                <w:sz w:val="16"/>
                <w:szCs w:val="16"/>
                <w:lang w:val="es-ES_tradnl"/>
              </w:rPr>
            </w:pPr>
            <w:r w:rsidRPr="00332758">
              <w:rPr>
                <w:rFonts w:cs="Arial"/>
                <w:bCs/>
                <w:sz w:val="16"/>
                <w:szCs w:val="16"/>
                <w:lang w:val="es-ES_tradnl"/>
              </w:rPr>
              <w:t>Gastos en 2012/13</w:t>
            </w:r>
          </w:p>
        </w:tc>
        <w:tc>
          <w:tcPr>
            <w:tcW w:w="1666" w:type="dxa"/>
            <w:tcBorders>
              <w:top w:val="single" w:sz="4" w:space="0" w:color="auto"/>
              <w:left w:val="nil"/>
              <w:bottom w:val="nil"/>
              <w:right w:val="single" w:sz="4" w:space="0" w:color="auto"/>
            </w:tcBorders>
            <w:shd w:val="clear" w:color="000000" w:fill="CCFFFF"/>
            <w:vAlign w:val="center"/>
          </w:tcPr>
          <w:p w:rsidR="00C4782F" w:rsidRPr="00A34388" w:rsidRDefault="00C4782F" w:rsidP="006F0C07">
            <w:pPr>
              <w:spacing w:before="120" w:after="120"/>
              <w:jc w:val="center"/>
              <w:rPr>
                <w:rFonts w:cs="Arial"/>
                <w:bCs/>
                <w:color w:val="000000"/>
                <w:sz w:val="16"/>
                <w:szCs w:val="16"/>
                <w:lang w:val="es-ES_tradnl"/>
              </w:rPr>
            </w:pPr>
            <w:r w:rsidRPr="00332758">
              <w:rPr>
                <w:rFonts w:cs="Arial"/>
                <w:bCs/>
                <w:sz w:val="16"/>
                <w:szCs w:val="16"/>
                <w:lang w:val="es-ES_tradnl"/>
              </w:rPr>
              <w:t>Índice de utilización</w:t>
            </w:r>
          </w:p>
        </w:tc>
      </w:tr>
      <w:tr w:rsidR="00C4782F" w:rsidRPr="00A34388" w:rsidTr="006F0C07">
        <w:tc>
          <w:tcPr>
            <w:tcW w:w="2694" w:type="dxa"/>
            <w:tcBorders>
              <w:top w:val="nil"/>
              <w:left w:val="single" w:sz="4" w:space="0" w:color="auto"/>
              <w:bottom w:val="single" w:sz="4" w:space="0" w:color="auto"/>
              <w:right w:val="single" w:sz="4" w:space="0" w:color="auto"/>
            </w:tcBorders>
            <w:shd w:val="clear" w:color="auto" w:fill="auto"/>
            <w:noWrap/>
            <w:vAlign w:val="center"/>
          </w:tcPr>
          <w:p w:rsidR="00C4782F" w:rsidRPr="00A34388" w:rsidRDefault="00C4782F" w:rsidP="006F0C07">
            <w:pPr>
              <w:spacing w:before="120" w:after="120"/>
              <w:rPr>
                <w:rFonts w:cs="Arial"/>
                <w:color w:val="808080"/>
                <w:sz w:val="16"/>
                <w:szCs w:val="16"/>
                <w:lang w:val="es-ES_tradnl"/>
              </w:rPr>
            </w:pPr>
            <w:r w:rsidRPr="00332758">
              <w:rPr>
                <w:rFonts w:cs="Arial"/>
                <w:sz w:val="16"/>
                <w:szCs w:val="16"/>
                <w:lang w:val="es-ES_tradnl"/>
              </w:rPr>
              <w:t xml:space="preserve">Recursos de personal  </w:t>
            </w:r>
          </w:p>
        </w:tc>
        <w:tc>
          <w:tcPr>
            <w:tcW w:w="1665" w:type="dxa"/>
            <w:tcBorders>
              <w:top w:val="single" w:sz="4" w:space="0" w:color="auto"/>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13.299</w:t>
            </w:r>
          </w:p>
        </w:tc>
        <w:tc>
          <w:tcPr>
            <w:tcW w:w="1666" w:type="dxa"/>
            <w:tcBorders>
              <w:top w:val="single" w:sz="4" w:space="0" w:color="auto"/>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13.701</w:t>
            </w:r>
          </w:p>
        </w:tc>
        <w:tc>
          <w:tcPr>
            <w:tcW w:w="1665" w:type="dxa"/>
            <w:tcBorders>
              <w:top w:val="single" w:sz="4" w:space="0" w:color="auto"/>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13.701</w:t>
            </w:r>
          </w:p>
        </w:tc>
        <w:tc>
          <w:tcPr>
            <w:tcW w:w="1666" w:type="dxa"/>
            <w:tcBorders>
              <w:top w:val="single" w:sz="4" w:space="0" w:color="auto"/>
              <w:left w:val="nil"/>
              <w:bottom w:val="single" w:sz="4" w:space="0" w:color="auto"/>
              <w:right w:val="single" w:sz="4" w:space="0" w:color="auto"/>
            </w:tcBorders>
            <w:shd w:val="clear" w:color="auto" w:fill="auto"/>
            <w:vAlign w:val="center"/>
          </w:tcPr>
          <w:p w:rsidR="00C4782F" w:rsidRPr="00332758" w:rsidRDefault="00C4782F" w:rsidP="006F0C07">
            <w:pPr>
              <w:spacing w:before="120" w:after="120"/>
              <w:jc w:val="center"/>
              <w:rPr>
                <w:rFonts w:cs="Arial"/>
                <w:sz w:val="16"/>
                <w:szCs w:val="16"/>
                <w:lang w:val="es-ES_tradnl"/>
              </w:rPr>
            </w:pPr>
            <w:r w:rsidRPr="00332758">
              <w:rPr>
                <w:rFonts w:cs="Arial"/>
                <w:sz w:val="16"/>
                <w:szCs w:val="16"/>
                <w:lang w:val="es-ES_tradnl"/>
              </w:rPr>
              <w:t>100%</w:t>
            </w:r>
          </w:p>
        </w:tc>
      </w:tr>
      <w:tr w:rsidR="00C4782F" w:rsidRPr="00A34388" w:rsidTr="006F0C07">
        <w:tc>
          <w:tcPr>
            <w:tcW w:w="2694" w:type="dxa"/>
            <w:tcBorders>
              <w:top w:val="nil"/>
              <w:left w:val="single" w:sz="4" w:space="0" w:color="auto"/>
              <w:bottom w:val="single" w:sz="4" w:space="0" w:color="auto"/>
              <w:right w:val="single" w:sz="4" w:space="0" w:color="auto"/>
            </w:tcBorders>
            <w:shd w:val="clear" w:color="auto" w:fill="auto"/>
            <w:noWrap/>
            <w:vAlign w:val="center"/>
          </w:tcPr>
          <w:p w:rsidR="00C4782F" w:rsidRPr="00A34388" w:rsidRDefault="00C4782F" w:rsidP="006F0C07">
            <w:pPr>
              <w:spacing w:before="120" w:after="120"/>
              <w:rPr>
                <w:rFonts w:cs="Arial"/>
                <w:color w:val="808080"/>
                <w:sz w:val="16"/>
                <w:szCs w:val="16"/>
                <w:lang w:val="es-ES_tradnl"/>
              </w:rPr>
            </w:pPr>
            <w:r w:rsidRPr="00332758">
              <w:rPr>
                <w:rFonts w:cs="Arial"/>
                <w:sz w:val="16"/>
                <w:szCs w:val="16"/>
                <w:lang w:val="es-ES_tradnl"/>
              </w:rPr>
              <w:t xml:space="preserve">Recursos no relativos al personal </w:t>
            </w:r>
          </w:p>
        </w:tc>
        <w:tc>
          <w:tcPr>
            <w:tcW w:w="1665"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3.300</w:t>
            </w:r>
          </w:p>
        </w:tc>
        <w:tc>
          <w:tcPr>
            <w:tcW w:w="1666"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2.875</w:t>
            </w:r>
          </w:p>
        </w:tc>
        <w:tc>
          <w:tcPr>
            <w:tcW w:w="1665"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color w:val="808080"/>
                <w:sz w:val="16"/>
                <w:szCs w:val="16"/>
                <w:lang w:val="es-ES_tradnl"/>
              </w:rPr>
            </w:pPr>
            <w:r w:rsidRPr="00332758">
              <w:rPr>
                <w:rFonts w:cs="Arial"/>
                <w:sz w:val="16"/>
                <w:szCs w:val="16"/>
                <w:lang w:val="es-ES_tradnl"/>
              </w:rPr>
              <w:t>2.407</w:t>
            </w:r>
          </w:p>
        </w:tc>
        <w:tc>
          <w:tcPr>
            <w:tcW w:w="1666" w:type="dxa"/>
            <w:tcBorders>
              <w:top w:val="nil"/>
              <w:left w:val="nil"/>
              <w:bottom w:val="single" w:sz="4" w:space="0" w:color="auto"/>
              <w:right w:val="single" w:sz="4" w:space="0" w:color="auto"/>
            </w:tcBorders>
            <w:shd w:val="clear" w:color="auto" w:fill="auto"/>
            <w:vAlign w:val="center"/>
          </w:tcPr>
          <w:p w:rsidR="00C4782F" w:rsidRPr="00332758" w:rsidRDefault="00C4782F" w:rsidP="006F0C07">
            <w:pPr>
              <w:spacing w:before="120" w:after="120"/>
              <w:jc w:val="center"/>
              <w:rPr>
                <w:rFonts w:cs="Arial"/>
                <w:sz w:val="16"/>
                <w:szCs w:val="16"/>
                <w:lang w:val="es-ES_tradnl"/>
              </w:rPr>
            </w:pPr>
            <w:r w:rsidRPr="00332758">
              <w:rPr>
                <w:rFonts w:cs="Arial"/>
                <w:sz w:val="16"/>
                <w:szCs w:val="16"/>
                <w:lang w:val="es-ES_tradnl"/>
              </w:rPr>
              <w:t>84%</w:t>
            </w:r>
          </w:p>
        </w:tc>
      </w:tr>
      <w:tr w:rsidR="00C4782F" w:rsidRPr="00A34388" w:rsidTr="006F0C07">
        <w:tc>
          <w:tcPr>
            <w:tcW w:w="2694" w:type="dxa"/>
            <w:tcBorders>
              <w:top w:val="nil"/>
              <w:left w:val="single" w:sz="4" w:space="0" w:color="auto"/>
              <w:bottom w:val="single" w:sz="4" w:space="0" w:color="auto"/>
              <w:right w:val="single" w:sz="4" w:space="0" w:color="auto"/>
            </w:tcBorders>
            <w:shd w:val="clear" w:color="auto" w:fill="auto"/>
            <w:noWrap/>
            <w:vAlign w:val="center"/>
          </w:tcPr>
          <w:p w:rsidR="00C4782F" w:rsidRPr="00A34388" w:rsidRDefault="00C4782F" w:rsidP="006F0C07">
            <w:pPr>
              <w:spacing w:before="120" w:after="120"/>
              <w:jc w:val="right"/>
              <w:rPr>
                <w:rFonts w:cs="Arial"/>
                <w:b/>
                <w:bCs/>
                <w:color w:val="808080"/>
                <w:sz w:val="16"/>
                <w:szCs w:val="16"/>
                <w:lang w:val="es-ES_tradnl"/>
              </w:rPr>
            </w:pPr>
            <w:r w:rsidRPr="00332758">
              <w:rPr>
                <w:rFonts w:cs="Arial"/>
                <w:b/>
                <w:bCs/>
                <w:sz w:val="16"/>
                <w:szCs w:val="16"/>
                <w:lang w:val="es-ES_tradnl"/>
              </w:rPr>
              <w:t xml:space="preserve"> TOTAL </w:t>
            </w:r>
          </w:p>
        </w:tc>
        <w:tc>
          <w:tcPr>
            <w:tcW w:w="1665"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b/>
                <w:bCs/>
                <w:color w:val="808080"/>
                <w:sz w:val="16"/>
                <w:szCs w:val="16"/>
                <w:lang w:val="es-ES_tradnl"/>
              </w:rPr>
            </w:pPr>
            <w:r w:rsidRPr="00332758">
              <w:rPr>
                <w:rFonts w:cs="Arial"/>
                <w:b/>
                <w:bCs/>
                <w:sz w:val="16"/>
                <w:szCs w:val="16"/>
                <w:lang w:val="es-ES_tradnl"/>
              </w:rPr>
              <w:t>16.599</w:t>
            </w:r>
          </w:p>
        </w:tc>
        <w:tc>
          <w:tcPr>
            <w:tcW w:w="1666"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b/>
                <w:color w:val="808080"/>
                <w:sz w:val="16"/>
                <w:szCs w:val="16"/>
                <w:lang w:val="es-ES_tradnl"/>
              </w:rPr>
            </w:pPr>
            <w:r w:rsidRPr="00332758">
              <w:rPr>
                <w:rFonts w:cs="Arial"/>
                <w:b/>
                <w:sz w:val="16"/>
                <w:szCs w:val="16"/>
                <w:lang w:val="es-ES_tradnl"/>
              </w:rPr>
              <w:t>16.576</w:t>
            </w:r>
          </w:p>
        </w:tc>
        <w:tc>
          <w:tcPr>
            <w:tcW w:w="1665" w:type="dxa"/>
            <w:tcBorders>
              <w:top w:val="nil"/>
              <w:left w:val="nil"/>
              <w:bottom w:val="single" w:sz="4" w:space="0" w:color="auto"/>
              <w:right w:val="single" w:sz="4" w:space="0" w:color="auto"/>
            </w:tcBorders>
            <w:shd w:val="clear" w:color="auto" w:fill="auto"/>
            <w:vAlign w:val="center"/>
          </w:tcPr>
          <w:p w:rsidR="00C4782F" w:rsidRPr="00A34388" w:rsidRDefault="00C4782F" w:rsidP="006F0C07">
            <w:pPr>
              <w:spacing w:before="120" w:after="120"/>
              <w:jc w:val="center"/>
              <w:rPr>
                <w:rFonts w:cs="Arial"/>
                <w:b/>
                <w:color w:val="808080"/>
                <w:sz w:val="16"/>
                <w:szCs w:val="16"/>
                <w:lang w:val="es-ES_tradnl"/>
              </w:rPr>
            </w:pPr>
            <w:r w:rsidRPr="00332758">
              <w:rPr>
                <w:rFonts w:cs="Arial"/>
                <w:b/>
                <w:sz w:val="16"/>
                <w:szCs w:val="16"/>
                <w:lang w:val="es-ES_tradnl"/>
              </w:rPr>
              <w:t>16.108</w:t>
            </w:r>
          </w:p>
        </w:tc>
        <w:tc>
          <w:tcPr>
            <w:tcW w:w="1666" w:type="dxa"/>
            <w:tcBorders>
              <w:top w:val="nil"/>
              <w:left w:val="nil"/>
              <w:bottom w:val="single" w:sz="4" w:space="0" w:color="auto"/>
              <w:right w:val="single" w:sz="4" w:space="0" w:color="auto"/>
            </w:tcBorders>
            <w:shd w:val="clear" w:color="auto" w:fill="auto"/>
            <w:vAlign w:val="center"/>
          </w:tcPr>
          <w:p w:rsidR="00C4782F" w:rsidRPr="00332758" w:rsidRDefault="00C4782F" w:rsidP="006F0C07">
            <w:pPr>
              <w:spacing w:before="120" w:after="120"/>
              <w:jc w:val="center"/>
              <w:rPr>
                <w:rFonts w:cs="Arial"/>
                <w:b/>
                <w:sz w:val="16"/>
                <w:szCs w:val="16"/>
                <w:lang w:val="es-ES_tradnl"/>
              </w:rPr>
            </w:pPr>
            <w:r w:rsidRPr="00332758">
              <w:rPr>
                <w:rFonts w:cs="Arial"/>
                <w:b/>
                <w:sz w:val="16"/>
                <w:szCs w:val="16"/>
                <w:lang w:val="es-ES_tradnl"/>
              </w:rPr>
              <w:t>97%</w:t>
            </w:r>
          </w:p>
        </w:tc>
      </w:tr>
    </w:tbl>
    <w:p w:rsidR="00C4782F" w:rsidRPr="00A34388" w:rsidRDefault="00C4782F" w:rsidP="00C4782F">
      <w:pPr>
        <w:autoSpaceDE w:val="0"/>
        <w:autoSpaceDN w:val="0"/>
        <w:adjustRightInd w:val="0"/>
        <w:jc w:val="both"/>
        <w:rPr>
          <w:rFonts w:eastAsia="SimSun"/>
          <w:color w:val="000000"/>
          <w:sz w:val="22"/>
          <w:szCs w:val="22"/>
          <w:lang w:val="es-ES_tradnl" w:eastAsia="zh-CN"/>
        </w:rPr>
      </w:pPr>
    </w:p>
    <w:p w:rsidR="00C4782F" w:rsidRPr="00A34388" w:rsidRDefault="00C4782F" w:rsidP="00C4782F">
      <w:pPr>
        <w:keepNext/>
        <w:autoSpaceDE w:val="0"/>
        <w:autoSpaceDN w:val="0"/>
        <w:rPr>
          <w:rFonts w:cs="Arial"/>
          <w:sz w:val="16"/>
          <w:szCs w:val="16"/>
          <w:lang w:val="es-ES_tradnl"/>
        </w:rPr>
      </w:pPr>
      <w:r w:rsidRPr="00332758">
        <w:rPr>
          <w:rFonts w:cs="Arial"/>
          <w:sz w:val="16"/>
          <w:szCs w:val="16"/>
          <w:lang w:val="es-ES_tradnl"/>
        </w:rPr>
        <w:t>NOTAS:</w:t>
      </w:r>
    </w:p>
    <w:p w:rsidR="00C4782F" w:rsidRPr="00A34388" w:rsidRDefault="00C4782F" w:rsidP="00C4782F">
      <w:pPr>
        <w:keepNext/>
        <w:autoSpaceDE w:val="0"/>
        <w:autoSpaceDN w:val="0"/>
        <w:rPr>
          <w:rFonts w:cs="Arial"/>
          <w:sz w:val="16"/>
          <w:szCs w:val="16"/>
          <w:lang w:val="es-ES_tradnl"/>
        </w:rPr>
      </w:pPr>
    </w:p>
    <w:p w:rsidR="00C4782F" w:rsidRPr="00A34388" w:rsidRDefault="00C4782F" w:rsidP="00C4782F">
      <w:pPr>
        <w:keepNext/>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C4782F" w:rsidRPr="00A34388" w:rsidRDefault="00C4782F" w:rsidP="00C4782F">
      <w:pPr>
        <w:keepNext/>
        <w:autoSpaceDE w:val="0"/>
        <w:autoSpaceDN w:val="0"/>
        <w:rPr>
          <w:rFonts w:cs="Arial"/>
          <w:sz w:val="16"/>
          <w:szCs w:val="16"/>
          <w:lang w:val="es-ES_tradnl"/>
        </w:rPr>
      </w:pPr>
    </w:p>
    <w:p w:rsidR="00C4782F" w:rsidRPr="00A34388" w:rsidRDefault="00C4782F" w:rsidP="004C0FD5">
      <w:pPr>
        <w:keepNext/>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C4782F" w:rsidRPr="00A34388" w:rsidRDefault="00C4782F" w:rsidP="00C4782F">
      <w:pPr>
        <w:keepNext/>
        <w:autoSpaceDE w:val="0"/>
        <w:autoSpaceDN w:val="0"/>
        <w:rPr>
          <w:sz w:val="16"/>
          <w:szCs w:val="16"/>
          <w:lang w:val="es-ES_tradnl"/>
        </w:rPr>
      </w:pPr>
    </w:p>
    <w:p w:rsidR="00C4782F" w:rsidRPr="00332758" w:rsidRDefault="00C4782F" w:rsidP="00C4782F">
      <w:pPr>
        <w:autoSpaceDE w:val="0"/>
        <w:autoSpaceDN w:val="0"/>
        <w:adjustRightInd w:val="0"/>
        <w:jc w:val="both"/>
        <w:rPr>
          <w:rFonts w:eastAsia="SimSun"/>
          <w:sz w:val="22"/>
          <w:szCs w:val="22"/>
          <w:lang w:val="es-ES_tradnl" w:eastAsia="zh-CN"/>
        </w:rPr>
      </w:pPr>
    </w:p>
    <w:p w:rsidR="00C4782F" w:rsidRPr="00332758" w:rsidRDefault="00C4782F" w:rsidP="00C4782F">
      <w:pPr>
        <w:tabs>
          <w:tab w:val="left" w:pos="709"/>
        </w:tabs>
        <w:autoSpaceDE w:val="0"/>
        <w:autoSpaceDN w:val="0"/>
        <w:adjustRightInd w:val="0"/>
        <w:jc w:val="both"/>
        <w:rPr>
          <w:rFonts w:eastAsia="SimSun"/>
          <w:szCs w:val="20"/>
          <w:u w:val="single"/>
          <w:lang w:val="es-ES_tradnl" w:eastAsia="zh-CN"/>
        </w:rPr>
      </w:pPr>
      <w:r w:rsidRPr="00332758">
        <w:rPr>
          <w:rFonts w:eastAsia="SimSun"/>
          <w:szCs w:val="20"/>
          <w:lang w:val="es-ES_tradnl" w:eastAsia="zh-CN"/>
        </w:rPr>
        <w:t>A.</w:t>
      </w:r>
      <w:r w:rsidRPr="00332758">
        <w:rPr>
          <w:rFonts w:eastAsia="SimSun"/>
          <w:szCs w:val="20"/>
          <w:lang w:val="es-ES_tradnl" w:eastAsia="zh-CN"/>
        </w:rPr>
        <w:tab/>
      </w:r>
      <w:r w:rsidRPr="00332758">
        <w:rPr>
          <w:rFonts w:eastAsia="SimSun"/>
          <w:szCs w:val="20"/>
          <w:u w:val="single"/>
          <w:lang w:val="es-ES_tradnl" w:eastAsia="zh-CN"/>
        </w:rPr>
        <w:t>Presupuesto 2012/13 después de las transferencias</w:t>
      </w:r>
    </w:p>
    <w:p w:rsidR="00C4782F" w:rsidRPr="00A34388" w:rsidRDefault="00C4782F" w:rsidP="00C4782F">
      <w:pPr>
        <w:tabs>
          <w:tab w:val="left" w:pos="709"/>
        </w:tabs>
        <w:autoSpaceDE w:val="0"/>
        <w:autoSpaceDN w:val="0"/>
        <w:rPr>
          <w:rFonts w:cs="Arial"/>
          <w:szCs w:val="20"/>
          <w:lang w:val="es-ES_tradnl"/>
        </w:rPr>
      </w:pPr>
    </w:p>
    <w:p w:rsidR="00C4782F" w:rsidRPr="00A34388" w:rsidRDefault="00C4782F" w:rsidP="00C4782F">
      <w:pPr>
        <w:tabs>
          <w:tab w:val="left" w:pos="709"/>
        </w:tabs>
        <w:autoSpaceDE w:val="0"/>
        <w:autoSpaceDN w:val="0"/>
        <w:jc w:val="both"/>
        <w:rPr>
          <w:rFonts w:cs="Arial"/>
          <w:szCs w:val="20"/>
          <w:lang w:val="es-ES_tradnl"/>
        </w:rPr>
      </w:pPr>
      <w:r w:rsidRPr="00332758">
        <w:rPr>
          <w:rFonts w:cs="Arial"/>
          <w:szCs w:val="20"/>
          <w:lang w:val="es-ES_tradnl"/>
        </w:rPr>
        <w:t>19.14.</w:t>
      </w:r>
      <w:r w:rsidRPr="00332758">
        <w:rPr>
          <w:rFonts w:cs="Arial"/>
          <w:szCs w:val="20"/>
          <w:lang w:val="es-ES_tradnl"/>
        </w:rPr>
        <w:tab/>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C4782F" w:rsidRPr="00A34388" w:rsidRDefault="00C4782F" w:rsidP="00C4782F">
      <w:pPr>
        <w:tabs>
          <w:tab w:val="left" w:pos="709"/>
        </w:tabs>
        <w:autoSpaceDE w:val="0"/>
        <w:autoSpaceDN w:val="0"/>
        <w:jc w:val="both"/>
        <w:rPr>
          <w:rFonts w:cs="Arial"/>
          <w:szCs w:val="20"/>
          <w:lang w:val="es-ES_tradnl"/>
        </w:rPr>
      </w:pPr>
    </w:p>
    <w:p w:rsidR="00C4782F" w:rsidRPr="00A34388" w:rsidRDefault="00C4782F" w:rsidP="00C4782F">
      <w:pPr>
        <w:tabs>
          <w:tab w:val="left" w:pos="709"/>
        </w:tabs>
        <w:autoSpaceDE w:val="0"/>
        <w:autoSpaceDN w:val="0"/>
        <w:jc w:val="both"/>
        <w:rPr>
          <w:rFonts w:cs="Arial"/>
          <w:szCs w:val="20"/>
          <w:lang w:val="es-ES_tradnl"/>
        </w:rPr>
      </w:pPr>
      <w:r w:rsidRPr="00A34388">
        <w:rPr>
          <w:rFonts w:cs="Arial"/>
          <w:szCs w:val="20"/>
          <w:lang w:val="es-ES_tradnl"/>
        </w:rPr>
        <w:t>19.15.</w:t>
      </w:r>
      <w:r w:rsidRPr="00A34388">
        <w:rPr>
          <w:rFonts w:cs="Arial"/>
          <w:szCs w:val="20"/>
          <w:lang w:val="es-ES_tradnl"/>
        </w:rPr>
        <w:tab/>
        <w:t xml:space="preserve">El </w:t>
      </w:r>
      <w:r w:rsidR="001A7B27" w:rsidRPr="00A34388">
        <w:rPr>
          <w:rFonts w:cs="Arial"/>
          <w:szCs w:val="20"/>
          <w:lang w:val="es-ES_tradnl"/>
        </w:rPr>
        <w:t xml:space="preserve">incremento experimentado por la asignación de recursos de personal </w:t>
      </w:r>
      <w:r w:rsidRPr="00A34388">
        <w:rPr>
          <w:rFonts w:cs="Arial"/>
          <w:szCs w:val="20"/>
          <w:lang w:val="es-ES_tradnl"/>
        </w:rPr>
        <w:t>refleja la transferencia, en 2012, del programa de premios al programa 17</w:t>
      </w:r>
      <w:r w:rsidR="001C3E3B" w:rsidRPr="00A34388">
        <w:rPr>
          <w:rFonts w:cs="Arial"/>
          <w:szCs w:val="20"/>
          <w:lang w:val="es-ES_tradnl"/>
        </w:rPr>
        <w:t>,</w:t>
      </w:r>
      <w:r w:rsidRPr="00A34388">
        <w:rPr>
          <w:rFonts w:cs="Arial"/>
          <w:szCs w:val="20"/>
          <w:lang w:val="es-ES_tradnl"/>
        </w:rPr>
        <w:t xml:space="preserve"> y</w:t>
      </w:r>
      <w:r w:rsidR="001C3E3B" w:rsidRPr="00A34388">
        <w:rPr>
          <w:rFonts w:cs="Arial"/>
          <w:szCs w:val="20"/>
          <w:lang w:val="es-ES_tradnl"/>
        </w:rPr>
        <w:t xml:space="preserve"> el traspaso,</w:t>
      </w:r>
      <w:r w:rsidRPr="00A34388">
        <w:rPr>
          <w:rFonts w:cs="Arial"/>
          <w:szCs w:val="20"/>
          <w:lang w:val="es-ES_tradnl"/>
        </w:rPr>
        <w:t xml:space="preserve"> en 2013, de las responsabilidades de las comunicaciones por Internet del programa 25 al programa 19.</w:t>
      </w:r>
    </w:p>
    <w:p w:rsidR="00C4782F" w:rsidRPr="00A34388" w:rsidRDefault="00C4782F" w:rsidP="00C4782F">
      <w:pPr>
        <w:tabs>
          <w:tab w:val="left" w:pos="709"/>
        </w:tabs>
        <w:autoSpaceDE w:val="0"/>
        <w:autoSpaceDN w:val="0"/>
        <w:adjustRightInd w:val="0"/>
        <w:jc w:val="both"/>
        <w:rPr>
          <w:rFonts w:eastAsia="SimSun"/>
          <w:color w:val="000000"/>
          <w:szCs w:val="20"/>
          <w:lang w:val="es-ES_tradnl" w:eastAsia="zh-CN"/>
        </w:rPr>
      </w:pPr>
    </w:p>
    <w:p w:rsidR="00C4782F" w:rsidRPr="00A34388" w:rsidRDefault="00C4782F" w:rsidP="00C4782F">
      <w:pPr>
        <w:tabs>
          <w:tab w:val="left" w:pos="709"/>
        </w:tabs>
        <w:autoSpaceDE w:val="0"/>
        <w:autoSpaceDN w:val="0"/>
        <w:adjustRightInd w:val="0"/>
        <w:jc w:val="both"/>
        <w:rPr>
          <w:rFonts w:eastAsia="SimSun"/>
          <w:szCs w:val="20"/>
          <w:u w:val="single"/>
          <w:lang w:val="es-ES_tradnl" w:eastAsia="zh-CN"/>
        </w:rPr>
      </w:pPr>
      <w:r w:rsidRPr="00A34388">
        <w:rPr>
          <w:rFonts w:eastAsia="SimSun"/>
          <w:szCs w:val="20"/>
          <w:lang w:val="es-ES_tradnl" w:eastAsia="zh-CN"/>
        </w:rPr>
        <w:t>B.</w:t>
      </w:r>
      <w:r w:rsidRPr="00A34388">
        <w:rPr>
          <w:rFonts w:eastAsia="SimSun"/>
          <w:szCs w:val="20"/>
          <w:lang w:val="es-ES_tradnl" w:eastAsia="zh-CN"/>
        </w:rPr>
        <w:tab/>
      </w:r>
      <w:r w:rsidRPr="00A34388">
        <w:rPr>
          <w:rFonts w:eastAsia="SimSun"/>
          <w:szCs w:val="20"/>
          <w:u w:val="single"/>
          <w:lang w:val="es-ES_tradnl" w:eastAsia="zh-CN"/>
        </w:rPr>
        <w:t xml:space="preserve">Utilización del presupuesto </w:t>
      </w:r>
      <w:r w:rsidR="001C3E3B" w:rsidRPr="00A34388">
        <w:rPr>
          <w:u w:val="single"/>
          <w:lang w:val="es-ES_tradnl"/>
        </w:rPr>
        <w:t>en 2012</w:t>
      </w:r>
      <w:r w:rsidR="00545936">
        <w:rPr>
          <w:rFonts w:eastAsia="SimSun"/>
          <w:szCs w:val="20"/>
          <w:u w:val="single"/>
          <w:lang w:val="es-ES_tradnl" w:eastAsia="zh-CN"/>
        </w:rPr>
        <w:t>/</w:t>
      </w:r>
      <w:r w:rsidR="00820EBB" w:rsidRPr="00A34388">
        <w:rPr>
          <w:rFonts w:eastAsia="SimSun"/>
          <w:szCs w:val="20"/>
          <w:u w:val="single"/>
          <w:lang w:val="es-ES_tradnl" w:eastAsia="zh-CN"/>
        </w:rPr>
        <w:t>13</w:t>
      </w:r>
    </w:p>
    <w:p w:rsidR="00C4782F" w:rsidRPr="00A34388" w:rsidRDefault="00C4782F" w:rsidP="00C4782F">
      <w:pPr>
        <w:tabs>
          <w:tab w:val="left" w:pos="709"/>
        </w:tabs>
        <w:autoSpaceDE w:val="0"/>
        <w:autoSpaceDN w:val="0"/>
        <w:adjustRightInd w:val="0"/>
        <w:jc w:val="both"/>
        <w:rPr>
          <w:rFonts w:eastAsia="SimSun"/>
          <w:color w:val="000000"/>
          <w:szCs w:val="20"/>
          <w:lang w:val="es-ES_tradnl" w:eastAsia="zh-CN"/>
        </w:rPr>
      </w:pPr>
    </w:p>
    <w:p w:rsidR="00C4782F" w:rsidRPr="00A34388" w:rsidRDefault="00C4782F" w:rsidP="00C4782F">
      <w:pPr>
        <w:tabs>
          <w:tab w:val="left" w:pos="709"/>
        </w:tabs>
        <w:autoSpaceDE w:val="0"/>
        <w:autoSpaceDN w:val="0"/>
        <w:adjustRightInd w:val="0"/>
        <w:jc w:val="both"/>
        <w:rPr>
          <w:rFonts w:eastAsia="SimSun"/>
          <w:color w:val="000000"/>
          <w:szCs w:val="20"/>
          <w:lang w:val="es-ES_tradnl" w:eastAsia="zh-CN"/>
        </w:rPr>
      </w:pPr>
      <w:r w:rsidRPr="00A34388">
        <w:rPr>
          <w:rFonts w:eastAsia="SimSun"/>
          <w:color w:val="000000"/>
          <w:szCs w:val="20"/>
          <w:lang w:val="es-ES_tradnl" w:eastAsia="zh-CN"/>
        </w:rPr>
        <w:t>19.16.</w:t>
      </w:r>
      <w:r w:rsidRPr="00A34388">
        <w:rPr>
          <w:rFonts w:eastAsia="SimSun"/>
          <w:color w:val="000000"/>
          <w:szCs w:val="20"/>
          <w:lang w:val="es-ES_tradnl" w:eastAsia="zh-CN"/>
        </w:rPr>
        <w:tab/>
        <w:t>La utilización del presupuesto</w:t>
      </w:r>
      <w:r w:rsidR="001A7B27" w:rsidRPr="00A34388">
        <w:rPr>
          <w:rFonts w:eastAsia="SimSun"/>
          <w:color w:val="000000"/>
          <w:szCs w:val="20"/>
          <w:lang w:val="es-ES_tradnl" w:eastAsia="zh-CN"/>
        </w:rPr>
        <w:t>,</w:t>
      </w:r>
      <w:r w:rsidRPr="00A34388">
        <w:rPr>
          <w:rFonts w:eastAsia="SimSun"/>
          <w:color w:val="000000"/>
          <w:szCs w:val="20"/>
          <w:lang w:val="es-ES_tradnl" w:eastAsia="zh-CN"/>
        </w:rPr>
        <w:t xml:space="preserve"> del 84%</w:t>
      </w:r>
      <w:r w:rsidR="001A7B27" w:rsidRPr="00A34388">
        <w:rPr>
          <w:rFonts w:eastAsia="SimSun"/>
          <w:color w:val="000000"/>
          <w:szCs w:val="20"/>
          <w:lang w:val="es-ES_tradnl" w:eastAsia="zh-CN"/>
        </w:rPr>
        <w:t>,</w:t>
      </w:r>
      <w:r w:rsidRPr="00A34388">
        <w:rPr>
          <w:rFonts w:eastAsia="SimSun"/>
          <w:color w:val="000000"/>
          <w:szCs w:val="20"/>
          <w:lang w:val="es-ES_tradnl" w:eastAsia="zh-CN"/>
        </w:rPr>
        <w:t xml:space="preserve"> se explica sobre todo por unos gastos menores </w:t>
      </w:r>
      <w:r w:rsidR="001A7B27" w:rsidRPr="00A34388">
        <w:rPr>
          <w:rFonts w:eastAsia="SimSun"/>
          <w:color w:val="000000"/>
          <w:szCs w:val="20"/>
          <w:lang w:val="es-ES_tradnl" w:eastAsia="zh-CN"/>
        </w:rPr>
        <w:t xml:space="preserve">de lo esperado </w:t>
      </w:r>
      <w:r w:rsidR="00820EBB" w:rsidRPr="00A34388">
        <w:rPr>
          <w:rFonts w:eastAsia="SimSun"/>
          <w:color w:val="000000"/>
          <w:szCs w:val="20"/>
          <w:lang w:val="es-ES_tradnl" w:eastAsia="zh-CN"/>
        </w:rPr>
        <w:t>en</w:t>
      </w:r>
      <w:r w:rsidRPr="00A34388">
        <w:rPr>
          <w:rFonts w:eastAsia="SimSun"/>
          <w:color w:val="000000"/>
          <w:szCs w:val="20"/>
          <w:lang w:val="es-ES_tradnl" w:eastAsia="zh-CN"/>
        </w:rPr>
        <w:t>:  i) la implantación de las iniciativas relativas a la orientación al servicio en el marco del PAE, reflejada en el resultado VIII.2 (</w:t>
      </w:r>
      <w:r w:rsidR="001A7B27" w:rsidRPr="00A34388">
        <w:rPr>
          <w:rFonts w:eastAsia="SimSun"/>
          <w:color w:val="000000"/>
          <w:szCs w:val="20"/>
          <w:lang w:val="es-ES_tradnl" w:eastAsia="zh-CN"/>
        </w:rPr>
        <w:t>M</w:t>
      </w:r>
      <w:r w:rsidRPr="00A34388">
        <w:rPr>
          <w:rFonts w:eastAsia="SimSun"/>
          <w:color w:val="000000"/>
          <w:szCs w:val="20"/>
          <w:lang w:val="es-ES_tradnl" w:eastAsia="zh-CN"/>
        </w:rPr>
        <w:t xml:space="preserve">ejora de la orientación al servicio);  ii) la ampliación de la biblioteca electrónica;  y iii) </w:t>
      </w:r>
      <w:r w:rsidR="00820EBB" w:rsidRPr="00A34388">
        <w:rPr>
          <w:rFonts w:eastAsia="SimSun"/>
          <w:color w:val="000000"/>
          <w:szCs w:val="20"/>
          <w:lang w:val="es-ES_tradnl" w:eastAsia="zh-CN"/>
        </w:rPr>
        <w:t xml:space="preserve">las </w:t>
      </w:r>
      <w:r w:rsidRPr="00A34388">
        <w:rPr>
          <w:rFonts w:eastAsia="SimSun"/>
          <w:color w:val="000000"/>
          <w:szCs w:val="20"/>
          <w:lang w:val="es-ES_tradnl" w:eastAsia="zh-CN"/>
        </w:rPr>
        <w:t xml:space="preserve">actividades </w:t>
      </w:r>
      <w:r w:rsidR="00820EBB" w:rsidRPr="00A34388">
        <w:rPr>
          <w:rFonts w:eastAsia="SimSun"/>
          <w:color w:val="000000"/>
          <w:szCs w:val="20"/>
          <w:lang w:val="es-ES_tradnl" w:eastAsia="zh-CN"/>
        </w:rPr>
        <w:t xml:space="preserve">relacionadas con </w:t>
      </w:r>
      <w:r w:rsidRPr="00A34388">
        <w:rPr>
          <w:rFonts w:eastAsia="SimSun"/>
          <w:color w:val="000000"/>
          <w:szCs w:val="20"/>
          <w:lang w:val="es-ES_tradnl" w:eastAsia="zh-CN"/>
        </w:rPr>
        <w:t>los medios reflejadas en el resultado VIII.1 (Comunicaci</w:t>
      </w:r>
      <w:r w:rsidR="00820EBB" w:rsidRPr="00A34388">
        <w:rPr>
          <w:rFonts w:eastAsia="SimSun"/>
          <w:color w:val="000000"/>
          <w:szCs w:val="20"/>
          <w:lang w:val="es-ES_tradnl" w:eastAsia="zh-CN"/>
        </w:rPr>
        <w:t xml:space="preserve">ón </w:t>
      </w:r>
      <w:r w:rsidRPr="00A34388">
        <w:rPr>
          <w:rFonts w:eastAsia="SimSun"/>
          <w:color w:val="000000"/>
          <w:szCs w:val="20"/>
          <w:lang w:val="es-ES_tradnl" w:eastAsia="zh-CN"/>
        </w:rPr>
        <w:t>más eficaz</w:t>
      </w:r>
      <w:r w:rsidRPr="00A34388">
        <w:rPr>
          <w:rFonts w:cs="Arial"/>
          <w:color w:val="000000"/>
          <w:szCs w:val="20"/>
          <w:lang w:val="es-ES_tradnl"/>
        </w:rPr>
        <w:t>).</w:t>
      </w:r>
    </w:p>
    <w:p w:rsidR="00C4782F" w:rsidRPr="00A34388" w:rsidRDefault="00C4782F" w:rsidP="00C4782F">
      <w:pPr>
        <w:rPr>
          <w:lang w:val="es-ES_tradnl"/>
        </w:rPr>
      </w:pPr>
    </w:p>
    <w:p w:rsidR="00197073" w:rsidRPr="00A34388" w:rsidRDefault="00197073">
      <w:pPr>
        <w:rPr>
          <w:rFonts w:ascii="Arial Bold" w:eastAsiaTheme="majorEastAsia" w:hAnsi="Arial Bold" w:cstheme="majorBidi" w:hint="eastAsia"/>
          <w:b/>
          <w:bCs/>
          <w:caps/>
          <w:sz w:val="22"/>
          <w:lang w:val="es-ES_tradnl"/>
        </w:rPr>
      </w:pPr>
      <w:r w:rsidRPr="00A34388">
        <w:rPr>
          <w:lang w:val="es-ES_tradnl"/>
        </w:rPr>
        <w:br w:type="page"/>
      </w:r>
    </w:p>
    <w:p w:rsidR="00F90BD6" w:rsidRPr="003934C8" w:rsidRDefault="00F90BD6" w:rsidP="00F90BD6">
      <w:pPr>
        <w:pStyle w:val="Heading3"/>
        <w:rPr>
          <w:rFonts w:hint="eastAsia"/>
          <w:lang w:val="es-ES"/>
        </w:rPr>
      </w:pPr>
      <w:bookmarkStart w:id="80" w:name="_Toc392852661"/>
      <w:bookmarkStart w:id="81" w:name="_Toc395279680"/>
      <w:bookmarkEnd w:id="76"/>
      <w:r w:rsidRPr="003934C8">
        <w:rPr>
          <w:lang w:val="es-ES"/>
        </w:rPr>
        <w:lastRenderedPageBreak/>
        <w:t>Programa 20</w:t>
      </w:r>
      <w:r w:rsidRPr="003934C8">
        <w:rPr>
          <w:lang w:val="es-ES"/>
        </w:rPr>
        <w:tab/>
        <w:t>Relaciones exteriores, alianzas y oficinas en el exterior</w:t>
      </w:r>
      <w:bookmarkEnd w:id="80"/>
      <w:bookmarkEnd w:id="81"/>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82" w:name="_Toc394914525"/>
      <w:r w:rsidRPr="00D42A38">
        <w:rPr>
          <w:b/>
          <w:sz w:val="22"/>
          <w:szCs w:val="22"/>
          <w:lang w:val="es-ES_tradnl"/>
        </w:rPr>
        <w:t>Director del Programa</w:t>
      </w:r>
      <w:r w:rsidRPr="00D42A38">
        <w:rPr>
          <w:b/>
          <w:sz w:val="22"/>
          <w:szCs w:val="22"/>
          <w:lang w:val="es-ES_tradnl"/>
        </w:rPr>
        <w:tab/>
        <w:t>Sr. J. C. Wichard</w:t>
      </w:r>
      <w:bookmarkEnd w:id="82"/>
    </w:p>
    <w:p w:rsidR="009124B0" w:rsidRPr="00A34388" w:rsidRDefault="009124B0" w:rsidP="009124B0">
      <w:pPr>
        <w:rPr>
          <w:rFonts w:eastAsia="SimSun" w:cs="Arial"/>
          <w:sz w:val="22"/>
          <w:szCs w:val="22"/>
          <w:lang w:val="es-ES_tradnl"/>
        </w:rPr>
      </w:pPr>
    </w:p>
    <w:p w:rsidR="009124B0" w:rsidRPr="00A34388" w:rsidRDefault="009124B0" w:rsidP="009124B0">
      <w:pPr>
        <w:rPr>
          <w:rFonts w:eastAsia="SimSun" w:cs="Arial"/>
          <w:sz w:val="22"/>
          <w:szCs w:val="22"/>
          <w:lang w:val="es-ES_tradnl"/>
        </w:rPr>
      </w:pPr>
    </w:p>
    <w:p w:rsidR="009124B0" w:rsidRPr="00A34388" w:rsidRDefault="009124B0" w:rsidP="009124B0">
      <w:pPr>
        <w:jc w:val="both"/>
        <w:rPr>
          <w:rFonts w:cs="Arial"/>
          <w:bCs/>
          <w:sz w:val="22"/>
          <w:szCs w:val="22"/>
          <w:lang w:val="es-ES_tradnl"/>
        </w:rPr>
      </w:pPr>
      <w:r w:rsidRPr="00A34388">
        <w:rPr>
          <w:sz w:val="22"/>
          <w:lang w:val="es-ES_tradnl"/>
        </w:rPr>
        <w:t>AVANCES LOGRADOS EN EL BIENIO 2012/13</w:t>
      </w:r>
    </w:p>
    <w:p w:rsidR="009124B0" w:rsidRPr="00A34388" w:rsidRDefault="009124B0" w:rsidP="009124B0">
      <w:pPr>
        <w:jc w:val="both"/>
        <w:rPr>
          <w:rFonts w:eastAsia="SimSun" w:cs="Arial"/>
          <w:b/>
          <w:sz w:val="22"/>
          <w:szCs w:val="22"/>
          <w:lang w:val="es-ES_tradnl"/>
        </w:rPr>
      </w:pPr>
    </w:p>
    <w:p w:rsidR="009124B0" w:rsidRPr="00A34388" w:rsidRDefault="009124B0" w:rsidP="009124B0">
      <w:pPr>
        <w:jc w:val="both"/>
        <w:rPr>
          <w:rFonts w:eastAsia="SimSun" w:cs="Arial"/>
          <w:szCs w:val="20"/>
          <w:lang w:val="es-ES_tradnl"/>
        </w:rPr>
      </w:pPr>
      <w:r w:rsidRPr="00A34388">
        <w:rPr>
          <w:lang w:val="es-ES_tradnl"/>
        </w:rPr>
        <w:t>RELACIONES EXTERIORES Y ALIANZAS</w:t>
      </w:r>
    </w:p>
    <w:p w:rsidR="009124B0" w:rsidRPr="00A34388" w:rsidRDefault="009124B0" w:rsidP="009124B0">
      <w:pPr>
        <w:jc w:val="both"/>
        <w:rPr>
          <w:rFonts w:eastAsia="SimSun" w:cs="Arial"/>
          <w:szCs w:val="20"/>
          <w:lang w:val="es-ES_tradnl"/>
        </w:rPr>
      </w:pPr>
    </w:p>
    <w:p w:rsidR="009124B0" w:rsidRPr="00A34388" w:rsidRDefault="009124B0" w:rsidP="009124B0">
      <w:pPr>
        <w:autoSpaceDE w:val="0"/>
        <w:autoSpaceDN w:val="0"/>
        <w:adjustRightInd w:val="0"/>
        <w:jc w:val="both"/>
        <w:rPr>
          <w:rFonts w:eastAsia="SimSun" w:cs="Arial"/>
          <w:bCs/>
          <w:color w:val="000000"/>
          <w:szCs w:val="20"/>
          <w:lang w:val="es-ES_tradnl"/>
        </w:rPr>
      </w:pPr>
      <w:r w:rsidRPr="00A34388">
        <w:rPr>
          <w:lang w:val="es-ES_tradnl"/>
        </w:rPr>
        <w:t>20.1.</w:t>
      </w:r>
      <w:r w:rsidRPr="00A34388">
        <w:rPr>
          <w:lang w:val="es-ES_tradnl"/>
        </w:rPr>
        <w:tab/>
        <w:t xml:space="preserve">Durante el bienio, la OMPI continuó reforzando su compromiso con las NN.UU. y otras organizaciones intergubernamentales y no gubernamentales.  Esta labor contribuyó al conjunto de la meta estratégica consistente en establecer a la OMPI como punto de referencia sobre cuestiones de P.I. y de política mundiales.  El programa coordina asimismo los esfuerzos de movilización de recursos extrapresupuestarios, dando lugar a un incremento general de esta clase de financiación.  </w:t>
      </w:r>
      <w:r w:rsidRPr="00A34388">
        <w:rPr>
          <w:color w:val="000000"/>
          <w:lang w:val="es-ES_tradnl"/>
        </w:rPr>
        <w:t xml:space="preserve">Entre los principales logros del bienio 2012/13, cabe destacar: </w:t>
      </w:r>
    </w:p>
    <w:p w:rsidR="009124B0" w:rsidRPr="00A34388" w:rsidRDefault="009124B0" w:rsidP="009124B0">
      <w:pPr>
        <w:tabs>
          <w:tab w:val="num" w:pos="680"/>
        </w:tabs>
        <w:autoSpaceDE w:val="0"/>
        <w:autoSpaceDN w:val="0"/>
        <w:adjustRightInd w:val="0"/>
        <w:jc w:val="both"/>
        <w:rPr>
          <w:rFonts w:eastAsia="SimSun" w:cs="Arial"/>
          <w:bCs/>
          <w:color w:val="000000"/>
          <w:szCs w:val="20"/>
          <w:lang w:val="es-ES_tradnl"/>
        </w:rPr>
      </w:pPr>
    </w:p>
    <w:p w:rsidR="009124B0" w:rsidRPr="00A34388" w:rsidRDefault="009124B0" w:rsidP="009124B0">
      <w:pPr>
        <w:pStyle w:val="ListParagraph"/>
        <w:numPr>
          <w:ilvl w:val="1"/>
          <w:numId w:val="53"/>
        </w:numPr>
        <w:tabs>
          <w:tab w:val="clear" w:pos="1440"/>
          <w:tab w:val="left" w:pos="1134"/>
        </w:tabs>
        <w:autoSpaceDE w:val="0"/>
        <w:autoSpaceDN w:val="0"/>
        <w:adjustRightInd w:val="0"/>
        <w:ind w:left="1134" w:hanging="425"/>
        <w:contextualSpacing/>
        <w:jc w:val="both"/>
        <w:rPr>
          <w:rFonts w:eastAsia="SimSun" w:cs="Arial"/>
          <w:bCs/>
          <w:color w:val="000000"/>
          <w:lang w:val="es-ES_tradnl"/>
        </w:rPr>
      </w:pPr>
      <w:r w:rsidRPr="00A34388">
        <w:rPr>
          <w:i/>
          <w:color w:val="000000"/>
          <w:lang w:val="es-ES_tradnl"/>
        </w:rPr>
        <w:t xml:space="preserve">El lanzamiento del Índice Mundial de Innovación de 2013 junto con el Secretario General de </w:t>
      </w:r>
      <w:r w:rsidR="009B1238" w:rsidRPr="00A34388">
        <w:rPr>
          <w:i/>
          <w:color w:val="000000"/>
          <w:lang w:val="es-ES_tradnl"/>
        </w:rPr>
        <w:t xml:space="preserve">las Naciones Unidas </w:t>
      </w:r>
      <w:r w:rsidR="009B1238">
        <w:rPr>
          <w:i/>
          <w:color w:val="000000"/>
          <w:lang w:val="es-ES_tradnl"/>
        </w:rPr>
        <w:t xml:space="preserve">en </w:t>
      </w:r>
      <w:r w:rsidRPr="00A34388">
        <w:rPr>
          <w:i/>
          <w:color w:val="000000"/>
          <w:lang w:val="es-ES_tradnl"/>
        </w:rPr>
        <w:t xml:space="preserve">la serie de sesiones de alto nivel del Consejo Económico y Social (ECOSOC) en julio de 2013:  </w:t>
      </w:r>
      <w:r w:rsidR="009B1238" w:rsidRPr="00A34388">
        <w:rPr>
          <w:color w:val="000000"/>
          <w:lang w:val="es-ES_tradnl"/>
        </w:rPr>
        <w:t xml:space="preserve">con </w:t>
      </w:r>
      <w:r w:rsidRPr="00A34388">
        <w:rPr>
          <w:color w:val="000000"/>
          <w:lang w:val="es-ES_tradnl"/>
        </w:rPr>
        <w:t xml:space="preserve">vistas a dicho lanzamiento, el programa 20 organizó también el examen ministerial anual del ECOSOC:  Reunión preparatoria regional para África.  Más de veinte ministros participaron y alcanzaron acuerdos sobre mensajes clave para el examen ministerial anual del ECOSOC.  La Oficina de Nueva York de la OMPI desempeñó un papel fundamental en la coordinación con la Secretaría de las Naciones Unidas.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i/>
          <w:color w:val="000000"/>
          <w:szCs w:val="20"/>
          <w:lang w:val="es-ES_tradnl"/>
        </w:rPr>
      </w:pPr>
      <w:r w:rsidRPr="00A34388">
        <w:rPr>
          <w:color w:val="000000"/>
          <w:lang w:val="es-ES_tradnl"/>
        </w:rPr>
        <w:t>ii)</w:t>
      </w:r>
      <w:r w:rsidRPr="00A34388">
        <w:rPr>
          <w:lang w:val="es-ES_tradnl"/>
        </w:rPr>
        <w:tab/>
      </w:r>
      <w:r w:rsidRPr="00A34388">
        <w:rPr>
          <w:i/>
          <w:color w:val="000000"/>
          <w:lang w:val="es-ES_tradnl"/>
        </w:rPr>
        <w:t xml:space="preserve">Aceleración de la adopción de los ODM, desarrollo de la Agenda para el Desarrollo posterior a 2015 y elaboración de los Objetivos de Desarrollo Sostenible:  </w:t>
      </w:r>
      <w:r w:rsidRPr="00A34388">
        <w:rPr>
          <w:color w:val="000000"/>
          <w:lang w:val="es-ES_tradnl"/>
        </w:rPr>
        <w:t xml:space="preserve">En 2012, la OMPI entró a formar parte del Grupo de Tareas sobre el desfase en el logro de los ODM y contribuyó a la elaboración de los informes para 2012 y 2013.  La OMPI también contribuyó al Equipo de Tareas del Sistema de las Naciones Unidas sobre la Agenda para el Desarrollo posterior a 2015, la labor del Equipo de Apoyo Técnico del Grupo de Trabajo de Composición Abierta de las Naciones Unidas sobre los Objetivos de Desarrollo Sostenible, y a la nota informativa y estadística de dicho Grupo sobre "Ciencia, tecnología e innovación, intercambio de conocimientos y fortalecimiento de capacidades".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cs="Arial"/>
          <w:szCs w:val="20"/>
          <w:lang w:val="es-ES_tradnl"/>
        </w:rPr>
      </w:pPr>
      <w:r w:rsidRPr="00A34388">
        <w:rPr>
          <w:color w:val="000000"/>
          <w:lang w:val="es-ES_tradnl"/>
        </w:rPr>
        <w:t>iii)</w:t>
      </w:r>
      <w:r w:rsidRPr="00A34388">
        <w:rPr>
          <w:lang w:val="es-ES_tradnl"/>
        </w:rPr>
        <w:tab/>
      </w:r>
      <w:r w:rsidRPr="00A34388">
        <w:rPr>
          <w:i/>
          <w:lang w:val="es-ES_tradnl"/>
        </w:rPr>
        <w:t xml:space="preserve">La Cumbre Mundial sobre la Sociedad de la Información (CMSI) y el Foro Global sobre Gobierno de Internet (IGF):  </w:t>
      </w:r>
      <w:r w:rsidRPr="00A34388">
        <w:rPr>
          <w:color w:val="000000"/>
          <w:lang w:val="es-ES_tradnl"/>
        </w:rPr>
        <w:t xml:space="preserve">El Director General pronunció discursos inaugurales en las ceremonias de apertura del Foro de la CMSI en mayo de 2012 y 2013, así como durante el Diálogo de Alto Nivel sobre Innovaciones y Normas en las TIC de las Economías Emergentes celebrado en 2013 en el marco de dicho Foro.  </w:t>
      </w:r>
      <w:r w:rsidRPr="00A34388">
        <w:rPr>
          <w:lang w:val="es-ES_tradnl"/>
        </w:rPr>
        <w:t xml:space="preserve">El programa 20 coordinó también la eficaz participación de la OMPI en el IGD en 2012 y 2013.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Cs w:val="20"/>
          <w:lang w:val="es-ES_tradnl"/>
        </w:rPr>
      </w:pPr>
      <w:r w:rsidRPr="00A34388">
        <w:rPr>
          <w:color w:val="000000"/>
          <w:lang w:val="es-ES_tradnl"/>
        </w:rPr>
        <w:t>iv)</w:t>
      </w:r>
      <w:r w:rsidRPr="00A34388">
        <w:rPr>
          <w:lang w:val="es-ES_tradnl"/>
        </w:rPr>
        <w:tab/>
      </w:r>
      <w:r w:rsidRPr="00A34388">
        <w:rPr>
          <w:i/>
          <w:lang w:val="es-ES_tradnl"/>
        </w:rPr>
        <w:t xml:space="preserve">CMNUCC:  </w:t>
      </w:r>
      <w:r w:rsidRPr="00A34388">
        <w:rPr>
          <w:lang w:val="es-ES_tradnl"/>
        </w:rPr>
        <w:t xml:space="preserve">La OMPI continuó estando representada en calidad de observador en las reuniones pertinentes de la CMNUCC, centrando su apoyo cada vez más en su Mecanismo de Tecnología.  </w:t>
      </w:r>
      <w:r w:rsidRPr="00A34388">
        <w:rPr>
          <w:color w:val="000000"/>
          <w:lang w:val="es-ES_tradnl"/>
        </w:rPr>
        <w:t xml:space="preserve">El programa 20 ha desempeñado un papel fundamental en la creciente sensibilización acerca de WIPO GREEN en el seno de la CMNUCC y, más en general, en la captación de nuevos socios para WIPO GREEN.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Cs w:val="20"/>
          <w:lang w:val="es-ES_tradnl"/>
        </w:rPr>
      </w:pPr>
      <w:r w:rsidRPr="00A34388">
        <w:rPr>
          <w:color w:val="000000"/>
          <w:lang w:val="es-ES_tradnl"/>
        </w:rPr>
        <w:t>v)</w:t>
      </w:r>
      <w:r w:rsidRPr="00A34388">
        <w:rPr>
          <w:lang w:val="es-ES_tradnl"/>
        </w:rPr>
        <w:tab/>
      </w:r>
      <w:r w:rsidRPr="00A34388">
        <w:rPr>
          <w:i/>
          <w:color w:val="000000"/>
          <w:lang w:val="es-ES_tradnl"/>
        </w:rPr>
        <w:t xml:space="preserve">Cooperación con la OMC y la OMS:  </w:t>
      </w:r>
      <w:r w:rsidRPr="00A34388">
        <w:rPr>
          <w:color w:val="000000"/>
          <w:lang w:val="es-ES_tradnl"/>
        </w:rPr>
        <w:t xml:space="preserve">El programa garantizó la eficaz participación de la OMPI en el Consejo de los ADPIC y en las reuniones y procesos pertinentes de la OMS, y coordinó la intervención de la OMPI en los talleres regionales y nacionales de la OMC sobre diversos asuntos.  Garantizó la implicación de la OMPI en una serie de reuniones del Equipo de Tareas Interinstitucional sobre la Prevención y Control de Enfermedades No Transmisibles (ENT).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Cs w:val="20"/>
          <w:lang w:val="es-ES_tradnl"/>
        </w:rPr>
      </w:pPr>
      <w:r w:rsidRPr="00A34388">
        <w:rPr>
          <w:color w:val="000000"/>
          <w:lang w:val="es-ES_tradnl"/>
        </w:rPr>
        <w:t>vi)</w:t>
      </w:r>
      <w:r w:rsidRPr="00A34388">
        <w:rPr>
          <w:lang w:val="es-ES_tradnl"/>
        </w:rPr>
        <w:tab/>
      </w:r>
      <w:r w:rsidRPr="00A34388">
        <w:rPr>
          <w:i/>
          <w:color w:val="000000"/>
          <w:lang w:val="es-ES_tradnl"/>
        </w:rPr>
        <w:t>Semana Mundial del Espíritu Empresarial (GEW):</w:t>
      </w:r>
      <w:r w:rsidR="007E4D96" w:rsidRPr="00A34388">
        <w:rPr>
          <w:i/>
          <w:color w:val="000000"/>
          <w:lang w:val="es-ES_tradnl"/>
        </w:rPr>
        <w:t xml:space="preserve"> </w:t>
      </w:r>
      <w:r w:rsidRPr="00A34388">
        <w:rPr>
          <w:i/>
          <w:color w:val="000000"/>
          <w:lang w:val="es-ES_tradnl"/>
        </w:rPr>
        <w:t xml:space="preserve"> </w:t>
      </w:r>
      <w:r w:rsidRPr="00A34388">
        <w:rPr>
          <w:color w:val="000000"/>
          <w:lang w:val="es-ES_tradnl"/>
        </w:rPr>
        <w:t xml:space="preserve">En colaboración con la UNCTAD, el UNITAR, la OIT, el CCI, UNIGE/UNITEC, la Oficina de Desarrollo Económico de Ginebra y la </w:t>
      </w:r>
      <w:r w:rsidRPr="00A34388">
        <w:rPr>
          <w:i/>
          <w:color w:val="000000"/>
          <w:lang w:val="es-ES_tradnl"/>
        </w:rPr>
        <w:t>Fédération des entreprises romandes</w:t>
      </w:r>
      <w:r w:rsidRPr="00A34388">
        <w:rPr>
          <w:color w:val="000000"/>
          <w:lang w:val="es-ES_tradnl"/>
        </w:rPr>
        <w:t xml:space="preserve">, la OMPI organizó la Semana Mundial del Espíritu Empresarial (GEW) 2012 y 2013, durante la cual se expusieron una serie de casos que ponían de manifiesto el éxito con que las pymes, los jóvenes empresarios y las mujeres habían hecho uso de diversas herramientas de P.I. en los países en desarrollo. </w:t>
      </w: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 w:val="16"/>
          <w:szCs w:val="16"/>
          <w:lang w:val="es-ES_tradnl"/>
        </w:rPr>
      </w:pPr>
    </w:p>
    <w:p w:rsidR="009124B0" w:rsidRPr="00A34388" w:rsidRDefault="009124B0" w:rsidP="009124B0">
      <w:pPr>
        <w:tabs>
          <w:tab w:val="left" w:pos="1134"/>
        </w:tabs>
        <w:autoSpaceDE w:val="0"/>
        <w:autoSpaceDN w:val="0"/>
        <w:adjustRightInd w:val="0"/>
        <w:ind w:left="1134" w:hanging="425"/>
        <w:jc w:val="both"/>
        <w:rPr>
          <w:rFonts w:eastAsia="SimSun" w:cs="Arial"/>
          <w:bCs/>
          <w:color w:val="000000"/>
          <w:szCs w:val="20"/>
          <w:lang w:val="es-ES_tradnl"/>
        </w:rPr>
      </w:pPr>
      <w:r w:rsidRPr="00A34388">
        <w:rPr>
          <w:color w:val="000000"/>
          <w:lang w:val="es-ES_tradnl"/>
        </w:rPr>
        <w:lastRenderedPageBreak/>
        <w:t>ix)</w:t>
      </w:r>
      <w:r w:rsidRPr="00A34388">
        <w:rPr>
          <w:lang w:val="es-ES_tradnl"/>
        </w:rPr>
        <w:tab/>
      </w:r>
      <w:r w:rsidRPr="00A34388">
        <w:rPr>
          <w:i/>
          <w:color w:val="000000"/>
          <w:lang w:val="es-ES_tradnl"/>
        </w:rPr>
        <w:t xml:space="preserve">Cooperación con las NN.UU. en el ámbito del agua:  </w:t>
      </w:r>
      <w:r w:rsidRPr="00A34388">
        <w:rPr>
          <w:color w:val="000000"/>
          <w:lang w:val="es-ES_tradnl"/>
        </w:rPr>
        <w:t xml:space="preserve">En 2012, la OMPI organizó un Taller con motivo del Día Mundial del Agua titulado "La importancia de la información sobre patentes para promover el acceso sostenible al agua potable" en colaboración con la Agencia Internacional de Energías Renovables (IRENA) y el Global Institute for Water, Environment and Health (GIWEH).  En 2013 tuvieron lugar nuevas iniciativas de seguimiento. </w:t>
      </w:r>
    </w:p>
    <w:p w:rsidR="009124B0" w:rsidRPr="00A34388" w:rsidRDefault="009124B0" w:rsidP="009124B0">
      <w:pPr>
        <w:tabs>
          <w:tab w:val="left" w:pos="1134"/>
        </w:tabs>
        <w:autoSpaceDE w:val="0"/>
        <w:autoSpaceDN w:val="0"/>
        <w:adjustRightInd w:val="0"/>
        <w:ind w:left="1134" w:hanging="425"/>
        <w:jc w:val="both"/>
        <w:rPr>
          <w:rFonts w:cs="Arial"/>
          <w:szCs w:val="20"/>
          <w:lang w:val="es-ES_tradnl"/>
        </w:rPr>
      </w:pPr>
    </w:p>
    <w:p w:rsidR="009124B0" w:rsidRPr="00A34388" w:rsidRDefault="009124B0" w:rsidP="009124B0">
      <w:pPr>
        <w:keepNext/>
        <w:keepLines/>
        <w:tabs>
          <w:tab w:val="left" w:pos="709"/>
        </w:tabs>
        <w:autoSpaceDE w:val="0"/>
        <w:autoSpaceDN w:val="0"/>
        <w:adjustRightInd w:val="0"/>
        <w:jc w:val="both"/>
        <w:rPr>
          <w:rFonts w:eastAsia="SimSun" w:cs="Arial"/>
          <w:iCs/>
          <w:szCs w:val="20"/>
          <w:lang w:val="es-ES_tradnl"/>
        </w:rPr>
      </w:pPr>
      <w:r w:rsidRPr="00A34388">
        <w:rPr>
          <w:color w:val="000000"/>
          <w:lang w:val="es-ES_tradnl"/>
        </w:rPr>
        <w:t>20.2.</w:t>
      </w:r>
      <w:r w:rsidRPr="00A34388">
        <w:rPr>
          <w:lang w:val="es-ES_tradnl"/>
        </w:rPr>
        <w:tab/>
        <w:t xml:space="preserve">El programa 20 opera como programa de coordinación central respecto a la movilización de recursos extrapresupuestarios.  En el bienio 2012/13, la OMPI incrementó con éxito la disponibilidad de fondos de contribuciones voluntarias mediante acuerdos de fondos fiduciarios.  Se produjo un aumento del 44,5% frente al bienio 2010/11.  El programa 20 funcionó en estrecha colaboración con otros programas pertinentes para apoyar y fomentar los esfuerzos de movilización de recursos.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autoSpaceDE w:val="0"/>
        <w:autoSpaceDN w:val="0"/>
        <w:adjustRightInd w:val="0"/>
        <w:jc w:val="both"/>
        <w:rPr>
          <w:rFonts w:eastAsia="SimSun" w:cs="Arial"/>
          <w:b/>
          <w:iCs/>
          <w:szCs w:val="20"/>
          <w:lang w:val="es-ES_tradnl"/>
        </w:rPr>
      </w:pPr>
      <w:r w:rsidRPr="00A34388">
        <w:rPr>
          <w:b/>
          <w:lang w:val="es-ES_tradnl"/>
        </w:rPr>
        <w:t>Oficina de Nueva York de la OMPI</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20.3.</w:t>
      </w:r>
      <w:r w:rsidRPr="00A34388">
        <w:rPr>
          <w:lang w:val="es-ES_tradnl"/>
        </w:rPr>
        <w:tab/>
        <w:t xml:space="preserve">La Oficina de Nueva York de la OMPI opera como una extensión de las funciones de relaciones exteriores de la OMPI ante la Secretaría de las NN.UU. y las organizaciones de las NN.UU. establecidas en Nueva York.  En este sentido, desempeñó un papel fundamental por su contribución efectiva a los actos que se describen a continuación.  A modo de ejemplo adicional, en diciembre de 2013 la Oficina de Nueva York de la OMPI organizó un acto paralelo en la sede de las NN.UU. en Nueva York para fomentar la adhesión al Tratado de Marrakech en el marco de los actos de las NN.UU. de conmemoración del Día Internacional de las Personas con Discapacidad.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autoSpaceDE w:val="0"/>
        <w:autoSpaceDN w:val="0"/>
        <w:adjustRightInd w:val="0"/>
        <w:jc w:val="both"/>
        <w:rPr>
          <w:rFonts w:eastAsia="SimSun" w:cs="Arial"/>
          <w:b/>
          <w:iCs/>
          <w:szCs w:val="20"/>
          <w:lang w:val="es-ES_tradnl"/>
        </w:rPr>
      </w:pPr>
      <w:r w:rsidRPr="00A34388">
        <w:rPr>
          <w:b/>
          <w:lang w:val="es-ES_tradnl"/>
        </w:rPr>
        <w:t>Relaciones con empresas y organizaciones no gubernamentales</w:t>
      </w:r>
    </w:p>
    <w:p w:rsidR="009124B0" w:rsidRPr="00A34388" w:rsidRDefault="009124B0" w:rsidP="009124B0">
      <w:pPr>
        <w:autoSpaceDE w:val="0"/>
        <w:autoSpaceDN w:val="0"/>
        <w:adjustRightInd w:val="0"/>
        <w:jc w:val="both"/>
        <w:rPr>
          <w:rFonts w:eastAsia="SimSun" w:cs="Arial"/>
          <w:szCs w:val="20"/>
          <w:lang w:val="es-ES_tradnl"/>
        </w:rPr>
      </w:pPr>
    </w:p>
    <w:p w:rsidR="009124B0" w:rsidRPr="00A34388" w:rsidRDefault="009124B0" w:rsidP="009124B0">
      <w:pPr>
        <w:tabs>
          <w:tab w:val="left" w:pos="709"/>
        </w:tabs>
        <w:autoSpaceDE w:val="0"/>
        <w:autoSpaceDN w:val="0"/>
        <w:adjustRightInd w:val="0"/>
        <w:jc w:val="both"/>
        <w:rPr>
          <w:rFonts w:eastAsia="SimSun" w:cs="Arial"/>
          <w:szCs w:val="20"/>
          <w:lang w:val="es-ES_tradnl"/>
        </w:rPr>
      </w:pPr>
      <w:r w:rsidRPr="00A34388">
        <w:rPr>
          <w:lang w:val="es-ES_tradnl"/>
        </w:rPr>
        <w:t>20.4.</w:t>
      </w:r>
      <w:r w:rsidRPr="00A34388">
        <w:rPr>
          <w:lang w:val="es-ES_tradnl"/>
        </w:rPr>
        <w:tab/>
        <w:t xml:space="preserve">La OMPI continuó su labor de reforzar el compromiso de las partes interesadas no gubernamentales con sus programas, y facilitar su participación activa en los mismos.  En el transcurso del bienio, la OMPI ha continuado identificando y promoviendo oportunidades, así como potenciando medidas que aseguren una amplia participación de la sociedad civil en las actividades de la OMPI, en sintonía con la recomendación 42 de la Agenda para el Desarrollo.  Esto se logró principalmente mediante talleres y seminarios, la organización de actos paralelos en el marco de los distintos comités permanentes, sesiones informativas y otros foros en los que tuvieron lugar intercambios valiosos con participantes no gubernamentales.  </w:t>
      </w:r>
    </w:p>
    <w:p w:rsidR="009124B0" w:rsidRPr="00A34388" w:rsidRDefault="009124B0" w:rsidP="009124B0">
      <w:pPr>
        <w:tabs>
          <w:tab w:val="left" w:pos="709"/>
        </w:tabs>
        <w:autoSpaceDE w:val="0"/>
        <w:autoSpaceDN w:val="0"/>
        <w:adjustRightInd w:val="0"/>
        <w:jc w:val="both"/>
        <w:rPr>
          <w:rFonts w:eastAsia="SimSun" w:cs="Arial"/>
          <w:szCs w:val="20"/>
          <w:lang w:val="es-ES_tradnl"/>
        </w:rPr>
      </w:pPr>
    </w:p>
    <w:p w:rsidR="009124B0" w:rsidRPr="00A34388" w:rsidRDefault="009124B0" w:rsidP="009124B0">
      <w:pPr>
        <w:tabs>
          <w:tab w:val="left" w:pos="709"/>
        </w:tabs>
        <w:autoSpaceDE w:val="0"/>
        <w:autoSpaceDN w:val="0"/>
        <w:adjustRightInd w:val="0"/>
        <w:jc w:val="both"/>
        <w:rPr>
          <w:rFonts w:eastAsia="SimSun" w:cs="Arial"/>
          <w:szCs w:val="20"/>
          <w:lang w:val="es-ES_tradnl"/>
        </w:rPr>
      </w:pPr>
      <w:r w:rsidRPr="00A34388">
        <w:rPr>
          <w:lang w:val="es-ES_tradnl"/>
        </w:rPr>
        <w:t>20.5.</w:t>
      </w:r>
      <w:r w:rsidRPr="00A34388">
        <w:rPr>
          <w:lang w:val="es-ES_tradnl"/>
        </w:rPr>
        <w:tab/>
        <w:t xml:space="preserve">En 2012, la OMPI auspició la primera reunión con el Director General exclusivamente para las ONG, lo que brindó una oportunidad fundamental de intercambiar información valiosa sobre los logros de la OMPI hasta la fecha, así como sobre las prioridades para el próximo año.  La organización de la segunda reunión del Director General con ONG Acreditadas en 2013, y su institucionalización como un acto de carácter anual, continúa siendo una manifestación fundamental de este importante diálogo, y subraya la especial importancia que la OMPI atribuye a los intereses e inquietudes de las partes interesadas no gubernamentales, así como su compromiso por mantener una interacción abierta, transparente y dinámica con ellas.  </w:t>
      </w:r>
    </w:p>
    <w:p w:rsidR="009124B0" w:rsidRPr="00A34388" w:rsidRDefault="009124B0" w:rsidP="009124B0">
      <w:pPr>
        <w:tabs>
          <w:tab w:val="left" w:pos="709"/>
        </w:tabs>
        <w:autoSpaceDE w:val="0"/>
        <w:autoSpaceDN w:val="0"/>
        <w:adjustRightInd w:val="0"/>
        <w:jc w:val="both"/>
        <w:rPr>
          <w:rFonts w:eastAsia="SimSun" w:cs="Arial"/>
          <w:szCs w:val="20"/>
          <w:lang w:val="es-ES_tradnl"/>
        </w:rPr>
      </w:pPr>
    </w:p>
    <w:p w:rsidR="009124B0" w:rsidRPr="00A34388" w:rsidRDefault="009124B0" w:rsidP="009124B0">
      <w:pPr>
        <w:tabs>
          <w:tab w:val="left" w:pos="709"/>
        </w:tabs>
        <w:autoSpaceDE w:val="0"/>
        <w:autoSpaceDN w:val="0"/>
        <w:adjustRightInd w:val="0"/>
        <w:jc w:val="both"/>
        <w:rPr>
          <w:rFonts w:eastAsia="SimSun" w:cs="Arial"/>
          <w:szCs w:val="20"/>
          <w:lang w:val="es-ES_tradnl"/>
        </w:rPr>
      </w:pPr>
      <w:r w:rsidRPr="00A34388">
        <w:rPr>
          <w:lang w:val="es-ES_tradnl"/>
        </w:rPr>
        <w:t>20.6.</w:t>
      </w:r>
      <w:r w:rsidRPr="00A34388">
        <w:rPr>
          <w:lang w:val="es-ES_tradnl"/>
        </w:rPr>
        <w:tab/>
        <w:t xml:space="preserve">En 2012, los Estados miembros reconocieron también la necesidad de establecer un compromiso más incluyente con un amplio abanico de partes interesadas no gubernamentales, incluidas empresas privadas.  Al facilitar la celebración de debates más efectivos con estas partes interesadas y, aún más importante, el debate entre ellas, la OMPI contribuyó a fomentar las sinergias, la colaboración y cooperación necesarias para abordar mejor los problemas mundiales de P.I.  El Foro de la OMPI de 2013, organizado en el marco de las Asambleas de los Estados miembros, ofreció una plataforma para el diálogo con destacados y visionarios innovadores sobre el potencial de sus respectivas ideas para mejorar el mundo;  la forma en que difunden el conocimiento y los beneficios derivados de sus descubrimientos e innovaciones;  y el modo en que fomentan un entorno que promueva el tipo de trabajos pioneros que ellos están desarrollando. </w:t>
      </w:r>
    </w:p>
    <w:p w:rsidR="009124B0" w:rsidRPr="00A34388" w:rsidRDefault="009124B0" w:rsidP="009124B0">
      <w:pPr>
        <w:jc w:val="both"/>
        <w:rPr>
          <w:rFonts w:eastAsia="SimSun" w:cs="Arial"/>
          <w:iCs/>
          <w:szCs w:val="20"/>
          <w:lang w:val="es-ES_tradnl"/>
        </w:rPr>
      </w:pPr>
    </w:p>
    <w:p w:rsidR="009124B0" w:rsidRPr="00A34388" w:rsidRDefault="009124B0" w:rsidP="009124B0">
      <w:pPr>
        <w:autoSpaceDE w:val="0"/>
        <w:autoSpaceDN w:val="0"/>
        <w:adjustRightInd w:val="0"/>
        <w:jc w:val="both"/>
        <w:rPr>
          <w:rFonts w:eastAsia="SimSun" w:cs="Arial"/>
          <w:iCs/>
          <w:szCs w:val="20"/>
          <w:lang w:val="es-ES_tradnl"/>
        </w:rPr>
      </w:pPr>
      <w:r w:rsidRPr="00332758">
        <w:rPr>
          <w:lang w:val="es-ES_tradnl"/>
        </w:rPr>
        <w:t>OFICINAS EN EL EXTERIOR</w:t>
      </w:r>
    </w:p>
    <w:p w:rsidR="009124B0" w:rsidRPr="00A34388" w:rsidRDefault="009124B0" w:rsidP="009124B0">
      <w:pPr>
        <w:autoSpaceDE w:val="0"/>
        <w:autoSpaceDN w:val="0"/>
        <w:adjustRightInd w:val="0"/>
        <w:jc w:val="both"/>
        <w:rPr>
          <w:rFonts w:cs="Arial"/>
          <w:bCs/>
          <w:color w:val="000000"/>
          <w:szCs w:val="20"/>
          <w:u w:val="single"/>
          <w:lang w:val="es-ES_tradnl"/>
        </w:rPr>
      </w:pPr>
    </w:p>
    <w:p w:rsidR="009124B0" w:rsidRPr="00332758" w:rsidRDefault="009124B0" w:rsidP="009124B0">
      <w:pPr>
        <w:autoSpaceDE w:val="0"/>
        <w:autoSpaceDN w:val="0"/>
        <w:adjustRightInd w:val="0"/>
        <w:jc w:val="both"/>
        <w:rPr>
          <w:rFonts w:cs="Arial"/>
          <w:bCs/>
          <w:szCs w:val="20"/>
          <w:u w:val="single"/>
          <w:lang w:val="es-ES_tradnl"/>
        </w:rPr>
      </w:pPr>
      <w:r w:rsidRPr="00332758">
        <w:rPr>
          <w:u w:val="single"/>
          <w:lang w:val="es-ES_tradnl"/>
        </w:rPr>
        <w:t>Oficina de la OMPI en el Brasil (OOB)</w:t>
      </w:r>
    </w:p>
    <w:p w:rsidR="009124B0" w:rsidRPr="00A34388" w:rsidRDefault="009124B0" w:rsidP="009124B0">
      <w:pPr>
        <w:autoSpaceDE w:val="0"/>
        <w:autoSpaceDN w:val="0"/>
        <w:adjustRightInd w:val="0"/>
        <w:jc w:val="both"/>
        <w:rPr>
          <w:rFonts w:cs="Arial"/>
          <w:bCs/>
          <w:color w:val="000000"/>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20.7.</w:t>
      </w:r>
      <w:r w:rsidRPr="00A34388">
        <w:rPr>
          <w:lang w:val="es-ES_tradnl"/>
        </w:rPr>
        <w:tab/>
      </w:r>
      <w:r w:rsidRPr="00332758">
        <w:rPr>
          <w:lang w:val="es-ES_tradnl"/>
        </w:rPr>
        <w:t xml:space="preserve">En el bienio la OOB siguió reforzando las capacidades nacionales y promoviendo el uso de los servicios que ofrece la OMPI.  </w:t>
      </w:r>
      <w:r w:rsidRPr="00A34388">
        <w:rPr>
          <w:lang w:val="es-ES_tradnl"/>
        </w:rPr>
        <w:t xml:space="preserve">En este sentido, la OOB aumentó su participación en iniciativas puestas en marcha por las agencias gubernamentales y sectoriales en </w:t>
      </w:r>
      <w:r w:rsidR="00286B53" w:rsidRPr="00A34388">
        <w:rPr>
          <w:lang w:val="es-ES_tradnl"/>
        </w:rPr>
        <w:t xml:space="preserve">el </w:t>
      </w:r>
      <w:r w:rsidRPr="00A34388">
        <w:rPr>
          <w:lang w:val="es-ES_tradnl"/>
        </w:rPr>
        <w:t xml:space="preserve">Brasil, así como en otros países en desarrollo con los que </w:t>
      </w:r>
      <w:r w:rsidR="00286B53" w:rsidRPr="00A34388">
        <w:rPr>
          <w:lang w:val="es-ES_tradnl"/>
        </w:rPr>
        <w:t xml:space="preserve">el </w:t>
      </w:r>
      <w:r w:rsidRPr="00A34388">
        <w:rPr>
          <w:lang w:val="es-ES_tradnl"/>
        </w:rPr>
        <w:t xml:space="preserve">Brasil ha establecido programas de cooperación, a los fines de fomentar una </w:t>
      </w:r>
      <w:r w:rsidRPr="00A34388">
        <w:rPr>
          <w:lang w:val="es-ES_tradnl"/>
        </w:rPr>
        <w:lastRenderedPageBreak/>
        <w:t>mejor comprensión del sistema de la P.I.  Asimismo, la Oficina asistió con regularidad a reuniones con las principales organizaciones interesadas, por ejemplo, la Red de Tecnología de R</w:t>
      </w:r>
      <w:r w:rsidR="00536E54" w:rsidRPr="00A34388">
        <w:rPr>
          <w:lang w:val="es-ES_tradnl"/>
        </w:rPr>
        <w:t>í</w:t>
      </w:r>
      <w:r w:rsidRPr="00A34388">
        <w:rPr>
          <w:lang w:val="es-ES_tradnl"/>
        </w:rPr>
        <w:t>o de Janerio (REDETEC), el Foro Nacional de Administradores de Innovación y Tecnología (FORTEC), la XIII edición de la Reunión Anual de la Asociación Nacional de Investigación y Desarrollo de las Empresas Industriales (ANPEI), la As</w:t>
      </w:r>
      <w:r w:rsidR="00820EBB" w:rsidRPr="00A34388">
        <w:rPr>
          <w:lang w:val="es-ES_tradnl"/>
        </w:rPr>
        <w:t xml:space="preserve">ociación Brasileña para la Propiedad Intelectual </w:t>
      </w:r>
      <w:r w:rsidRPr="00A34388">
        <w:rPr>
          <w:lang w:val="es-ES_tradnl"/>
        </w:rPr>
        <w:t xml:space="preserve">(ABPI), la Confederación Nacional de Industrias (CNI), </w:t>
      </w:r>
      <w:r w:rsidR="00820EBB" w:rsidRPr="00A34388">
        <w:rPr>
          <w:lang w:val="es-ES_tradnl"/>
        </w:rPr>
        <w:t xml:space="preserve">el Organismo Federal Brasileño de Fomento de la Innovación </w:t>
      </w:r>
      <w:r w:rsidRPr="00A34388">
        <w:rPr>
          <w:lang w:val="es-ES_tradnl"/>
        </w:rPr>
        <w:t>(FINEP), la Agencia para la Promoción de las Exportaciones y las Inversiones (APEX), el Banco Brasileño de Desarrollo Económico y Social</w:t>
      </w:r>
      <w:r w:rsidR="00820EBB" w:rsidRPr="00A34388">
        <w:rPr>
          <w:lang w:val="es-ES_tradnl"/>
        </w:rPr>
        <w:t>,</w:t>
      </w:r>
      <w:r w:rsidRPr="00A34388">
        <w:rPr>
          <w:lang w:val="es-ES_tradnl"/>
        </w:rPr>
        <w:t xml:space="preserve"> y el Sistema de Cooperación Regional en Propiedad Industrial (PROSUR).</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20.8.</w:t>
      </w:r>
      <w:r w:rsidRPr="00A34388">
        <w:rPr>
          <w:lang w:val="es-ES_tradnl"/>
        </w:rPr>
        <w:tab/>
        <w:t xml:space="preserve">En el marco de un memorando de entendimiento firmado en 2012 entre la OMPI y el Instituto Nacional de Propiedad Industrial del Brasil (INPI-Brasil), en 2013 se puso en marcha un proyecto piloto en </w:t>
      </w:r>
      <w:r w:rsidR="00820EBB" w:rsidRPr="00A34388">
        <w:rPr>
          <w:lang w:val="es-ES_tradnl"/>
        </w:rPr>
        <w:t xml:space="preserve">cuyo marco </w:t>
      </w:r>
      <w:r w:rsidRPr="00A34388">
        <w:rPr>
          <w:lang w:val="es-ES_tradnl"/>
        </w:rPr>
        <w:t xml:space="preserve">INPI-BR y el Centro de Arbitraje y Mediación de la OMPI </w:t>
      </w:r>
      <w:r w:rsidR="00820EBB" w:rsidRPr="00A34388">
        <w:rPr>
          <w:lang w:val="es-ES_tradnl"/>
        </w:rPr>
        <w:t xml:space="preserve">establecieron </w:t>
      </w:r>
      <w:r w:rsidRPr="00A34388">
        <w:rPr>
          <w:lang w:val="es-ES_tradnl"/>
        </w:rPr>
        <w:t xml:space="preserve">un procedimiento conjunto de solución de controversias destinado a facilitar la mediación en las controversias sobre la P.I. relativas a derechos de marca (véase también el programa 7).  Un grupo de trabajo de expertos celebró nuevos debates con vistas a contribuir a extender estos servicios a los contratos de patentes y transferencia de tecnología.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20.9.</w:t>
      </w:r>
      <w:r w:rsidRPr="00A34388">
        <w:rPr>
          <w:lang w:val="es-ES_tradnl"/>
        </w:rPr>
        <w:tab/>
        <w:t xml:space="preserve">La OOB se implicó en la promoción de WIPO GREEN entre las instituciones brasileñas.  En su calidad de miembros de WIPO GREEN desde 2012, INPI-Brasil y FORTEC participaron en la ceremonia de inauguración de la plataforma en Ginebra.  FORTEC trabaja actualmente en una serie de tecnologías que se van a cargar en la base de datos de WIPO GREEN.  Además, FIT-Brasil organizó y financió un taller sobre P.I. y tecnologías ecológicas en el que participaron varios países sudamericanos.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20.10.</w:t>
      </w:r>
      <w:r w:rsidRPr="00A34388">
        <w:rPr>
          <w:lang w:val="es-ES_tradnl"/>
        </w:rPr>
        <w:tab/>
        <w:t>La OOB, en coordinación con el programa 16, participó en el grupo de tareas para la organización de la Conferencia sobre el uso de las estadísticas de patentes para los responsables de la adopción de políticas (PSDBM 2013), que t</w:t>
      </w:r>
      <w:r w:rsidR="00380F05" w:rsidRPr="00A34388">
        <w:rPr>
          <w:lang w:val="es-ES_tradnl"/>
        </w:rPr>
        <w:t>uvo lugar en Rí</w:t>
      </w:r>
      <w:r w:rsidRPr="00A34388">
        <w:rPr>
          <w:lang w:val="es-ES_tradnl"/>
        </w:rPr>
        <w:t xml:space="preserve">o de Janeiro.  Durante el acto, que congregó a expertos procedentes de 17 países, un comité científico aprobó 28 documentos de trabajo.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20.11.</w:t>
      </w:r>
      <w:r w:rsidRPr="00A34388">
        <w:rPr>
          <w:lang w:val="es-ES_tradnl"/>
        </w:rPr>
        <w:tab/>
        <w:t xml:space="preserve">La OOB continúo gestionando los fondos fiduciarios para financiar los proyectos de cooperación Sur-Sur, firmados entre la OMPI y el Gobierno del Brasil en septiembre de 2012.  En este sentido, la OOB organizó e implementó las siguientes actividades:  i)  II Foro Inter-Regional entre Directores de Oficina de Propiedad Intelectual de Sudamérica y países árabes, en cooperación con el programa 9;  ii) un estudio sobre las alternativas para la institucionalización de PROSUR;  y iii)  el curso intermedio para la clasificación, búsqueda y examen en los ámbitos químico y farmacéutico.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20.12.</w:t>
      </w:r>
      <w:r w:rsidRPr="00A34388">
        <w:rPr>
          <w:lang w:val="es-ES_tradnl"/>
        </w:rPr>
        <w:tab/>
        <w:t xml:space="preserve">En cooperación con la OOB, INPI-Brasil presidió la Reunión sobre P.I. del Consejo del Programa Mundial de 2013, en la que nuevas cuestiones sobre la P.I. y la innovación fueron debatidas por expertos y profesionales de distintas regiones, representantes de los sectores público y privado y de la sociedad civil.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20.13.</w:t>
      </w:r>
      <w:r w:rsidRPr="00A34388">
        <w:rPr>
          <w:lang w:val="es-ES_tradnl"/>
        </w:rPr>
        <w:tab/>
        <w:t xml:space="preserve">Asimismo, la OOB continuó realizando aportaciones al servicio accesible las 24 horas del día de la OMPI. </w:t>
      </w:r>
    </w:p>
    <w:p w:rsidR="009124B0" w:rsidRPr="00A34388" w:rsidRDefault="009124B0" w:rsidP="009124B0">
      <w:pPr>
        <w:autoSpaceDE w:val="0"/>
        <w:autoSpaceDN w:val="0"/>
        <w:adjustRightInd w:val="0"/>
        <w:jc w:val="both"/>
        <w:rPr>
          <w:rFonts w:eastAsia="SimSun" w:cs="Arial"/>
          <w:iCs/>
          <w:szCs w:val="20"/>
          <w:lang w:val="es-ES_tradnl"/>
        </w:rPr>
      </w:pPr>
    </w:p>
    <w:p w:rsidR="009124B0" w:rsidRPr="00332758" w:rsidRDefault="009124B0" w:rsidP="009124B0">
      <w:pPr>
        <w:autoSpaceDE w:val="0"/>
        <w:autoSpaceDN w:val="0"/>
        <w:adjustRightInd w:val="0"/>
        <w:jc w:val="both"/>
        <w:rPr>
          <w:rFonts w:cs="Arial"/>
          <w:bCs/>
          <w:szCs w:val="20"/>
          <w:u w:val="single"/>
          <w:lang w:val="es-ES_tradnl"/>
        </w:rPr>
      </w:pPr>
      <w:r w:rsidRPr="00332758">
        <w:rPr>
          <w:u w:val="single"/>
          <w:lang w:val="es-ES_tradnl"/>
        </w:rPr>
        <w:t xml:space="preserve">Oficina de la OMPI en el Japón (OOJ) </w:t>
      </w:r>
    </w:p>
    <w:p w:rsidR="009124B0" w:rsidRPr="00A34388" w:rsidRDefault="009124B0" w:rsidP="009124B0">
      <w:pPr>
        <w:autoSpaceDE w:val="0"/>
        <w:autoSpaceDN w:val="0"/>
        <w:adjustRightInd w:val="0"/>
        <w:jc w:val="both"/>
        <w:rPr>
          <w:rFonts w:cs="Arial"/>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20.14.</w:t>
      </w:r>
      <w:r w:rsidRPr="00A34388">
        <w:rPr>
          <w:lang w:val="es-ES_tradnl"/>
        </w:rPr>
        <w:tab/>
        <w:t xml:space="preserve">En 2013, la Oficina de la OMPI en el Japón (OOJ) continuó ofreciendo servicios puntualmente y de forma eficiente a los usuarios en </w:t>
      </w:r>
      <w:r w:rsidR="00584235" w:rsidRPr="00A34388">
        <w:rPr>
          <w:lang w:val="es-ES_tradnl"/>
        </w:rPr>
        <w:t xml:space="preserve">el </w:t>
      </w:r>
      <w:r w:rsidRPr="00A34388">
        <w:rPr>
          <w:lang w:val="es-ES_tradnl"/>
        </w:rPr>
        <w:t>Japón de los sistemas de protección mundiales de P.I. de la OMPI, como el PCT, el sistema de Madrid y el Centro de Arbitraje y Mediación de la OMPI</w:t>
      </w:r>
      <w:r w:rsidR="00537926" w:rsidRPr="00A34388">
        <w:rPr>
          <w:lang w:val="es-ES_tradnl"/>
        </w:rPr>
        <w:t xml:space="preserve">. </w:t>
      </w:r>
      <w:r w:rsidRPr="00A34388">
        <w:rPr>
          <w:lang w:val="es-ES_tradnl"/>
        </w:rPr>
        <w:t xml:space="preserve"> Gracias a su nueva ubicación, próxima a diversos sectores interesados, entre ellos, el Gobierno anfitrión, la industria, los bufetes de abogados y las instituciones académicas, la OOJ intensificó sus actividades de promoción y </w:t>
      </w:r>
      <w:r w:rsidR="0070179C" w:rsidRPr="00A34388">
        <w:rPr>
          <w:lang w:val="es-ES_tradnl"/>
        </w:rPr>
        <w:t xml:space="preserve">llevó a cabo </w:t>
      </w:r>
      <w:r w:rsidRPr="00A34388">
        <w:rPr>
          <w:lang w:val="es-ES_tradnl"/>
        </w:rPr>
        <w:t xml:space="preserve">una serie de ponencias y seminarios por todo el Japón, a las que asistieron más de 6.500 personas.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20.15.</w:t>
      </w:r>
      <w:r w:rsidRPr="00A34388">
        <w:rPr>
          <w:lang w:val="es-ES_tradnl"/>
        </w:rPr>
        <w:tab/>
      </w:r>
      <w:r w:rsidRPr="00332758">
        <w:rPr>
          <w:lang w:val="es-ES_tradnl"/>
        </w:rPr>
        <w:t>La OOJ participó también en las actividades de fortalecimiento de capacidades en la región realizadas en colaboración con el Gobierno anfitrión y financiadas con el fondo fiduciario del Japón.  La nueva base de datos IP Advantage, un escaparate para las experiencias exitosas de aplicación de los derechos de propiedad intelectual, amplió su cobertura en términos de número de casos, que actualmente superan los 180, y de países</w:t>
      </w:r>
      <w:r w:rsidR="00537926" w:rsidRPr="00332758">
        <w:rPr>
          <w:lang w:val="es-ES_tradnl"/>
        </w:rPr>
        <w:t xml:space="preserve">. </w:t>
      </w:r>
      <w:r w:rsidRPr="00332758">
        <w:rPr>
          <w:lang w:val="es-ES_tradnl"/>
        </w:rPr>
        <w:t xml:space="preserve"> </w:t>
      </w:r>
      <w:r w:rsidRPr="00A34388">
        <w:rPr>
          <w:lang w:val="es-ES_tradnl"/>
        </w:rPr>
        <w:t>La traducción a otros idiomas de un manga sobre la falsificación y la piratería inicialmente publicado en inglés y japonés está próxima a su conclusión</w:t>
      </w:r>
      <w:r w:rsidR="00537926" w:rsidRPr="00A34388">
        <w:rPr>
          <w:lang w:val="es-ES_tradnl"/>
        </w:rPr>
        <w:t xml:space="preserve">. </w:t>
      </w:r>
      <w:r w:rsidRPr="00A34388">
        <w:rPr>
          <w:lang w:val="es-ES_tradnl"/>
        </w:rPr>
        <w:t xml:space="preserve"> </w:t>
      </w:r>
      <w:r w:rsidRPr="00332758">
        <w:rPr>
          <w:lang w:val="es-ES_tradnl"/>
        </w:rPr>
        <w:t>Se organizaron talleres y cursos de formación para mejorar la capacidad de los países en desarrollo en distintos ámbitos relacionados con la propiedad intelectual.</w:t>
      </w:r>
      <w:r w:rsidRPr="00A34388">
        <w:rPr>
          <w:lang w:val="es-ES_tradnl"/>
        </w:rPr>
        <w:t xml:space="preserve">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20.16.</w:t>
      </w:r>
      <w:r w:rsidRPr="00A34388">
        <w:rPr>
          <w:lang w:val="es-ES_tradnl"/>
        </w:rPr>
        <w:tab/>
      </w:r>
      <w:r w:rsidRPr="00332758">
        <w:rPr>
          <w:lang w:val="es-ES_tradnl"/>
        </w:rPr>
        <w:t>Para aumentar la sensibilización y la visibilidad de la OMPI, la OOJ llevó a cabo una serie de debates y presentaciones sobre las actividades que realiza la Organización.</w:t>
      </w:r>
      <w:r w:rsidRPr="00A34388">
        <w:rPr>
          <w:lang w:val="es-ES_tradnl"/>
        </w:rPr>
        <w:t xml:space="preserve">  Entre ellas se destacó la importancia de las plataformas WIPO GREEN y WIPO Re:Search y de la labor desarrollada por la OMPI en materia de propiedad industrial, derechos de autor, arbitraje y mediación, incluido el Simposio sobre resolución extrajudicial de controversias.  La OMPI mejoró el contenido de su sitio Web, disponible en japonés e inglés, para facilitar datos actualizados sobre la OMPI y la OOJ</w:t>
      </w:r>
      <w:r w:rsidR="00537926" w:rsidRPr="00A34388">
        <w:rPr>
          <w:lang w:val="es-ES_tradnl"/>
        </w:rPr>
        <w:t xml:space="preserve">. </w:t>
      </w:r>
      <w:r w:rsidRPr="00A34388">
        <w:rPr>
          <w:lang w:val="es-ES_tradnl"/>
        </w:rPr>
        <w:t xml:space="preserve"> En un esfuerzo por proporcionar más información a los sectores interesados presentes en el país, la Guía del usuario de PATENTSCOPE fue traducida al japonés para potenciar la utilización de esta base de datos.  </w:t>
      </w:r>
      <w:r w:rsidRPr="00332758">
        <w:rPr>
          <w:lang w:val="es-ES_tradnl"/>
        </w:rPr>
        <w:t>Esta oficina participó además en la nueva iniciativa de servicio al cliente las 24 horas del día lanzada en 2012.</w:t>
      </w:r>
      <w:r w:rsidRPr="00A34388">
        <w:rPr>
          <w:lang w:val="es-ES_tradnl"/>
        </w:rPr>
        <w:t xml:space="preserve">  Por último, la OO</w:t>
      </w:r>
      <w:r w:rsidR="009B1238">
        <w:rPr>
          <w:lang w:val="es-ES_tradnl"/>
        </w:rPr>
        <w:t>J</w:t>
      </w:r>
      <w:r w:rsidRPr="00A34388">
        <w:rPr>
          <w:lang w:val="es-ES_tradnl"/>
        </w:rPr>
        <w:t xml:space="preserve"> participó en actividades con otras organizaciones de las NN.UU. en el Japón y en otras importantes conferencias/reuniones internacionales, como la Conferencia Internacional de Tokio sobre el Desarrollo de África. </w:t>
      </w:r>
    </w:p>
    <w:p w:rsidR="009124B0" w:rsidRPr="00A34388" w:rsidRDefault="009124B0" w:rsidP="009124B0">
      <w:pPr>
        <w:tabs>
          <w:tab w:val="left" w:pos="709"/>
        </w:tabs>
        <w:autoSpaceDE w:val="0"/>
        <w:autoSpaceDN w:val="0"/>
        <w:adjustRightInd w:val="0"/>
        <w:jc w:val="both"/>
        <w:rPr>
          <w:rFonts w:eastAsia="SimSun" w:cs="Arial"/>
          <w:iCs/>
          <w:szCs w:val="20"/>
          <w:lang w:val="es-ES_tradnl"/>
        </w:rPr>
      </w:pPr>
    </w:p>
    <w:p w:rsidR="009124B0" w:rsidRPr="00332758" w:rsidRDefault="009124B0" w:rsidP="009124B0">
      <w:pPr>
        <w:autoSpaceDE w:val="0"/>
        <w:autoSpaceDN w:val="0"/>
        <w:adjustRightInd w:val="0"/>
        <w:jc w:val="both"/>
        <w:rPr>
          <w:rFonts w:eastAsia="SimSun" w:cs="Arial"/>
          <w:iCs/>
          <w:szCs w:val="20"/>
          <w:u w:val="single"/>
          <w:lang w:val="es-ES_tradnl"/>
        </w:rPr>
      </w:pPr>
      <w:r w:rsidRPr="00332758">
        <w:rPr>
          <w:u w:val="single"/>
          <w:lang w:val="es-ES_tradnl"/>
        </w:rPr>
        <w:t xml:space="preserve">Oficina de la OMPI en Singapur (OOS)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20.17.</w:t>
      </w:r>
      <w:r w:rsidRPr="00A34388">
        <w:rPr>
          <w:lang w:val="es-ES_tradnl"/>
        </w:rPr>
        <w:tab/>
        <w:t xml:space="preserve">La OOS reforzó su presencia como centro de servicios de la OMPI y foro regional sobre la P.I. para los Estados miembros, organizaciones internacionales, ONG y negocios de la región de Asia y el Pacífico, especialmente de la región de </w:t>
      </w:r>
      <w:r w:rsidR="009B1238">
        <w:rPr>
          <w:lang w:val="es-ES_tradnl"/>
        </w:rPr>
        <w:t xml:space="preserve">la </w:t>
      </w:r>
      <w:r w:rsidRPr="00A34388">
        <w:rPr>
          <w:lang w:val="es-ES_tradnl"/>
        </w:rPr>
        <w:t xml:space="preserve">ASEAN.  Entre los resultados tangibles se incluye un incremento del 6% en el número de solicitudes PCT entre 2011 y 2012 en la región de </w:t>
      </w:r>
      <w:r w:rsidR="009B1238">
        <w:rPr>
          <w:lang w:val="es-ES_tradnl"/>
        </w:rPr>
        <w:t xml:space="preserve">la </w:t>
      </w:r>
      <w:r w:rsidRPr="00A34388">
        <w:rPr>
          <w:lang w:val="es-ES_tradnl"/>
        </w:rPr>
        <w:t xml:space="preserve">ASEAN, así como un aumento del 20% de </w:t>
      </w:r>
      <w:r w:rsidR="0070179C" w:rsidRPr="00A34388">
        <w:rPr>
          <w:lang w:val="es-ES_tradnl"/>
        </w:rPr>
        <w:t xml:space="preserve">las </w:t>
      </w:r>
      <w:r w:rsidRPr="00A34388">
        <w:rPr>
          <w:lang w:val="es-ES_tradnl"/>
        </w:rPr>
        <w:t xml:space="preserve">solicitudes del sistema de Madrid entre 2011 y 2013.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20.18.</w:t>
      </w:r>
      <w:r w:rsidRPr="00A34388">
        <w:rPr>
          <w:lang w:val="es-ES_tradnl"/>
        </w:rPr>
        <w:tab/>
      </w:r>
      <w:r w:rsidR="00495D7C" w:rsidRPr="00A34388">
        <w:rPr>
          <w:lang w:val="es-ES_tradnl"/>
        </w:rPr>
        <w:t>La OOS desempeñó un papel importante en el fomento de WIPO GREEN, las bases de datos mundiales de la OMPI, los CATI, el Informe Mundial sobre la P.I., WIPO CASE y el lanzamiento del Índice Mundial de Innovación.  Con el fin de aumentar el conocimiento del sistema mundial de la P.I., la OOS organizó un seminario para periodistas, que fue objeto de cobertura mediática fomentando la P.I. entre empresas de Brunei Darussalam</w:t>
      </w:r>
      <w:r w:rsidR="00495D7C">
        <w:rPr>
          <w:lang w:val="es-ES_tradnl"/>
        </w:rPr>
        <w:t>,</w:t>
      </w:r>
      <w:r w:rsidR="00495D7C" w:rsidRPr="00A34388">
        <w:rPr>
          <w:lang w:val="es-ES_tradnl"/>
        </w:rPr>
        <w:t xml:space="preserve"> India, Indonesia</w:t>
      </w:r>
      <w:r w:rsidR="00495D7C">
        <w:rPr>
          <w:lang w:val="es-ES_tradnl"/>
        </w:rPr>
        <w:t xml:space="preserve">, </w:t>
      </w:r>
      <w:r w:rsidR="00495D7C" w:rsidRPr="00A34388">
        <w:rPr>
          <w:lang w:val="es-ES_tradnl"/>
        </w:rPr>
        <w:t>Malasia</w:t>
      </w:r>
      <w:r w:rsidR="00495D7C">
        <w:rPr>
          <w:lang w:val="es-ES_tradnl"/>
        </w:rPr>
        <w:t xml:space="preserve"> y </w:t>
      </w:r>
      <w:r w:rsidR="00495D7C" w:rsidRPr="00A34388">
        <w:rPr>
          <w:lang w:val="es-ES_tradnl"/>
        </w:rPr>
        <w:t xml:space="preserve">China, </w:t>
      </w:r>
      <w:r w:rsidR="00495D7C">
        <w:rPr>
          <w:lang w:val="es-ES_tradnl"/>
        </w:rPr>
        <w:t>incluida la R.A.E. de Hong Kong</w:t>
      </w:r>
      <w:r w:rsidRPr="00A34388">
        <w:rPr>
          <w:lang w:val="es-ES_tradnl"/>
        </w:rPr>
        <w:t>.</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20.19.</w:t>
      </w:r>
      <w:r w:rsidRPr="00A34388">
        <w:rPr>
          <w:lang w:val="es-ES_tradnl"/>
        </w:rPr>
        <w:tab/>
        <w:t xml:space="preserve">Se reforzó el compromiso con la ASEAN, y la OOS asumió un protagonismo cada vez mayor en las actividades de coordinación propuestas por el Grupo de Trabajo de la ASEAN sobre cooperación en materia de propiedad intelectual (AWGIPC) para la aplicación del plan de acción de la ASEAN para 2011/15 sobre derechos de propiedad intelectual.  Se organizaron talleres en la práctica totalidad de los Estados miembros de la ASEAN, dirigidos a avanzar en los esfuerzos para acceder a los sistemas de Madrid y La Haya, actividad calificada como prioritaria por el AWGIPC.  Además, la OOS estableció alianzas con los principales sectores interesados con el fin de acelerar la consecución de los resultados clave.  Entre ellas se incluye la colaboración entre la OOS y el equipo del Acuerdo de Libre Comercio ASEAN-Australia y Nueva Zelandia (AANZFTA), que dio lugar a un taller regional OMPI-ASEAN-AANZFTA para los examinadores de marcas registradas de </w:t>
      </w:r>
      <w:r w:rsidR="009B1238">
        <w:rPr>
          <w:lang w:val="es-ES_tradnl"/>
        </w:rPr>
        <w:t xml:space="preserve">la </w:t>
      </w:r>
      <w:r w:rsidRPr="00A34388">
        <w:rPr>
          <w:lang w:val="es-ES_tradnl"/>
        </w:rPr>
        <w:t xml:space="preserve">ASEAN sobre el funcionamiento del protocolo de Madrid en la OOS.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20.20.</w:t>
      </w:r>
      <w:r w:rsidRPr="00A34388">
        <w:rPr>
          <w:lang w:val="es-ES_tradnl"/>
        </w:rPr>
        <w:tab/>
        <w:t>La OOS continuó gestionando y ejecutando el memorando de entendimiento firmado por la OMPI y el Gobierno de Singapur, centrado en mejorar las capacidades y el nivel de conocimientos de los funcionarios de P.I. y sectores interesados de la región de Asia y el Pacífico.  Se organizaron un total de seis talleres que abarcaron diversas iniciativas mundiales de la OMPI.  Además, la OOS inauguró un foro con algunos Estados miembros (Australia, Francia, el Japón, Nueva Zelandia, la República de Corea, los Estados Unidos de América y el Reino Unido) y organizaciones (ASEAN, la Unión Europea y OAMI-ECAP III) en el que se ofrece asistencia técnica en materia de P.I. en la región de</w:t>
      </w:r>
      <w:r w:rsidR="009B1238">
        <w:rPr>
          <w:lang w:val="es-ES_tradnl"/>
        </w:rPr>
        <w:t xml:space="preserve"> la</w:t>
      </w:r>
      <w:r w:rsidRPr="00A34388">
        <w:rPr>
          <w:lang w:val="es-ES_tradnl"/>
        </w:rPr>
        <w:t xml:space="preserve"> ASEAN.  El resultado fue un enfoque más coordinado y colaborativo en la prestación de asistencia.  En el marco de esta colaboración, la OOS y la OAMI-ECAP acordaron organizar de forma conjunta un evento en Singapur sobre dibujos y modelos industriales y el Sistema de La Haya.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20.21.</w:t>
      </w:r>
      <w:r w:rsidRPr="00A34388">
        <w:rPr>
          <w:lang w:val="es-ES_tradnl"/>
        </w:rPr>
        <w:tab/>
        <w:t xml:space="preserve">La OOS prestó asistencia técnica a 16 Estados miembros para la adopción de sistemas de administración de P.I. </w:t>
      </w:r>
      <w:r w:rsidR="009B1238">
        <w:rPr>
          <w:lang w:val="es-ES_tradnl"/>
        </w:rPr>
        <w:t>eficaces</w:t>
      </w:r>
      <w:r w:rsidRPr="00A34388">
        <w:rPr>
          <w:lang w:val="es-ES_tradnl"/>
        </w:rPr>
        <w:t xml:space="preserve">, así como ayuda sobre los sistemas de Madrid y La Haya, derechos de autor, organismos de gestión colectiva (TAG) (que contribuyeron al establecimiento de un TAG nacional en RDP Lao), educación, sensibilización y fortalecimiento de las capacidades.  Además, la OOS participó en la organización de los cursos de verano de la Academia de la OMPI en Asia y el programa de Máster en Derecho de Propiedad Intelectual OMPI-QUT.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20.22.</w:t>
      </w:r>
      <w:r w:rsidRPr="00A34388">
        <w:rPr>
          <w:lang w:val="es-ES_tradnl"/>
        </w:rPr>
        <w:tab/>
        <w:t xml:space="preserve">Con objeto de potenciar la visibilidad y coherencia de la comunicación promoviendo los servicios mundiales de la OMPI entre los Estados miembros y las empresas de la región, la OOS lanzó un programa de mejora de la comunicación.  Esto dio lugar a la creación de nuevo contenido en Internet, </w:t>
      </w:r>
      <w:r w:rsidRPr="00A34388">
        <w:rPr>
          <w:lang w:val="es-ES_tradnl"/>
        </w:rPr>
        <w:lastRenderedPageBreak/>
        <w:t xml:space="preserve">nuevos materiales de mercadotecnia, así como a mejoras en la señalización de los edificios y en las comunicaciones formales periódicas con los principales sectores interesados de la región.  Asimismo, la OOB continuó desempeñando un papel fundamental en el servicio accesible las 24 horas del día de la OMPI.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rPr>
          <w:rFonts w:cs="Arial"/>
          <w:bCs/>
          <w:color w:val="000000"/>
          <w:szCs w:val="20"/>
          <w:lang w:val="es-ES_tradnl"/>
        </w:rPr>
      </w:pPr>
      <w:r w:rsidRPr="00332758">
        <w:rPr>
          <w:lang w:val="es-ES_tradnl"/>
        </w:rPr>
        <w:t>APLICACIÓN DE LA AGENDA PARA EL DESARROLLO</w:t>
      </w:r>
    </w:p>
    <w:p w:rsidR="009124B0" w:rsidRPr="00A34388" w:rsidRDefault="009124B0" w:rsidP="009124B0">
      <w:pPr>
        <w:rPr>
          <w:rFonts w:cs="Arial"/>
          <w:bCs/>
          <w:color w:val="000000"/>
          <w:szCs w:val="20"/>
          <w:lang w:val="es-ES_tradnl"/>
        </w:rPr>
      </w:pPr>
    </w:p>
    <w:p w:rsidR="009124B0" w:rsidRPr="0033275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20.23.</w:t>
      </w:r>
      <w:r w:rsidRPr="00A34388">
        <w:rPr>
          <w:lang w:val="es-ES_tradnl"/>
        </w:rPr>
        <w:tab/>
      </w:r>
      <w:r w:rsidRPr="00332758">
        <w:rPr>
          <w:lang w:val="es-ES_tradnl"/>
        </w:rPr>
        <w:t xml:space="preserve">El diseño de actividades en el marco del programa 20 se basó en las recomendaciones 2, 9, 14, 22, 24, 30, 40 y 42 de la Agenda para el Desarrollo.  </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20.24.</w:t>
      </w:r>
      <w:r w:rsidRPr="00A34388">
        <w:rPr>
          <w:lang w:val="es-ES_tradnl"/>
        </w:rPr>
        <w:tab/>
        <w:t>En este sentido, el programa 20 siguió siendo el punto de coordinación dentro de la OMPI responsable de movilizar recursos extrapresupuestarios  (recomendación 2) y colaboró con el programa 9 para la puesta en marcha de la base de datos de vinculación en el marco del Proyecto de la Agenda para el Desarrollo (recomendación 9).</w:t>
      </w:r>
    </w:p>
    <w:p w:rsidR="009124B0" w:rsidRPr="00A34388" w:rsidRDefault="009124B0" w:rsidP="009124B0">
      <w:pPr>
        <w:autoSpaceDE w:val="0"/>
        <w:autoSpaceDN w:val="0"/>
        <w:adjustRightInd w:val="0"/>
        <w:jc w:val="both"/>
        <w:rPr>
          <w:rFonts w:eastAsia="SimSun" w:cs="Arial"/>
          <w:iCs/>
          <w:szCs w:val="20"/>
          <w:lang w:val="es-ES_tradnl"/>
        </w:rPr>
      </w:pPr>
    </w:p>
    <w:p w:rsidR="009124B0" w:rsidRPr="0033275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20.25.</w:t>
      </w:r>
      <w:r w:rsidRPr="00A34388">
        <w:rPr>
          <w:lang w:val="es-ES_tradnl"/>
        </w:rPr>
        <w:tab/>
      </w:r>
      <w:r w:rsidRPr="00332758">
        <w:rPr>
          <w:lang w:val="es-ES_tradnl"/>
        </w:rPr>
        <w:t>Con respecto a la recomendación 14 sobre ofrecer asesoramiento a países en desarrollo y PMA para la aplicación y la puesta en marcha de los derechos y obligaciones y el conocimiento y uso de las flexibilidades contempladas en el Acuerdo sobre los ADPIC, el programa 20, en colaboración con los sectores fundamentales de la OMPI, aseguró que las actividades emprendidas por la OMC y la OMS reflejarán esta recomendación.</w:t>
      </w:r>
    </w:p>
    <w:p w:rsidR="009124B0" w:rsidRPr="0033275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332758">
        <w:rPr>
          <w:lang w:val="es-ES_tradnl"/>
        </w:rPr>
        <w:t>20.26.</w:t>
      </w:r>
      <w:r w:rsidRPr="00A34388">
        <w:rPr>
          <w:lang w:val="es-ES_tradnl"/>
        </w:rPr>
        <w:tab/>
      </w:r>
      <w:r w:rsidRPr="00332758">
        <w:rPr>
          <w:lang w:val="es-ES_tradnl"/>
        </w:rPr>
        <w:t>El programa 20 trabajó además con ciertos sectores de la OMPI para mejorar su colaboración con otras organizaciones intergubernamentales.  Durante el bienio, y de conformidad con la Agenda para el Desarrollo (recomendaciones 30 y 40), el programa insistió en reforzar el compromiso de la OMPI con la labor de las Naciones Unidas y en cumplir plenamente su papel como organismo especializado</w:t>
      </w:r>
      <w:r w:rsidR="00537926" w:rsidRPr="00332758">
        <w:rPr>
          <w:lang w:val="es-ES_tradnl"/>
        </w:rPr>
        <w:t xml:space="preserve">. </w:t>
      </w:r>
      <w:r w:rsidRPr="00332758">
        <w:rPr>
          <w:lang w:val="es-ES_tradnl"/>
        </w:rPr>
        <w:t xml:space="preserve"> </w:t>
      </w:r>
      <w:r w:rsidRPr="00A34388">
        <w:rPr>
          <w:lang w:val="es-ES_tradnl"/>
        </w:rPr>
        <w:t>A este respecto, el programa participó en varios procesos en relación con el Marco de Desarrollo después de 2015, la labor del Grupo de Trabajo de Composición Abierta sobre los Objetivos de Desarrollo Sostenible, la aplicación de los resultados de la Conferencia Río+20, especialmente de los relativos al establecimiento de un mecanismo de facilitación de las transferencias de tecnología (párra</w:t>
      </w:r>
      <w:r w:rsidR="00A45ECF" w:rsidRPr="00A34388">
        <w:rPr>
          <w:lang w:val="es-ES_tradnl"/>
        </w:rPr>
        <w:t>fo 273 del documento final de Rí</w:t>
      </w:r>
      <w:r w:rsidRPr="00A34388">
        <w:rPr>
          <w:lang w:val="es-ES_tradnl"/>
        </w:rPr>
        <w:t>o+20) y el Grupo de Tareas sobre el desfase en el logro de los ODM.  El programa también participó activamente en el período de sesiones sustantivo de 2013 del Consejo Económico y Social (ECOSOC) de las NN.UU., el 19º período de sesiones de la Conferencia de las Partes en la Convención Marco de las Naciones Unidas sobre el Cambio Climático (CMNUCC), celebrado en Varsovia, así como el Comité Ejecutivo de Tecnología de la CMNUCC, la Junta Asesora del Centro y Red de Tecnología del Clima, el Foro de la Cumbre Mundial sobre la Sociedad de la Información (Foro de la CMSI), la Reunión de Examen de Alto Nivel de la CMSI (CMSI+10) y el Foro de Gobernanza en Internet.</w:t>
      </w:r>
    </w:p>
    <w:p w:rsidR="009124B0" w:rsidRPr="00A34388" w:rsidRDefault="009124B0" w:rsidP="009124B0">
      <w:pPr>
        <w:autoSpaceDE w:val="0"/>
        <w:autoSpaceDN w:val="0"/>
        <w:adjustRightInd w:val="0"/>
        <w:jc w:val="both"/>
        <w:rPr>
          <w:rFonts w:eastAsia="SimSun" w:cs="Arial"/>
          <w:iCs/>
          <w:szCs w:val="20"/>
          <w:lang w:val="es-ES_tradnl"/>
        </w:rPr>
      </w:pPr>
    </w:p>
    <w:p w:rsidR="009124B0" w:rsidRPr="00A34388" w:rsidRDefault="009124B0" w:rsidP="009124B0">
      <w:pPr>
        <w:tabs>
          <w:tab w:val="left" w:pos="709"/>
        </w:tabs>
        <w:autoSpaceDE w:val="0"/>
        <w:autoSpaceDN w:val="0"/>
        <w:adjustRightInd w:val="0"/>
        <w:jc w:val="both"/>
        <w:rPr>
          <w:rFonts w:eastAsia="SimSun" w:cs="Arial"/>
          <w:iCs/>
          <w:szCs w:val="20"/>
          <w:lang w:val="es-ES_tradnl"/>
        </w:rPr>
      </w:pPr>
      <w:r w:rsidRPr="00A34388">
        <w:rPr>
          <w:lang w:val="es-ES_tradnl"/>
        </w:rPr>
        <w:t>20.27.</w:t>
      </w:r>
      <w:r w:rsidRPr="00A34388">
        <w:rPr>
          <w:lang w:val="es-ES_tradnl"/>
        </w:rPr>
        <w:tab/>
        <w:t>Con arreglo a la recomendación 42, el programa 20 también trabajó para fomentar la participación de la sociedad civil en las reuniones de la OMPI, así como para mantener su estrecha cooperación con el grupo de interesados no gubernamentales, bien mediante talleres y seminarios en los que participan o prestan sus conocimientos representantes de la sociedad civil, bien mediante la organización de actividades paralelas, sesiones informativas y otro tipo de foros que facilitan el intercambio de puntos de vista con participantes no gubernamentales.  Además, la celebración de dos reuniones anuales del Director General con ONG acreditadas en 2012 y 2013, continuó siendo una parte fundamental de ese proceso, mediante la cual se señaló la especial importancia que la OMPI atribuye a los intereses y preocupaciones de la comunidad de ONG.</w:t>
      </w:r>
    </w:p>
    <w:p w:rsidR="009124B0" w:rsidRPr="00A34388" w:rsidRDefault="009124B0" w:rsidP="009124B0">
      <w:pPr>
        <w:rPr>
          <w:rFonts w:eastAsia="SimSun" w:cs="Arial"/>
          <w:sz w:val="16"/>
          <w:szCs w:val="16"/>
          <w:lang w:val="es-ES_tradnl"/>
        </w:rPr>
      </w:pPr>
    </w:p>
    <w:p w:rsidR="009124B0" w:rsidRPr="00A34388" w:rsidRDefault="009124B0" w:rsidP="009124B0">
      <w:pPr>
        <w:rPr>
          <w:rFonts w:eastAsia="SimSun" w:cs="Arial"/>
          <w:sz w:val="16"/>
          <w:szCs w:val="16"/>
          <w:lang w:val="es-ES_tradnl"/>
        </w:rPr>
      </w:pPr>
    </w:p>
    <w:p w:rsidR="009124B0" w:rsidRPr="00A34388" w:rsidRDefault="009124B0" w:rsidP="009124B0">
      <w:pPr>
        <w:rPr>
          <w:rFonts w:eastAsia="SimSun" w:cs="Arial"/>
          <w:iCs/>
          <w:szCs w:val="20"/>
          <w:lang w:val="es-ES_tradnl"/>
        </w:rPr>
      </w:pPr>
      <w:r w:rsidRPr="00332758">
        <w:rPr>
          <w:lang w:val="es-ES_tradnl"/>
        </w:rPr>
        <w:t>DATOS SOBRE EL RENDIMIENTO</w:t>
      </w:r>
    </w:p>
    <w:p w:rsidR="009124B0" w:rsidRPr="00A34388" w:rsidRDefault="009124B0" w:rsidP="009124B0">
      <w:pPr>
        <w:rPr>
          <w:rFonts w:eastAsia="SimSun" w:cs="Arial"/>
          <w:b/>
          <w:szCs w:val="20"/>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2"/>
        <w:gridCol w:w="1868"/>
        <w:gridCol w:w="1686"/>
        <w:gridCol w:w="2573"/>
        <w:gridCol w:w="1278"/>
      </w:tblGrid>
      <w:tr w:rsidR="009124B0" w:rsidRPr="00A9508D"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452" w:hanging="1452"/>
              <w:rPr>
                <w:rFonts w:eastAsia="SimSun"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La OMPI participa y colabora eficazmente en los procesos y negociaciones de las NN.UU. y otras OIG.</w:t>
            </w:r>
          </w:p>
        </w:tc>
      </w:tr>
      <w:tr w:rsidR="009124B0" w:rsidRPr="00A34388" w:rsidTr="00730F86">
        <w:tc>
          <w:tcPr>
            <w:tcW w:w="1043" w:type="pct"/>
            <w:tcBorders>
              <w:top w:val="single" w:sz="4" w:space="0" w:color="auto"/>
            </w:tcBorders>
            <w:shd w:val="clear" w:color="auto" w:fill="auto"/>
            <w:vAlign w:val="center"/>
          </w:tcPr>
          <w:p w:rsidR="009124B0" w:rsidRPr="00A34388" w:rsidRDefault="009124B0" w:rsidP="00730F86">
            <w:pPr>
              <w:rPr>
                <w:rFonts w:eastAsia="SimSun" w:cs="Arial"/>
                <w:color w:val="808080"/>
                <w:sz w:val="16"/>
                <w:szCs w:val="16"/>
                <w:lang w:val="es-ES_tradnl"/>
              </w:rPr>
            </w:pPr>
            <w:r w:rsidRPr="00332758">
              <w:rPr>
                <w:b/>
                <w:sz w:val="16"/>
                <w:lang w:val="es-ES_tradnl"/>
              </w:rPr>
              <w:t>Indicadores de rendimiento</w:t>
            </w:r>
          </w:p>
        </w:tc>
        <w:tc>
          <w:tcPr>
            <w:tcW w:w="998" w:type="pct"/>
            <w:tcBorders>
              <w:top w:val="single" w:sz="4" w:space="0" w:color="auto"/>
            </w:tcBorders>
            <w:shd w:val="clear" w:color="auto" w:fill="auto"/>
            <w:vAlign w:val="center"/>
          </w:tcPr>
          <w:p w:rsidR="009124B0" w:rsidRPr="00A34388" w:rsidRDefault="009124B0" w:rsidP="00730F86">
            <w:pPr>
              <w:rPr>
                <w:rFonts w:eastAsia="SimSun" w:cs="Arial"/>
                <w:b/>
                <w:bCs/>
                <w:color w:val="808080"/>
                <w:sz w:val="16"/>
                <w:szCs w:val="16"/>
                <w:lang w:val="es-ES_tradnl"/>
              </w:rPr>
            </w:pPr>
            <w:r w:rsidRPr="00332758">
              <w:rPr>
                <w:b/>
                <w:sz w:val="16"/>
                <w:lang w:val="es-ES_tradnl"/>
              </w:rPr>
              <w:t>Referencia</w:t>
            </w:r>
          </w:p>
        </w:tc>
        <w:tc>
          <w:tcPr>
            <w:tcW w:w="901" w:type="pct"/>
            <w:tcBorders>
              <w:top w:val="single" w:sz="4" w:space="0" w:color="auto"/>
            </w:tcBorders>
            <w:shd w:val="clear" w:color="auto" w:fill="auto"/>
            <w:tcMar>
              <w:top w:w="110" w:type="dxa"/>
            </w:tcMar>
            <w:vAlign w:val="center"/>
          </w:tcPr>
          <w:p w:rsidR="009124B0" w:rsidRPr="00A34388" w:rsidRDefault="009124B0" w:rsidP="00730F86">
            <w:pPr>
              <w:rPr>
                <w:rFonts w:eastAsia="SimSun" w:cs="Arial"/>
                <w:b/>
                <w:color w:val="808080"/>
                <w:sz w:val="16"/>
                <w:szCs w:val="16"/>
                <w:lang w:val="es-ES_tradnl"/>
              </w:rPr>
            </w:pPr>
            <w:r w:rsidRPr="00332758">
              <w:rPr>
                <w:b/>
                <w:sz w:val="16"/>
                <w:lang w:val="es-ES_tradnl"/>
              </w:rPr>
              <w:t>Objetivos</w:t>
            </w:r>
          </w:p>
        </w:tc>
        <w:tc>
          <w:tcPr>
            <w:tcW w:w="1375" w:type="pct"/>
            <w:tcBorders>
              <w:top w:val="single" w:sz="4" w:space="0" w:color="auto"/>
            </w:tcBorders>
            <w:shd w:val="clear" w:color="auto" w:fill="FFFFFF"/>
            <w:tcMar>
              <w:top w:w="110" w:type="dxa"/>
            </w:tcMar>
            <w:vAlign w:val="center"/>
          </w:tcPr>
          <w:p w:rsidR="009124B0" w:rsidRPr="00A34388" w:rsidRDefault="009124B0" w:rsidP="00730F86">
            <w:pPr>
              <w:rPr>
                <w:rFonts w:eastAsia="SimSun" w:cs="Arial"/>
                <w:color w:val="808080"/>
                <w:sz w:val="16"/>
                <w:szCs w:val="16"/>
                <w:lang w:val="es-ES_tradnl"/>
              </w:rPr>
            </w:pPr>
            <w:r w:rsidRPr="00332758">
              <w:rPr>
                <w:b/>
                <w:sz w:val="16"/>
                <w:lang w:val="es-ES_tradnl"/>
              </w:rPr>
              <w:t>Datos sobre el rendimiento</w:t>
            </w:r>
          </w:p>
        </w:tc>
        <w:tc>
          <w:tcPr>
            <w:tcW w:w="683" w:type="pct"/>
            <w:tcBorders>
              <w:top w:val="single" w:sz="4" w:space="0" w:color="auto"/>
            </w:tcBorders>
            <w:shd w:val="clear" w:color="auto" w:fill="auto"/>
            <w:tcMar>
              <w:top w:w="110" w:type="dxa"/>
            </w:tcMar>
            <w:vAlign w:val="center"/>
          </w:tcPr>
          <w:p w:rsidR="009124B0" w:rsidRPr="00332758" w:rsidRDefault="009124B0" w:rsidP="00730F86">
            <w:pPr>
              <w:keepNext/>
              <w:keepLines/>
              <w:jc w:val="center"/>
              <w:rPr>
                <w:rFonts w:eastAsia="SimSun" w:cs="Arial"/>
                <w:b/>
                <w:bCs/>
                <w:sz w:val="16"/>
                <w:szCs w:val="16"/>
                <w:lang w:val="es-ES_tradnl"/>
              </w:rPr>
            </w:pPr>
            <w:r w:rsidRPr="00332758">
              <w:rPr>
                <w:b/>
                <w:sz w:val="16"/>
                <w:lang w:val="es-ES_tradnl"/>
              </w:rPr>
              <w:t>Clave de colores</w:t>
            </w:r>
          </w:p>
        </w:tc>
      </w:tr>
      <w:tr w:rsidR="009124B0" w:rsidRPr="00A34388" w:rsidTr="00730F86">
        <w:tc>
          <w:tcPr>
            <w:tcW w:w="1043"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Utilización de las aportaciones de la OMPI en informes, resoluciones y documentos de procesos de las partes interesadas.</w:t>
            </w:r>
          </w:p>
          <w:p w:rsidR="009124B0" w:rsidRPr="00A34388" w:rsidRDefault="009124B0" w:rsidP="00730F86">
            <w:pPr>
              <w:rPr>
                <w:rFonts w:eastAsia="SimSun" w:cs="Arial"/>
                <w:color w:val="000000"/>
                <w:sz w:val="16"/>
                <w:szCs w:val="16"/>
                <w:lang w:val="es-ES_tradnl"/>
              </w:rPr>
            </w:pPr>
          </w:p>
        </w:tc>
        <w:tc>
          <w:tcPr>
            <w:tcW w:w="998" w:type="pct"/>
            <w:shd w:val="clear" w:color="auto" w:fill="auto"/>
          </w:tcPr>
          <w:p w:rsidR="009124B0" w:rsidRPr="00A34388" w:rsidRDefault="009124B0" w:rsidP="00730F86">
            <w:pPr>
              <w:rPr>
                <w:rFonts w:eastAsiaTheme="minorHAnsi" w:cs="Arial"/>
                <w:i/>
                <w:color w:val="002060"/>
                <w:sz w:val="16"/>
                <w:szCs w:val="16"/>
                <w:lang w:val="es-ES_tradnl"/>
              </w:rPr>
            </w:pPr>
            <w:r w:rsidRPr="00A34388">
              <w:rPr>
                <w:i/>
                <w:color w:val="002060"/>
                <w:sz w:val="16"/>
                <w:lang w:val="es-ES_tradnl"/>
              </w:rPr>
              <w:t>Referencia actualizada a fines de 2011</w:t>
            </w:r>
            <w:r w:rsidR="00293A53"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20 de 24 aportaciones (2010/11)</w:t>
            </w:r>
          </w:p>
          <w:p w:rsidR="009124B0" w:rsidRPr="00A34388" w:rsidRDefault="009124B0" w:rsidP="00730F86">
            <w:pPr>
              <w:rPr>
                <w:rFonts w:cs="Arial"/>
                <w:i/>
                <w:color w:val="002060"/>
                <w:sz w:val="8"/>
                <w:szCs w:val="8"/>
                <w:lang w:val="es-ES_tradnl"/>
              </w:rPr>
            </w:pPr>
          </w:p>
          <w:p w:rsidR="009124B0" w:rsidRPr="00A34388" w:rsidRDefault="009124B0" w:rsidP="00730F86">
            <w:pPr>
              <w:rPr>
                <w:rFonts w:eastAsia="SimSun" w:cs="Arial"/>
                <w:color w:val="000000"/>
                <w:sz w:val="16"/>
                <w:szCs w:val="16"/>
                <w:lang w:val="es-ES_tradnl"/>
              </w:rPr>
            </w:pPr>
            <w:r w:rsidRPr="00A34388">
              <w:rPr>
                <w:i/>
                <w:sz w:val="16"/>
                <w:lang w:val="es-ES_tradnl"/>
              </w:rPr>
              <w:t>Referencia original Presup. por prog. 2012/12:</w:t>
            </w:r>
            <w:r w:rsidRPr="00A34388">
              <w:rPr>
                <w:sz w:val="16"/>
                <w:lang w:val="es-ES_tradnl"/>
              </w:rPr>
              <w:t xml:space="preserve">  </w:t>
            </w:r>
            <w:r w:rsidRPr="00A34388">
              <w:rPr>
                <w:color w:val="000000"/>
                <w:sz w:val="16"/>
                <w:lang w:val="es-ES_tradnl"/>
              </w:rPr>
              <w:t>No se dispone de datos.</w:t>
            </w: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100%</w:t>
            </w:r>
          </w:p>
          <w:p w:rsidR="009124B0" w:rsidRPr="00A34388" w:rsidRDefault="009124B0" w:rsidP="00730F86">
            <w:pPr>
              <w:rPr>
                <w:rFonts w:eastAsia="SimSun" w:cs="Arial"/>
                <w:sz w:val="16"/>
                <w:szCs w:val="16"/>
                <w:lang w:val="es-ES_tradnl"/>
              </w:rPr>
            </w:pPr>
          </w:p>
        </w:tc>
        <w:tc>
          <w:tcPr>
            <w:tcW w:w="1375" w:type="pct"/>
            <w:shd w:val="clear" w:color="auto" w:fill="FFFFFF"/>
            <w:tcMar>
              <w:top w:w="110" w:type="dxa"/>
            </w:tcMar>
          </w:tcPr>
          <w:p w:rsidR="009124B0" w:rsidRPr="00332758" w:rsidRDefault="009124B0" w:rsidP="00730F86">
            <w:pPr>
              <w:rPr>
                <w:rFonts w:eastAsia="SimSun" w:cs="Arial"/>
                <w:sz w:val="16"/>
                <w:szCs w:val="16"/>
                <w:lang w:val="es-ES_tradnl"/>
              </w:rPr>
            </w:pPr>
            <w:r w:rsidRPr="00332758">
              <w:rPr>
                <w:sz w:val="16"/>
                <w:lang w:val="es-ES_tradnl"/>
              </w:rPr>
              <w:t>38 aportaciones en 2012/13, todas las cuales se reflejaron satisfactoriamente.</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34388" w:rsidTr="00730F86">
        <w:tc>
          <w:tcPr>
            <w:tcW w:w="1043" w:type="pct"/>
            <w:shd w:val="clear" w:color="auto" w:fill="auto"/>
          </w:tcPr>
          <w:p w:rsidR="009124B0" w:rsidRPr="00A34388" w:rsidRDefault="009124B0" w:rsidP="00730F86">
            <w:pPr>
              <w:rPr>
                <w:rFonts w:eastAsia="SimSun" w:cs="Arial"/>
                <w:color w:val="808080"/>
                <w:sz w:val="16"/>
                <w:szCs w:val="16"/>
                <w:lang w:val="es-ES_tradnl"/>
              </w:rPr>
            </w:pPr>
            <w:r w:rsidRPr="00332758">
              <w:rPr>
                <w:sz w:val="16"/>
                <w:lang w:val="es-ES_tradnl"/>
              </w:rPr>
              <w:lastRenderedPageBreak/>
              <w:t>Comentarios recibidos sobre la aportación o participación de la OMPI en los procesos y foros de las Naciones Unidas y otras OIG.</w:t>
            </w:r>
          </w:p>
        </w:tc>
        <w:tc>
          <w:tcPr>
            <w:tcW w:w="998"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No se dispone de datos.</w:t>
            </w: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Comentarios positivos sobre la contribución/ participación de la OMPI</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No se dispone de datos.</w:t>
            </w:r>
          </w:p>
        </w:tc>
        <w:tc>
          <w:tcPr>
            <w:tcW w:w="683" w:type="pct"/>
            <w:shd w:val="clear" w:color="auto" w:fill="auto"/>
            <w:tcMar>
              <w:top w:w="110" w:type="dxa"/>
            </w:tcMar>
          </w:tcPr>
          <w:p w:rsidR="009124B0" w:rsidRPr="00332758" w:rsidRDefault="009124B0" w:rsidP="00730F86">
            <w:pPr>
              <w:keepNext/>
              <w:keepLines/>
              <w:jc w:val="center"/>
              <w:rPr>
                <w:rFonts w:eastAsia="SimSun" w:cs="Arial"/>
                <w:sz w:val="16"/>
                <w:szCs w:val="16"/>
                <w:lang w:val="es-ES_tradnl"/>
              </w:rPr>
            </w:pPr>
            <w:r w:rsidRPr="00A34388">
              <w:rPr>
                <w:sz w:val="16"/>
                <w:lang w:val="es-ES_tradnl"/>
              </w:rPr>
              <w:t>Interrumpido</w:t>
            </w:r>
          </w:p>
        </w:tc>
      </w:tr>
      <w:tr w:rsidR="009124B0" w:rsidRPr="00A34388" w:rsidTr="00730F86">
        <w:tc>
          <w:tcPr>
            <w:tcW w:w="1043"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Porcentaje de respuestas cursadas puntualmente atendiendo a peticiones externas de aportación por parte de organismos de las NN.UU., OIG, etc.</w:t>
            </w:r>
          </w:p>
        </w:tc>
        <w:tc>
          <w:tcPr>
            <w:tcW w:w="998"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80%</w:t>
            </w:r>
          </w:p>
          <w:p w:rsidR="009124B0" w:rsidRPr="00A34388" w:rsidRDefault="009124B0" w:rsidP="00730F86">
            <w:pPr>
              <w:rPr>
                <w:rFonts w:cs="Arial"/>
                <w:i/>
                <w:color w:val="002060"/>
                <w:sz w:val="8"/>
                <w:szCs w:val="8"/>
                <w:lang w:val="es-ES_tradnl"/>
              </w:rPr>
            </w:pPr>
          </w:p>
          <w:p w:rsidR="009124B0" w:rsidRPr="00A34388" w:rsidRDefault="009124B0" w:rsidP="00730F86">
            <w:pPr>
              <w:rPr>
                <w:rFonts w:eastAsia="SimSun" w:cs="Arial"/>
                <w:color w:val="000000"/>
                <w:sz w:val="16"/>
                <w:szCs w:val="16"/>
                <w:lang w:val="es-ES_tradnl"/>
              </w:rPr>
            </w:pPr>
            <w:r w:rsidRPr="00A34388">
              <w:rPr>
                <w:i/>
                <w:sz w:val="16"/>
                <w:lang w:val="es-ES_tradnl"/>
              </w:rPr>
              <w:t>Referencia original Presup. por prog. 2012/12:</w:t>
            </w:r>
            <w:r w:rsidRPr="00A34388">
              <w:rPr>
                <w:sz w:val="16"/>
                <w:lang w:val="es-ES_tradnl"/>
              </w:rPr>
              <w:t xml:space="preserve">  </w:t>
            </w:r>
            <w:r w:rsidRPr="00A34388">
              <w:rPr>
                <w:color w:val="000000"/>
                <w:sz w:val="16"/>
                <w:lang w:val="es-ES_tradnl"/>
              </w:rPr>
              <w:t>No se dispone de datos.</w:t>
            </w: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100%</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Se procesó el 90.5% en el plazo de 5 días hábiles.</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34388" w:rsidTr="00730F86">
        <w:tc>
          <w:tcPr>
            <w:tcW w:w="1043" w:type="pct"/>
            <w:tcBorders>
              <w:bottom w:val="single" w:sz="4" w:space="0" w:color="auto"/>
            </w:tcBorders>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Número de actividades o planes de trabajo comunes emprendidos y examinados con arreglo a acuerdos concertados con organizaciones asociadas (memorandos de entendimiento nuevos o vigentes suscritos con OIG).</w:t>
            </w:r>
          </w:p>
          <w:p w:rsidR="009124B0" w:rsidRPr="00A34388" w:rsidRDefault="009124B0" w:rsidP="00730F86">
            <w:pPr>
              <w:rPr>
                <w:rFonts w:eastAsia="SimSun" w:cs="Arial"/>
                <w:color w:val="000000"/>
                <w:sz w:val="16"/>
                <w:szCs w:val="16"/>
                <w:lang w:val="es-ES_tradnl"/>
              </w:rPr>
            </w:pPr>
          </w:p>
        </w:tc>
        <w:tc>
          <w:tcPr>
            <w:tcW w:w="998" w:type="pct"/>
            <w:tcBorders>
              <w:bottom w:val="single" w:sz="4" w:space="0" w:color="auto"/>
            </w:tcBorders>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293A53" w:rsidRPr="00A34388">
              <w:rPr>
                <w:i/>
                <w:color w:val="002060"/>
                <w:sz w:val="16"/>
                <w:lang w:val="es-ES_tradnl"/>
              </w:rPr>
              <w:t>:</w:t>
            </w:r>
            <w:r w:rsidRPr="00A34388">
              <w:rPr>
                <w:i/>
                <w:color w:val="002060"/>
                <w:sz w:val="16"/>
                <w:lang w:val="es-ES_tradnl"/>
              </w:rPr>
              <w:t xml:space="preserve">  </w:t>
            </w:r>
            <w:r w:rsidR="00FB1D1B" w:rsidRPr="00A34388">
              <w:rPr>
                <w:i/>
                <w:color w:val="002060"/>
                <w:sz w:val="16"/>
                <w:lang w:val="es-ES_tradnl"/>
              </w:rPr>
              <w:t xml:space="preserve">Comunicada </w:t>
            </w:r>
            <w:r w:rsidRPr="00A34388">
              <w:rPr>
                <w:color w:val="002060"/>
                <w:sz w:val="16"/>
                <w:lang w:val="es-ES_tradnl"/>
              </w:rPr>
              <w:t xml:space="preserve">en </w:t>
            </w:r>
            <w:r w:rsidR="00FB1D1B" w:rsidRPr="00A34388">
              <w:rPr>
                <w:color w:val="002060"/>
                <w:sz w:val="16"/>
                <w:lang w:val="es-ES_tradnl"/>
              </w:rPr>
              <w:t xml:space="preserve">los </w:t>
            </w:r>
            <w:r w:rsidRPr="00A34388">
              <w:rPr>
                <w:color w:val="002060"/>
                <w:sz w:val="16"/>
                <w:lang w:val="es-ES_tradnl"/>
              </w:rPr>
              <w:t>programas pertinentes de 2010/11.</w:t>
            </w:r>
          </w:p>
          <w:p w:rsidR="009124B0" w:rsidRPr="00A34388" w:rsidRDefault="009124B0" w:rsidP="00730F86">
            <w:pPr>
              <w:rPr>
                <w:rFonts w:cs="Arial"/>
                <w:i/>
                <w:sz w:val="8"/>
                <w:szCs w:val="8"/>
                <w:lang w:val="es-ES_tradnl"/>
              </w:rPr>
            </w:pPr>
          </w:p>
          <w:p w:rsidR="009124B0" w:rsidRPr="00A34388" w:rsidRDefault="009124B0" w:rsidP="00730F86">
            <w:pPr>
              <w:rPr>
                <w:rFonts w:eastAsia="SimSun" w:cs="Arial"/>
                <w:sz w:val="16"/>
                <w:szCs w:val="16"/>
                <w:lang w:val="es-ES_tradnl"/>
              </w:rPr>
            </w:pPr>
            <w:r w:rsidRPr="00A34388">
              <w:rPr>
                <w:i/>
                <w:sz w:val="16"/>
                <w:lang w:val="es-ES_tradnl"/>
              </w:rPr>
              <w:t>Referencia original Presup. por prog. 2012/12:</w:t>
            </w:r>
            <w:r w:rsidRPr="00A34388">
              <w:rPr>
                <w:sz w:val="16"/>
                <w:lang w:val="es-ES_tradnl"/>
              </w:rPr>
              <w:t xml:space="preserve">  No se dispone de datos.</w:t>
            </w:r>
          </w:p>
          <w:p w:rsidR="009124B0" w:rsidRPr="00A34388" w:rsidRDefault="009124B0" w:rsidP="00730F86">
            <w:pPr>
              <w:rPr>
                <w:rFonts w:eastAsia="SimSun" w:cs="Arial"/>
                <w:color w:val="000000"/>
                <w:sz w:val="16"/>
                <w:szCs w:val="16"/>
                <w:lang w:val="es-ES_tradnl"/>
              </w:rPr>
            </w:pPr>
          </w:p>
        </w:tc>
        <w:tc>
          <w:tcPr>
            <w:tcW w:w="901" w:type="pct"/>
            <w:tcBorders>
              <w:bottom w:val="single" w:sz="4" w:space="0" w:color="auto"/>
            </w:tcBorders>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Actividades:  8.</w:t>
            </w:r>
          </w:p>
          <w:p w:rsidR="009124B0" w:rsidRPr="00A34388" w:rsidRDefault="009124B0" w:rsidP="00730F86">
            <w:pPr>
              <w:rPr>
                <w:rFonts w:eastAsia="SimSun" w:cs="Arial"/>
                <w:sz w:val="16"/>
                <w:szCs w:val="16"/>
                <w:lang w:val="es-ES_tradnl"/>
              </w:rPr>
            </w:pPr>
            <w:r w:rsidRPr="00A34388">
              <w:rPr>
                <w:sz w:val="16"/>
                <w:lang w:val="es-ES_tradnl"/>
              </w:rPr>
              <w:t>Planes de trabajo:  4.</w:t>
            </w:r>
          </w:p>
        </w:tc>
        <w:tc>
          <w:tcPr>
            <w:tcW w:w="1375" w:type="pct"/>
            <w:tcBorders>
              <w:bottom w:val="single" w:sz="4" w:space="0" w:color="auto"/>
            </w:tcBorders>
            <w:shd w:val="clear" w:color="auto" w:fill="FFFFFF"/>
            <w:tcMar>
              <w:top w:w="110" w:type="dxa"/>
            </w:tcMar>
          </w:tcPr>
          <w:p w:rsidR="009124B0" w:rsidRPr="00A34388" w:rsidRDefault="009124B0" w:rsidP="00730F86">
            <w:pPr>
              <w:rPr>
                <w:rFonts w:eastAsia="SimSun" w:cs="Arial"/>
                <w:sz w:val="16"/>
                <w:szCs w:val="16"/>
                <w:lang w:val="es-ES_tradnl"/>
              </w:rPr>
            </w:pPr>
            <w:r w:rsidRPr="00A34388">
              <w:rPr>
                <w:sz w:val="16"/>
                <w:lang w:val="es-ES_tradnl"/>
              </w:rPr>
              <w:t>Actividades:  17.</w:t>
            </w:r>
          </w:p>
          <w:p w:rsidR="009124B0" w:rsidRPr="00A34388" w:rsidRDefault="009124B0" w:rsidP="00730F86">
            <w:pPr>
              <w:rPr>
                <w:rFonts w:eastAsia="SimSun" w:cs="Arial"/>
                <w:sz w:val="16"/>
                <w:szCs w:val="16"/>
                <w:lang w:val="es-ES_tradnl"/>
              </w:rPr>
            </w:pPr>
            <w:r w:rsidRPr="00A34388">
              <w:rPr>
                <w:sz w:val="16"/>
                <w:lang w:val="es-ES_tradnl"/>
              </w:rPr>
              <w:t>Planes de trabajo:  4.</w:t>
            </w:r>
          </w:p>
        </w:tc>
        <w:tc>
          <w:tcPr>
            <w:tcW w:w="683" w:type="pct"/>
            <w:tcBorders>
              <w:bottom w:val="single" w:sz="4" w:space="0" w:color="auto"/>
            </w:tcBorders>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9508D"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452" w:hanging="1452"/>
              <w:rPr>
                <w:rFonts w:eastAsia="SimSun" w:cs="Arial"/>
                <w:b/>
                <w:bCs/>
                <w:sz w:val="16"/>
                <w:szCs w:val="16"/>
                <w:lang w:val="es-ES_tradnl"/>
              </w:rPr>
            </w:pPr>
            <w:r w:rsidRPr="00332758">
              <w:rPr>
                <w:b/>
                <w:sz w:val="16"/>
                <w:lang w:val="es-ES_tradnl"/>
              </w:rPr>
              <w:t>Resultado previsto:</w:t>
            </w:r>
            <w:r w:rsidRPr="00332758">
              <w:rPr>
                <w:sz w:val="16"/>
                <w:lang w:val="es-ES_tradnl"/>
              </w:rPr>
              <w:t xml:space="preserve">  Intercambios abiertos, transparentes y dinámicos con las ONG.</w:t>
            </w:r>
          </w:p>
        </w:tc>
      </w:tr>
      <w:tr w:rsidR="009124B0" w:rsidRPr="00A34388" w:rsidTr="00730F86">
        <w:tc>
          <w:tcPr>
            <w:tcW w:w="1043" w:type="pct"/>
            <w:tcBorders>
              <w:top w:val="single" w:sz="4" w:space="0" w:color="auto"/>
            </w:tcBorders>
            <w:shd w:val="clear" w:color="auto" w:fill="auto"/>
            <w:vAlign w:val="center"/>
          </w:tcPr>
          <w:p w:rsidR="009124B0" w:rsidRPr="00A34388" w:rsidRDefault="009124B0" w:rsidP="00730F86">
            <w:pPr>
              <w:keepNext/>
              <w:keepLines/>
              <w:rPr>
                <w:rFonts w:eastAsia="SimSun" w:cs="Arial"/>
                <w:color w:val="808080"/>
                <w:sz w:val="16"/>
                <w:szCs w:val="16"/>
                <w:lang w:val="es-ES_tradnl"/>
              </w:rPr>
            </w:pPr>
            <w:r w:rsidRPr="00332758">
              <w:rPr>
                <w:b/>
                <w:sz w:val="16"/>
                <w:lang w:val="es-ES_tradnl"/>
              </w:rPr>
              <w:t>Indicadores de rendimiento</w:t>
            </w:r>
          </w:p>
        </w:tc>
        <w:tc>
          <w:tcPr>
            <w:tcW w:w="998" w:type="pct"/>
            <w:tcBorders>
              <w:top w:val="single" w:sz="4" w:space="0" w:color="auto"/>
            </w:tcBorders>
            <w:shd w:val="clear" w:color="auto" w:fill="auto"/>
            <w:vAlign w:val="center"/>
          </w:tcPr>
          <w:p w:rsidR="009124B0" w:rsidRPr="00A34388" w:rsidRDefault="009124B0" w:rsidP="00730F86">
            <w:pPr>
              <w:keepNext/>
              <w:keepLines/>
              <w:rPr>
                <w:rFonts w:eastAsia="SimSun" w:cs="Arial"/>
                <w:b/>
                <w:bCs/>
                <w:color w:val="808080"/>
                <w:sz w:val="16"/>
                <w:szCs w:val="16"/>
                <w:lang w:val="es-ES_tradnl"/>
              </w:rPr>
            </w:pPr>
            <w:r w:rsidRPr="00332758">
              <w:rPr>
                <w:b/>
                <w:sz w:val="16"/>
                <w:lang w:val="es-ES_tradnl"/>
              </w:rPr>
              <w:t>Referencia</w:t>
            </w:r>
          </w:p>
        </w:tc>
        <w:tc>
          <w:tcPr>
            <w:tcW w:w="901" w:type="pct"/>
            <w:tcBorders>
              <w:top w:val="single" w:sz="4" w:space="0" w:color="auto"/>
            </w:tcBorders>
            <w:shd w:val="clear" w:color="auto" w:fill="auto"/>
            <w:tcMar>
              <w:top w:w="110" w:type="dxa"/>
            </w:tcMar>
            <w:vAlign w:val="center"/>
          </w:tcPr>
          <w:p w:rsidR="009124B0" w:rsidRPr="00A34388" w:rsidRDefault="009124B0" w:rsidP="00730F86">
            <w:pPr>
              <w:keepNext/>
              <w:keepLines/>
              <w:rPr>
                <w:rFonts w:eastAsia="SimSun" w:cs="Arial"/>
                <w:b/>
                <w:color w:val="808080"/>
                <w:sz w:val="16"/>
                <w:szCs w:val="16"/>
                <w:lang w:val="es-ES_tradnl"/>
              </w:rPr>
            </w:pPr>
            <w:r w:rsidRPr="00332758">
              <w:rPr>
                <w:b/>
                <w:sz w:val="16"/>
                <w:lang w:val="es-ES_tradnl"/>
              </w:rPr>
              <w:t>Objetivos</w:t>
            </w:r>
          </w:p>
        </w:tc>
        <w:tc>
          <w:tcPr>
            <w:tcW w:w="1375" w:type="pct"/>
            <w:tcBorders>
              <w:top w:val="single" w:sz="4" w:space="0" w:color="auto"/>
            </w:tcBorders>
            <w:shd w:val="clear" w:color="auto" w:fill="FFFFFF"/>
            <w:tcMar>
              <w:top w:w="110" w:type="dxa"/>
            </w:tcMar>
            <w:vAlign w:val="center"/>
          </w:tcPr>
          <w:p w:rsidR="009124B0" w:rsidRPr="00A34388" w:rsidRDefault="009124B0" w:rsidP="00730F86">
            <w:pPr>
              <w:rPr>
                <w:rFonts w:eastAsia="SimSun" w:cs="Arial"/>
                <w:color w:val="808080"/>
                <w:sz w:val="16"/>
                <w:szCs w:val="16"/>
                <w:lang w:val="es-ES_tradnl"/>
              </w:rPr>
            </w:pPr>
            <w:r w:rsidRPr="00332758">
              <w:rPr>
                <w:b/>
                <w:sz w:val="16"/>
                <w:lang w:val="es-ES_tradnl"/>
              </w:rPr>
              <w:t>Datos sobre el rendimiento</w:t>
            </w:r>
          </w:p>
        </w:tc>
        <w:tc>
          <w:tcPr>
            <w:tcW w:w="683" w:type="pct"/>
            <w:tcBorders>
              <w:top w:val="single" w:sz="4" w:space="0" w:color="auto"/>
            </w:tcBorders>
            <w:shd w:val="clear" w:color="auto" w:fill="auto"/>
            <w:tcMar>
              <w:top w:w="110" w:type="dxa"/>
            </w:tcMar>
            <w:vAlign w:val="center"/>
          </w:tcPr>
          <w:p w:rsidR="009124B0" w:rsidRPr="00332758" w:rsidRDefault="009124B0" w:rsidP="00730F86">
            <w:pPr>
              <w:keepNext/>
              <w:keepLines/>
              <w:jc w:val="center"/>
              <w:rPr>
                <w:rFonts w:eastAsia="SimSun" w:cs="Arial"/>
                <w:b/>
                <w:bCs/>
                <w:sz w:val="16"/>
                <w:szCs w:val="16"/>
                <w:lang w:val="es-ES_tradnl"/>
              </w:rPr>
            </w:pPr>
            <w:r w:rsidRPr="00332758">
              <w:rPr>
                <w:b/>
                <w:sz w:val="16"/>
                <w:lang w:val="es-ES_tradnl"/>
              </w:rPr>
              <w:t>Clave de colores</w:t>
            </w:r>
          </w:p>
        </w:tc>
      </w:tr>
      <w:tr w:rsidR="009124B0" w:rsidRPr="00A34388" w:rsidTr="00730F86">
        <w:tc>
          <w:tcPr>
            <w:tcW w:w="1043" w:type="pct"/>
            <w:shd w:val="clear" w:color="auto" w:fill="auto"/>
          </w:tcPr>
          <w:p w:rsidR="009124B0" w:rsidRPr="00A34388" w:rsidRDefault="009124B0" w:rsidP="00730F86">
            <w:pPr>
              <w:keepNext/>
              <w:keepLines/>
              <w:rPr>
                <w:rFonts w:eastAsia="SimSun" w:cs="Arial"/>
                <w:sz w:val="16"/>
                <w:szCs w:val="16"/>
                <w:lang w:val="es-ES_tradnl"/>
              </w:rPr>
            </w:pPr>
            <w:r w:rsidRPr="00332758">
              <w:rPr>
                <w:sz w:val="16"/>
                <w:lang w:val="es-ES_tradnl"/>
              </w:rPr>
              <w:t>Número de reuniones informativas, reuniones y actividades organizadas para ONG.</w:t>
            </w:r>
          </w:p>
        </w:tc>
        <w:tc>
          <w:tcPr>
            <w:tcW w:w="998" w:type="pct"/>
            <w:shd w:val="clear" w:color="auto" w:fill="auto"/>
          </w:tcPr>
          <w:p w:rsidR="009124B0" w:rsidRPr="00A34388" w:rsidRDefault="009124B0" w:rsidP="00730F86">
            <w:pPr>
              <w:keepNext/>
              <w:keepLines/>
              <w:rPr>
                <w:rFonts w:cs="Arial"/>
                <w:i/>
                <w:color w:val="002060"/>
                <w:sz w:val="16"/>
                <w:szCs w:val="16"/>
                <w:lang w:val="es-ES_tradnl"/>
              </w:rPr>
            </w:pPr>
            <w:r w:rsidRPr="00A34388">
              <w:rPr>
                <w:i/>
                <w:color w:val="002060"/>
                <w:sz w:val="16"/>
                <w:lang w:val="es-ES_tradnl"/>
              </w:rPr>
              <w:t>Referencia actualizada a fines de 2011</w:t>
            </w:r>
            <w:r w:rsidR="00FB1D1B"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4.</w:t>
            </w:r>
          </w:p>
          <w:p w:rsidR="009124B0" w:rsidRPr="00A34388" w:rsidRDefault="009124B0" w:rsidP="00730F86">
            <w:pPr>
              <w:keepNext/>
              <w:keepLines/>
              <w:rPr>
                <w:rFonts w:cs="Arial"/>
                <w:i/>
                <w:color w:val="002060"/>
                <w:sz w:val="8"/>
                <w:szCs w:val="8"/>
                <w:lang w:val="es-ES_tradnl"/>
              </w:rPr>
            </w:pPr>
          </w:p>
          <w:p w:rsidR="009124B0" w:rsidRPr="00A34388" w:rsidRDefault="009124B0" w:rsidP="00730F86">
            <w:pPr>
              <w:keepNext/>
              <w:keepLines/>
              <w:rPr>
                <w:rFonts w:eastAsia="SimSun" w:cs="Arial"/>
                <w:color w:val="000000"/>
                <w:sz w:val="16"/>
                <w:szCs w:val="16"/>
                <w:lang w:val="es-ES_tradnl"/>
              </w:rPr>
            </w:pPr>
            <w:r w:rsidRPr="00A34388">
              <w:rPr>
                <w:i/>
                <w:sz w:val="16"/>
                <w:lang w:val="es-ES_tradnl"/>
              </w:rPr>
              <w:t>Referencia original Presup. por prog. 2012/12:</w:t>
            </w:r>
            <w:r w:rsidRPr="00A34388">
              <w:rPr>
                <w:sz w:val="16"/>
                <w:lang w:val="es-ES_tradnl"/>
              </w:rPr>
              <w:t xml:space="preserve">  </w:t>
            </w:r>
            <w:r w:rsidRPr="00A34388">
              <w:rPr>
                <w:color w:val="000000"/>
                <w:sz w:val="16"/>
                <w:lang w:val="es-ES_tradnl"/>
              </w:rPr>
              <w:t>No se dispone de datos.</w:t>
            </w:r>
          </w:p>
        </w:tc>
        <w:tc>
          <w:tcPr>
            <w:tcW w:w="901" w:type="pct"/>
            <w:shd w:val="clear" w:color="auto" w:fill="auto"/>
            <w:tcMar>
              <w:top w:w="110" w:type="dxa"/>
            </w:tcMar>
          </w:tcPr>
          <w:p w:rsidR="009124B0" w:rsidRPr="00A34388" w:rsidRDefault="009124B0" w:rsidP="00730F86">
            <w:pPr>
              <w:keepNext/>
              <w:keepLines/>
              <w:rPr>
                <w:rFonts w:eastAsia="SimSun" w:cs="Arial"/>
                <w:color w:val="000000"/>
                <w:sz w:val="16"/>
                <w:szCs w:val="16"/>
                <w:lang w:val="es-ES_tradnl"/>
              </w:rPr>
            </w:pPr>
            <w:r w:rsidRPr="00A34388">
              <w:rPr>
                <w:color w:val="000000"/>
                <w:sz w:val="16"/>
                <w:lang w:val="es-ES_tradnl"/>
              </w:rPr>
              <w:t>4.</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A34388">
              <w:rPr>
                <w:sz w:val="16"/>
                <w:lang w:val="es-ES_tradnl"/>
              </w:rPr>
              <w:t>9.</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34388" w:rsidTr="00730F86">
        <w:tc>
          <w:tcPr>
            <w:tcW w:w="1043" w:type="pct"/>
            <w:tcBorders>
              <w:bottom w:val="single" w:sz="4" w:space="0" w:color="auto"/>
            </w:tcBorders>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Número de reuniones informativas, reuniones y actividades organizadas para ONG de países en desarrollo y PMA.</w:t>
            </w:r>
          </w:p>
          <w:p w:rsidR="009124B0" w:rsidRPr="00A34388" w:rsidRDefault="009124B0" w:rsidP="00730F86">
            <w:pPr>
              <w:rPr>
                <w:rFonts w:eastAsia="SimSun" w:cs="Arial"/>
                <w:color w:val="000000"/>
                <w:sz w:val="16"/>
                <w:szCs w:val="16"/>
                <w:lang w:val="es-ES_tradnl"/>
              </w:rPr>
            </w:pPr>
          </w:p>
        </w:tc>
        <w:tc>
          <w:tcPr>
            <w:tcW w:w="998" w:type="pct"/>
            <w:tcBorders>
              <w:bottom w:val="single" w:sz="4" w:space="0" w:color="auto"/>
            </w:tcBorders>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No se dispone de datos.</w:t>
            </w:r>
          </w:p>
        </w:tc>
        <w:tc>
          <w:tcPr>
            <w:tcW w:w="901" w:type="pct"/>
            <w:tcBorders>
              <w:bottom w:val="single" w:sz="4" w:space="0" w:color="auto"/>
            </w:tcBorders>
            <w:shd w:val="clear" w:color="auto" w:fill="auto"/>
            <w:tcMar>
              <w:top w:w="110" w:type="dxa"/>
            </w:tcMar>
          </w:tcPr>
          <w:p w:rsidR="009124B0" w:rsidRPr="00A34388" w:rsidRDefault="009124B0" w:rsidP="00730F86">
            <w:pPr>
              <w:rPr>
                <w:rFonts w:eastAsia="SimSun" w:cs="Arial"/>
                <w:color w:val="000000"/>
                <w:sz w:val="16"/>
                <w:szCs w:val="16"/>
                <w:lang w:val="es-ES_tradnl"/>
              </w:rPr>
            </w:pPr>
            <w:r w:rsidRPr="00A34388">
              <w:rPr>
                <w:color w:val="000000"/>
                <w:sz w:val="16"/>
                <w:lang w:val="es-ES_tradnl"/>
              </w:rPr>
              <w:t>4.</w:t>
            </w:r>
          </w:p>
        </w:tc>
        <w:tc>
          <w:tcPr>
            <w:tcW w:w="1375" w:type="pct"/>
            <w:tcBorders>
              <w:bottom w:val="single" w:sz="4" w:space="0" w:color="auto"/>
            </w:tcBorders>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No se dispone de datos.</w:t>
            </w:r>
          </w:p>
        </w:tc>
        <w:tc>
          <w:tcPr>
            <w:tcW w:w="683" w:type="pct"/>
            <w:tcBorders>
              <w:bottom w:val="single" w:sz="4" w:space="0" w:color="auto"/>
            </w:tcBorders>
            <w:shd w:val="clear" w:color="auto" w:fill="auto"/>
            <w:tcMar>
              <w:top w:w="110" w:type="dxa"/>
            </w:tcMar>
          </w:tcPr>
          <w:p w:rsidR="009124B0" w:rsidRPr="00332758" w:rsidRDefault="009124B0" w:rsidP="00730F86">
            <w:pPr>
              <w:keepNext/>
              <w:keepLines/>
              <w:jc w:val="center"/>
              <w:rPr>
                <w:rFonts w:eastAsia="SimSun" w:cs="Arial"/>
                <w:sz w:val="16"/>
                <w:szCs w:val="16"/>
                <w:lang w:val="es-ES_tradnl"/>
              </w:rPr>
            </w:pPr>
            <w:r w:rsidRPr="00A34388">
              <w:rPr>
                <w:sz w:val="16"/>
                <w:lang w:val="es-ES_tradnl"/>
              </w:rPr>
              <w:t>Interrumpido</w:t>
            </w:r>
          </w:p>
        </w:tc>
      </w:tr>
      <w:tr w:rsidR="009124B0" w:rsidRPr="00A9508D"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701" w:hanging="1701"/>
              <w:rPr>
                <w:rFonts w:eastAsia="SimSun"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Aumento de los recursos extrapresupuestarios disponibles para utilizar la P.I. en aras del desarrollo por medio de contribuciones directas a la OMPI o gracias al acceso a otros mecanismos de financiación externos.</w:t>
            </w:r>
          </w:p>
        </w:tc>
      </w:tr>
      <w:tr w:rsidR="009124B0" w:rsidRPr="00A34388" w:rsidTr="00730F86">
        <w:tc>
          <w:tcPr>
            <w:tcW w:w="1043" w:type="pct"/>
            <w:tcBorders>
              <w:top w:val="single" w:sz="4" w:space="0" w:color="auto"/>
            </w:tcBorders>
            <w:shd w:val="clear" w:color="auto" w:fill="auto"/>
            <w:vAlign w:val="center"/>
          </w:tcPr>
          <w:p w:rsidR="009124B0" w:rsidRPr="00A34388" w:rsidRDefault="009124B0" w:rsidP="00730F86">
            <w:pPr>
              <w:keepNext/>
              <w:keepLines/>
              <w:rPr>
                <w:rFonts w:eastAsia="SimSun" w:cs="Arial"/>
                <w:color w:val="808080"/>
                <w:sz w:val="16"/>
                <w:szCs w:val="16"/>
                <w:lang w:val="es-ES_tradnl"/>
              </w:rPr>
            </w:pPr>
            <w:r w:rsidRPr="00332758">
              <w:rPr>
                <w:b/>
                <w:sz w:val="16"/>
                <w:lang w:val="es-ES_tradnl"/>
              </w:rPr>
              <w:t>Indicadores de rendimiento</w:t>
            </w:r>
          </w:p>
        </w:tc>
        <w:tc>
          <w:tcPr>
            <w:tcW w:w="998" w:type="pct"/>
            <w:tcBorders>
              <w:top w:val="single" w:sz="4" w:space="0" w:color="auto"/>
            </w:tcBorders>
            <w:shd w:val="clear" w:color="auto" w:fill="auto"/>
            <w:vAlign w:val="center"/>
          </w:tcPr>
          <w:p w:rsidR="009124B0" w:rsidRPr="00A34388" w:rsidRDefault="009124B0" w:rsidP="00730F86">
            <w:pPr>
              <w:keepNext/>
              <w:keepLines/>
              <w:rPr>
                <w:rFonts w:eastAsia="SimSun" w:cs="Arial"/>
                <w:b/>
                <w:bCs/>
                <w:color w:val="808080"/>
                <w:sz w:val="16"/>
                <w:szCs w:val="16"/>
                <w:lang w:val="es-ES_tradnl"/>
              </w:rPr>
            </w:pPr>
            <w:r w:rsidRPr="00332758">
              <w:rPr>
                <w:b/>
                <w:sz w:val="16"/>
                <w:lang w:val="es-ES_tradnl"/>
              </w:rPr>
              <w:t>Referencia</w:t>
            </w:r>
          </w:p>
        </w:tc>
        <w:tc>
          <w:tcPr>
            <w:tcW w:w="901" w:type="pct"/>
            <w:tcBorders>
              <w:top w:val="single" w:sz="4" w:space="0" w:color="auto"/>
            </w:tcBorders>
            <w:shd w:val="clear" w:color="auto" w:fill="auto"/>
            <w:tcMar>
              <w:top w:w="110" w:type="dxa"/>
            </w:tcMar>
            <w:vAlign w:val="center"/>
          </w:tcPr>
          <w:p w:rsidR="009124B0" w:rsidRPr="00A34388" w:rsidRDefault="009124B0" w:rsidP="00730F86">
            <w:pPr>
              <w:keepNext/>
              <w:keepLines/>
              <w:rPr>
                <w:rFonts w:eastAsia="SimSun" w:cs="Arial"/>
                <w:b/>
                <w:color w:val="808080"/>
                <w:sz w:val="16"/>
                <w:szCs w:val="16"/>
                <w:lang w:val="es-ES_tradnl"/>
              </w:rPr>
            </w:pPr>
            <w:r w:rsidRPr="00332758">
              <w:rPr>
                <w:b/>
                <w:sz w:val="16"/>
                <w:lang w:val="es-ES_tradnl"/>
              </w:rPr>
              <w:t>Objetivos</w:t>
            </w:r>
          </w:p>
        </w:tc>
        <w:tc>
          <w:tcPr>
            <w:tcW w:w="1375" w:type="pct"/>
            <w:tcBorders>
              <w:top w:val="single" w:sz="4" w:space="0" w:color="auto"/>
            </w:tcBorders>
            <w:shd w:val="clear" w:color="auto" w:fill="FFFFFF"/>
            <w:tcMar>
              <w:top w:w="110" w:type="dxa"/>
            </w:tcMar>
            <w:vAlign w:val="center"/>
          </w:tcPr>
          <w:p w:rsidR="009124B0" w:rsidRPr="00A34388" w:rsidRDefault="009124B0" w:rsidP="00730F86">
            <w:pPr>
              <w:keepNext/>
              <w:keepLines/>
              <w:rPr>
                <w:rFonts w:eastAsia="SimSun" w:cs="Arial"/>
                <w:color w:val="808080"/>
                <w:sz w:val="16"/>
                <w:szCs w:val="16"/>
                <w:lang w:val="es-ES_tradnl"/>
              </w:rPr>
            </w:pPr>
            <w:r w:rsidRPr="00332758">
              <w:rPr>
                <w:b/>
                <w:sz w:val="16"/>
                <w:lang w:val="es-ES_tradnl"/>
              </w:rPr>
              <w:t>Datos sobre el rendimiento</w:t>
            </w:r>
          </w:p>
        </w:tc>
        <w:tc>
          <w:tcPr>
            <w:tcW w:w="683" w:type="pct"/>
            <w:tcBorders>
              <w:top w:val="single" w:sz="4" w:space="0" w:color="auto"/>
            </w:tcBorders>
            <w:shd w:val="clear" w:color="auto" w:fill="auto"/>
            <w:tcMar>
              <w:top w:w="110" w:type="dxa"/>
            </w:tcMar>
            <w:vAlign w:val="center"/>
          </w:tcPr>
          <w:p w:rsidR="009124B0" w:rsidRPr="00332758" w:rsidRDefault="009124B0" w:rsidP="00730F86">
            <w:pPr>
              <w:keepNext/>
              <w:keepLines/>
              <w:jc w:val="center"/>
              <w:rPr>
                <w:rFonts w:eastAsia="SimSun" w:cs="Arial"/>
                <w:b/>
                <w:bCs/>
                <w:sz w:val="16"/>
                <w:szCs w:val="16"/>
                <w:lang w:val="es-ES_tradnl"/>
              </w:rPr>
            </w:pPr>
            <w:r w:rsidRPr="00332758">
              <w:rPr>
                <w:b/>
                <w:sz w:val="16"/>
                <w:lang w:val="es-ES_tradnl"/>
              </w:rPr>
              <w:t>Clave de colores</w:t>
            </w:r>
          </w:p>
        </w:tc>
      </w:tr>
      <w:tr w:rsidR="009124B0" w:rsidRPr="00A34388" w:rsidTr="00730F86">
        <w:tc>
          <w:tcPr>
            <w:tcW w:w="1043" w:type="pct"/>
            <w:shd w:val="clear" w:color="auto" w:fill="auto"/>
          </w:tcPr>
          <w:p w:rsidR="009124B0" w:rsidRPr="00A34388" w:rsidRDefault="009124B0" w:rsidP="00730F86">
            <w:pPr>
              <w:keepNext/>
              <w:keepLines/>
              <w:rPr>
                <w:rFonts w:eastAsia="SimSun" w:cs="Arial"/>
                <w:color w:val="000000"/>
                <w:sz w:val="16"/>
                <w:szCs w:val="16"/>
                <w:lang w:val="es-ES_tradnl"/>
              </w:rPr>
            </w:pPr>
            <w:r w:rsidRPr="00332758">
              <w:rPr>
                <w:sz w:val="16"/>
                <w:lang w:val="es-ES_tradnl"/>
              </w:rPr>
              <w:t>Aumento de los fondos disponibles por medio de acuerdos de fondos fiduciarios.</w:t>
            </w:r>
          </w:p>
        </w:tc>
        <w:tc>
          <w:tcPr>
            <w:tcW w:w="998" w:type="pct"/>
            <w:shd w:val="clear" w:color="auto" w:fill="auto"/>
          </w:tcPr>
          <w:p w:rsidR="009124B0" w:rsidRPr="00A34388" w:rsidRDefault="009124B0" w:rsidP="00730F86">
            <w:pPr>
              <w:keepNext/>
              <w:keepLines/>
              <w:rPr>
                <w:rFonts w:cs="Arial"/>
                <w:i/>
                <w:color w:val="002060"/>
                <w:sz w:val="16"/>
                <w:szCs w:val="16"/>
                <w:lang w:val="es-ES_tradnl"/>
              </w:rPr>
            </w:pPr>
            <w:r w:rsidRPr="00A34388">
              <w:rPr>
                <w:i/>
                <w:color w:val="002060"/>
                <w:sz w:val="16"/>
                <w:lang w:val="es-ES_tradnl"/>
              </w:rPr>
              <w:t>Referencia actualizada a fines de 2011</w:t>
            </w:r>
            <w:r w:rsidR="00FB1D1B"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11,9 millones de francos suizos para 2010/11.</w:t>
            </w:r>
          </w:p>
          <w:p w:rsidR="009124B0" w:rsidRPr="00A34388" w:rsidRDefault="009124B0" w:rsidP="00730F86">
            <w:pPr>
              <w:keepNext/>
              <w:keepLines/>
              <w:rPr>
                <w:rFonts w:cs="Arial"/>
                <w:i/>
                <w:color w:val="002060"/>
                <w:sz w:val="8"/>
                <w:szCs w:val="8"/>
                <w:lang w:val="es-ES_tradnl"/>
              </w:rPr>
            </w:pPr>
          </w:p>
          <w:p w:rsidR="009124B0" w:rsidRPr="00A34388" w:rsidRDefault="009124B0" w:rsidP="00730F86">
            <w:pPr>
              <w:keepNext/>
              <w:keepLines/>
              <w:rPr>
                <w:rFonts w:eastAsia="SimSun" w:cs="Arial"/>
                <w:color w:val="000000"/>
                <w:sz w:val="16"/>
                <w:szCs w:val="16"/>
                <w:lang w:val="es-ES_tradnl"/>
              </w:rPr>
            </w:pPr>
            <w:r w:rsidRPr="00A34388">
              <w:rPr>
                <w:i/>
                <w:sz w:val="16"/>
                <w:lang w:val="es-ES_tradnl"/>
              </w:rPr>
              <w:t>Referencia original Presup. por prog. 2012/12:</w:t>
            </w:r>
            <w:r w:rsidRPr="00A34388">
              <w:rPr>
                <w:rFonts w:cs="Arial"/>
                <w:sz w:val="16"/>
                <w:szCs w:val="16"/>
                <w:lang w:val="es-ES_tradnl"/>
              </w:rPr>
              <w:br/>
            </w:r>
            <w:r w:rsidRPr="00A34388">
              <w:rPr>
                <w:color w:val="000000"/>
                <w:sz w:val="16"/>
                <w:lang w:val="es-ES_tradnl"/>
              </w:rPr>
              <w:t>Véase el informe de gestión financiera correspondiente a 2010/11.</w:t>
            </w:r>
          </w:p>
        </w:tc>
        <w:tc>
          <w:tcPr>
            <w:tcW w:w="901" w:type="pct"/>
            <w:shd w:val="clear" w:color="auto" w:fill="auto"/>
            <w:tcMar>
              <w:top w:w="110" w:type="dxa"/>
            </w:tcMar>
          </w:tcPr>
          <w:p w:rsidR="009124B0" w:rsidRPr="00A34388" w:rsidRDefault="009124B0" w:rsidP="00730F86">
            <w:pPr>
              <w:keepNext/>
              <w:keepLines/>
              <w:rPr>
                <w:rFonts w:eastAsia="SimSun" w:cs="Arial"/>
                <w:sz w:val="16"/>
                <w:szCs w:val="16"/>
                <w:lang w:val="es-ES_tradnl"/>
              </w:rPr>
            </w:pPr>
            <w:r w:rsidRPr="00A34388">
              <w:rPr>
                <w:sz w:val="16"/>
                <w:lang w:val="es-ES_tradnl"/>
              </w:rPr>
              <w:t>10%</w:t>
            </w:r>
          </w:p>
        </w:tc>
        <w:tc>
          <w:tcPr>
            <w:tcW w:w="1375" w:type="pct"/>
            <w:shd w:val="clear" w:color="auto" w:fill="FFFFFF"/>
            <w:tcMar>
              <w:top w:w="110" w:type="dxa"/>
            </w:tcMar>
          </w:tcPr>
          <w:p w:rsidR="009124B0" w:rsidRPr="00A34388" w:rsidRDefault="009124B0" w:rsidP="008804AB">
            <w:pPr>
              <w:keepNext/>
              <w:keepLines/>
              <w:rPr>
                <w:rFonts w:eastAsia="SimSun" w:cs="Arial"/>
                <w:sz w:val="16"/>
                <w:szCs w:val="16"/>
                <w:lang w:val="es-ES_tradnl"/>
              </w:rPr>
            </w:pPr>
            <w:r w:rsidRPr="00332758">
              <w:rPr>
                <w:sz w:val="16"/>
                <w:lang w:val="es-ES_tradnl"/>
              </w:rPr>
              <w:t>Los ingresos procedentes de fondos fiduciarios en 2012/13 sumaron un total de 1</w:t>
            </w:r>
            <w:r w:rsidR="008804AB" w:rsidRPr="00332758">
              <w:rPr>
                <w:sz w:val="16"/>
                <w:lang w:val="es-ES_tradnl"/>
              </w:rPr>
              <w:t>7,2</w:t>
            </w:r>
            <w:r w:rsidRPr="00332758">
              <w:rPr>
                <w:sz w:val="16"/>
                <w:lang w:val="es-ES_tradnl"/>
              </w:rPr>
              <w:t xml:space="preserve"> millones de francos suizos.  </w:t>
            </w:r>
            <w:r w:rsidRPr="00A34388">
              <w:rPr>
                <w:sz w:val="16"/>
                <w:lang w:val="es-ES_tradnl"/>
              </w:rPr>
              <w:t xml:space="preserve">En 2010/11, esos ingresos </w:t>
            </w:r>
            <w:r w:rsidR="00FB1D1B" w:rsidRPr="00A34388">
              <w:rPr>
                <w:sz w:val="16"/>
                <w:lang w:val="es-ES_tradnl"/>
              </w:rPr>
              <w:t xml:space="preserve">ascendieron </w:t>
            </w:r>
            <w:r w:rsidRPr="00A34388">
              <w:rPr>
                <w:sz w:val="16"/>
                <w:lang w:val="es-ES_tradnl"/>
              </w:rPr>
              <w:t xml:space="preserve">a un total de 11,9 millones de francos suizos, lo que </w:t>
            </w:r>
            <w:r w:rsidR="00FB1D1B" w:rsidRPr="00A34388">
              <w:rPr>
                <w:sz w:val="16"/>
                <w:lang w:val="es-ES_tradnl"/>
              </w:rPr>
              <w:t xml:space="preserve">supone </w:t>
            </w:r>
            <w:r w:rsidRPr="00A34388">
              <w:rPr>
                <w:sz w:val="16"/>
                <w:lang w:val="es-ES_tradnl"/>
              </w:rPr>
              <w:t>un aumento de 5,3 millones de francos suizos o de un 44,5% aproximadamente.</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008000"/>
                <w:sz w:val="16"/>
                <w:lang w:val="es-ES_tradnl"/>
              </w:rPr>
              <w:t>Plenamente logrado</w:t>
            </w:r>
          </w:p>
        </w:tc>
      </w:tr>
      <w:tr w:rsidR="009124B0" w:rsidRPr="00A34388" w:rsidTr="00730F86">
        <w:tc>
          <w:tcPr>
            <w:tcW w:w="1043"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t>Número y valor financiero de los proyectos ejecutados por la OMPI con financiación proveniente de mecanismos externos existentes financiados por donantes.</w:t>
            </w:r>
          </w:p>
        </w:tc>
        <w:tc>
          <w:tcPr>
            <w:tcW w:w="998"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FB1D1B"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Cero</w:t>
            </w:r>
          </w:p>
          <w:p w:rsidR="009124B0" w:rsidRPr="00A34388" w:rsidRDefault="009124B0" w:rsidP="00730F86">
            <w:pPr>
              <w:rPr>
                <w:rFonts w:cs="Arial"/>
                <w:i/>
                <w:color w:val="002060"/>
                <w:sz w:val="8"/>
                <w:szCs w:val="8"/>
                <w:lang w:val="es-ES_tradnl"/>
              </w:rPr>
            </w:pPr>
          </w:p>
          <w:p w:rsidR="009124B0" w:rsidRPr="00A34388" w:rsidRDefault="009124B0" w:rsidP="00730F86">
            <w:pPr>
              <w:rPr>
                <w:rFonts w:eastAsia="SimSun" w:cs="Arial"/>
                <w:color w:val="000000"/>
                <w:sz w:val="16"/>
                <w:szCs w:val="16"/>
                <w:lang w:val="es-ES_tradnl"/>
              </w:rPr>
            </w:pPr>
            <w:r w:rsidRPr="00A34388">
              <w:rPr>
                <w:i/>
                <w:sz w:val="16"/>
                <w:lang w:val="es-ES_tradnl"/>
              </w:rPr>
              <w:t>Referencia original Presup. por prog. 2012/12:</w:t>
            </w:r>
            <w:r w:rsidRPr="00A34388">
              <w:rPr>
                <w:sz w:val="16"/>
                <w:lang w:val="es-ES_tradnl"/>
              </w:rPr>
              <w:t xml:space="preserve">  </w:t>
            </w:r>
            <w:r w:rsidRPr="00A34388">
              <w:rPr>
                <w:color w:val="000000"/>
                <w:sz w:val="16"/>
                <w:lang w:val="es-ES_tradnl"/>
              </w:rPr>
              <w:t>No se dispone de datos.</w:t>
            </w: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5 proyectos, valor total:  2 millones de francos suizos</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No se dispone de datos.</w:t>
            </w:r>
          </w:p>
        </w:tc>
        <w:tc>
          <w:tcPr>
            <w:tcW w:w="683" w:type="pct"/>
            <w:shd w:val="clear" w:color="auto" w:fill="auto"/>
            <w:tcMar>
              <w:top w:w="110" w:type="dxa"/>
            </w:tcMar>
          </w:tcPr>
          <w:p w:rsidR="009124B0" w:rsidRPr="00332758" w:rsidRDefault="009124B0" w:rsidP="00730F86">
            <w:pPr>
              <w:keepNext/>
              <w:keepLines/>
              <w:jc w:val="center"/>
              <w:rPr>
                <w:rFonts w:eastAsia="SimSun" w:cs="Arial"/>
                <w:sz w:val="16"/>
                <w:szCs w:val="16"/>
                <w:lang w:val="es-ES_tradnl"/>
              </w:rPr>
            </w:pPr>
            <w:r w:rsidRPr="00A34388">
              <w:rPr>
                <w:sz w:val="16"/>
                <w:lang w:val="es-ES_tradnl"/>
              </w:rPr>
              <w:t>Interrumpido</w:t>
            </w:r>
          </w:p>
        </w:tc>
      </w:tr>
      <w:tr w:rsidR="009124B0" w:rsidRPr="00A34388" w:rsidTr="00730F86">
        <w:tc>
          <w:tcPr>
            <w:tcW w:w="1043" w:type="pct"/>
            <w:shd w:val="clear" w:color="auto" w:fill="auto"/>
          </w:tcPr>
          <w:p w:rsidR="009124B0" w:rsidRPr="00A34388" w:rsidRDefault="009124B0" w:rsidP="00730F86">
            <w:pPr>
              <w:rPr>
                <w:rFonts w:eastAsia="SimSun" w:cs="Arial"/>
                <w:color w:val="000000"/>
                <w:sz w:val="16"/>
                <w:szCs w:val="16"/>
                <w:lang w:val="es-ES_tradnl"/>
              </w:rPr>
            </w:pPr>
            <w:r w:rsidRPr="00332758">
              <w:rPr>
                <w:sz w:val="16"/>
                <w:lang w:val="es-ES_tradnl"/>
              </w:rPr>
              <w:lastRenderedPageBreak/>
              <w:t>Elaboración de las Directrices de la OMPI para la Colaboración con el Sector Privado.</w:t>
            </w:r>
          </w:p>
        </w:tc>
        <w:tc>
          <w:tcPr>
            <w:tcW w:w="998" w:type="pct"/>
            <w:shd w:val="clear" w:color="auto" w:fill="auto"/>
          </w:tcPr>
          <w:p w:rsidR="009124B0" w:rsidRPr="00CC013D" w:rsidRDefault="009124B0" w:rsidP="00730F86">
            <w:pPr>
              <w:rPr>
                <w:rFonts w:eastAsia="SimSun" w:cs="Arial"/>
                <w:bCs/>
                <w:color w:val="002060"/>
                <w:sz w:val="16"/>
                <w:szCs w:val="16"/>
                <w:lang w:val="es-ES_tradnl"/>
              </w:rPr>
            </w:pPr>
            <w:r w:rsidRPr="00A34388">
              <w:rPr>
                <w:i/>
                <w:color w:val="002060"/>
                <w:sz w:val="16"/>
                <w:lang w:val="es-ES_tradnl"/>
              </w:rPr>
              <w:t>Referencia actualizada a fines de 2011</w:t>
            </w:r>
            <w:r w:rsidR="00FB1D1B"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 xml:space="preserve">El </w:t>
            </w:r>
            <w:r w:rsidRPr="00CC013D">
              <w:rPr>
                <w:color w:val="002060"/>
                <w:sz w:val="16"/>
                <w:lang w:val="es-ES_tradnl"/>
              </w:rPr>
              <w:t>proyecto se preparó y se examinó internamente.  El proyecto final servirá de base para las consultas con los Estados miembros</w:t>
            </w:r>
          </w:p>
          <w:p w:rsidR="009124B0" w:rsidRPr="00A34388" w:rsidRDefault="009124B0" w:rsidP="00730F86">
            <w:pPr>
              <w:rPr>
                <w:rFonts w:cs="Arial"/>
                <w:i/>
                <w:sz w:val="8"/>
                <w:szCs w:val="8"/>
                <w:lang w:val="es-ES_tradnl"/>
              </w:rPr>
            </w:pPr>
          </w:p>
          <w:p w:rsidR="009124B0" w:rsidRPr="00A34388" w:rsidRDefault="009124B0" w:rsidP="00730F86">
            <w:pPr>
              <w:rPr>
                <w:rFonts w:eastAsia="SimSun" w:cs="Arial"/>
                <w:sz w:val="16"/>
                <w:szCs w:val="16"/>
                <w:lang w:val="es-ES_tradnl"/>
              </w:rPr>
            </w:pPr>
            <w:r w:rsidRPr="00A34388">
              <w:rPr>
                <w:i/>
                <w:sz w:val="16"/>
                <w:lang w:val="es-ES_tradnl"/>
              </w:rPr>
              <w:t>Referencia original Presup. por prog. 2012/12:</w:t>
            </w:r>
            <w:r w:rsidRPr="00A34388">
              <w:rPr>
                <w:sz w:val="16"/>
                <w:lang w:val="es-ES_tradnl"/>
              </w:rPr>
              <w:t xml:space="preserve">  Proyecto en curso de preparación para someterlo a consultas.</w:t>
            </w:r>
          </w:p>
          <w:p w:rsidR="009124B0" w:rsidRPr="00A34388" w:rsidRDefault="009124B0" w:rsidP="00730F86">
            <w:pPr>
              <w:rPr>
                <w:rFonts w:eastAsia="SimSun" w:cs="Arial"/>
                <w:color w:val="000000"/>
                <w:sz w:val="16"/>
                <w:szCs w:val="16"/>
                <w:lang w:val="es-ES_tradnl"/>
              </w:rPr>
            </w:pPr>
          </w:p>
        </w:tc>
        <w:tc>
          <w:tcPr>
            <w:tcW w:w="901"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sz w:val="16"/>
                <w:lang w:val="es-ES_tradnl"/>
              </w:rPr>
              <w:t xml:space="preserve">Aprobación por </w:t>
            </w:r>
            <w:r w:rsidR="009B1238">
              <w:rPr>
                <w:sz w:val="16"/>
                <w:lang w:val="es-ES_tradnl"/>
              </w:rPr>
              <w:t xml:space="preserve">los </w:t>
            </w:r>
            <w:r w:rsidRPr="00A34388">
              <w:rPr>
                <w:sz w:val="16"/>
                <w:lang w:val="es-ES_tradnl"/>
              </w:rPr>
              <w:t xml:space="preserve">Estados miembros de las Directrices de la OMPI </w:t>
            </w:r>
          </w:p>
        </w:tc>
        <w:tc>
          <w:tcPr>
            <w:tcW w:w="1375" w:type="pct"/>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El proceso interno está en curso.</w:t>
            </w:r>
            <w:r w:rsidRPr="00A34388">
              <w:rPr>
                <w:sz w:val="16"/>
                <w:lang w:val="es-ES_tradnl"/>
              </w:rPr>
              <w:t xml:space="preserve"> </w:t>
            </w:r>
          </w:p>
        </w:tc>
        <w:tc>
          <w:tcPr>
            <w:tcW w:w="683" w:type="pct"/>
            <w:shd w:val="clear" w:color="auto" w:fill="auto"/>
            <w:tcMar>
              <w:top w:w="110" w:type="dxa"/>
            </w:tcMar>
          </w:tcPr>
          <w:p w:rsidR="009124B0" w:rsidRPr="00332758" w:rsidRDefault="009124B0" w:rsidP="00730F86">
            <w:pPr>
              <w:keepNext/>
              <w:keepLines/>
              <w:jc w:val="center"/>
              <w:rPr>
                <w:rFonts w:eastAsia="SimSun" w:cs="Arial"/>
                <w:bCs/>
                <w:sz w:val="16"/>
                <w:szCs w:val="16"/>
                <w:lang w:val="es-ES_tradnl"/>
              </w:rPr>
            </w:pPr>
            <w:r w:rsidRPr="00A34388">
              <w:rPr>
                <w:color w:val="FF0000"/>
                <w:sz w:val="16"/>
                <w:lang w:val="es-ES_tradnl"/>
              </w:rPr>
              <w:t>No logrado</w:t>
            </w:r>
          </w:p>
        </w:tc>
      </w:tr>
    </w:tbl>
    <w:p w:rsidR="009124B0" w:rsidRPr="00A34388" w:rsidRDefault="009124B0" w:rsidP="009124B0">
      <w:pPr>
        <w:jc w:val="right"/>
        <w:rPr>
          <w:rFonts w:eastAsia="SimSun" w:cs="Arial"/>
          <w:szCs w:val="20"/>
          <w:lang w:val="es-ES_tradnl"/>
        </w:rPr>
      </w:pPr>
    </w:p>
    <w:p w:rsidR="00C638E1" w:rsidRDefault="00C638E1" w:rsidP="009124B0">
      <w:pPr>
        <w:rPr>
          <w:sz w:val="22"/>
          <w:lang w:val="es-ES_tradnl"/>
        </w:rPr>
      </w:pPr>
    </w:p>
    <w:p w:rsidR="00C638E1" w:rsidRDefault="00C638E1" w:rsidP="009124B0">
      <w:pPr>
        <w:rPr>
          <w:sz w:val="22"/>
          <w:lang w:val="es-ES_tradnl"/>
        </w:rPr>
      </w:pPr>
    </w:p>
    <w:p w:rsidR="009124B0" w:rsidRPr="00A34388" w:rsidRDefault="009124B0" w:rsidP="009124B0">
      <w:pPr>
        <w:rPr>
          <w:rFonts w:eastAsia="SimSun" w:cs="Arial"/>
          <w:sz w:val="22"/>
          <w:szCs w:val="22"/>
          <w:lang w:val="es-ES_tradnl"/>
        </w:rPr>
      </w:pPr>
      <w:r w:rsidRPr="00332758">
        <w:rPr>
          <w:sz w:val="22"/>
          <w:lang w:val="es-ES_tradnl"/>
        </w:rPr>
        <w:t>PRESUPUESTO Y GASTOS REALES</w:t>
      </w:r>
    </w:p>
    <w:p w:rsidR="009124B0" w:rsidRPr="00A34388" w:rsidRDefault="009124B0" w:rsidP="009124B0">
      <w:pPr>
        <w:rPr>
          <w:rFonts w:eastAsia="SimSun" w:cs="Arial"/>
          <w:szCs w:val="20"/>
          <w:lang w:val="es-ES_tradnl"/>
        </w:rPr>
      </w:pP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9124B0" w:rsidRPr="00A34388" w:rsidRDefault="009124B0" w:rsidP="009124B0">
      <w:pPr>
        <w:jc w:val="right"/>
        <w:rPr>
          <w:rFonts w:eastAsia="SimSun" w:cs="Arial"/>
          <w:szCs w:val="20"/>
          <w:lang w:val="es-ES_tradnl"/>
        </w:rPr>
      </w:pPr>
    </w:p>
    <w:tbl>
      <w:tblPr>
        <w:tblW w:w="0" w:type="auto"/>
        <w:tblInd w:w="103" w:type="dxa"/>
        <w:tblLayout w:type="fixed"/>
        <w:tblLook w:val="04A0" w:firstRow="1" w:lastRow="0" w:firstColumn="1" w:lastColumn="0" w:noHBand="0" w:noVBand="1"/>
      </w:tblPr>
      <w:tblGrid>
        <w:gridCol w:w="609"/>
        <w:gridCol w:w="4499"/>
        <w:gridCol w:w="1417"/>
        <w:gridCol w:w="1418"/>
        <w:gridCol w:w="1418"/>
      </w:tblGrid>
      <w:tr w:rsidR="009124B0" w:rsidRPr="00A34388" w:rsidTr="00730F86">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Número del resultado previsto y descripción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aprobado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A34388">
              <w:rPr>
                <w:color w:val="000000"/>
                <w:sz w:val="16"/>
                <w:lang w:val="es-ES_tradnl"/>
              </w:rPr>
              <w:t>Gastos 2012/13</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II.1</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Utilización estratégica del PCT, con conocimiento de causa, por todos los innovadores que puedan aprovecharlo.</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661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148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240 </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II.8</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Mejor utilización de los sistemas de Madrid y de Lisboa por los países en desarrollo y los PMA, entre otros.</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738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574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 xml:space="preserve">440 </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III.2</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3</w:t>
            </w:r>
            <w:r w:rsidR="00C638E1">
              <w:rPr>
                <w:sz w:val="16"/>
                <w:lang w:val="es-ES_tradnl"/>
              </w:rPr>
              <w:t>.</w:t>
            </w:r>
            <w:r w:rsidRPr="00332758">
              <w:rPr>
                <w:sz w:val="16"/>
                <w:lang w:val="es-ES_tradnl"/>
              </w:rPr>
              <w:t xml:space="preserve">053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2</w:t>
            </w:r>
            <w:r w:rsidR="00C638E1">
              <w:rPr>
                <w:sz w:val="16"/>
                <w:lang w:val="es-ES_tradnl"/>
              </w:rPr>
              <w:t>.</w:t>
            </w:r>
            <w:r w:rsidRPr="00332758">
              <w:rPr>
                <w:sz w:val="16"/>
                <w:lang w:val="es-ES_tradnl"/>
              </w:rPr>
              <w:t xml:space="preserve">693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2</w:t>
            </w:r>
            <w:r w:rsidR="00C638E1">
              <w:rPr>
                <w:sz w:val="16"/>
                <w:lang w:val="es-ES_tradnl"/>
              </w:rPr>
              <w:t>.</w:t>
            </w:r>
            <w:r w:rsidRPr="00332758">
              <w:rPr>
                <w:sz w:val="16"/>
                <w:lang w:val="es-ES_tradnl"/>
              </w:rPr>
              <w:t>638</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III.10</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Aumento de los recursos extrapresupuestarios disponibles para utilizar la P.I. en aras del desarrollo por medio de contribuciones directas a la OMPI o gracias al acceso a otros mecanismos de financiación externos.</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769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508</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355 </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IV.5</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Mejora en la infraestructura técnica y de conocimientos de las oficinas y demás instituciones de P.I. que les permite prestar mejores servicios (más económicos, más rápidos y de mejor calidad) a sus usuarios</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135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 xml:space="preserve">107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 xml:space="preserve">94 </w:t>
            </w:r>
          </w:p>
        </w:tc>
      </w:tr>
      <w:tr w:rsidR="009124B0" w:rsidRPr="00A34388" w:rsidTr="00730F86">
        <w:tc>
          <w:tcPr>
            <w:tcW w:w="609" w:type="dxa"/>
            <w:tcBorders>
              <w:top w:val="nil"/>
              <w:left w:val="single" w:sz="4" w:space="0" w:color="auto"/>
              <w:bottom w:val="nil"/>
              <w:right w:val="nil"/>
            </w:tcBorders>
            <w:shd w:val="clear" w:color="000000" w:fill="FFFFFF"/>
            <w:noWrap/>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VIII.3</w:t>
            </w:r>
          </w:p>
        </w:tc>
        <w:tc>
          <w:tcPr>
            <w:tcW w:w="4499" w:type="dxa"/>
            <w:tcBorders>
              <w:top w:val="nil"/>
              <w:left w:val="nil"/>
              <w:bottom w:val="nil"/>
              <w:right w:val="nil"/>
            </w:tcBorders>
            <w:shd w:val="clear" w:color="000000" w:fill="FFFFFF"/>
            <w:vAlign w:val="center"/>
            <w:hideMark/>
          </w:tcPr>
          <w:p w:rsidR="009124B0" w:rsidRPr="00A34388" w:rsidRDefault="009124B0" w:rsidP="00730F86">
            <w:pPr>
              <w:spacing w:before="80"/>
              <w:rPr>
                <w:rFonts w:cs="Arial"/>
                <w:color w:val="808080"/>
                <w:sz w:val="16"/>
                <w:szCs w:val="16"/>
                <w:lang w:val="es-ES_tradnl"/>
              </w:rPr>
            </w:pPr>
            <w:r w:rsidRPr="00332758">
              <w:rPr>
                <w:sz w:val="16"/>
                <w:lang w:val="es-ES_tradnl"/>
              </w:rPr>
              <w:t>La OMPI participa y colabora eficazmente en los procesos y negociaciones de las NN.UU. y otras OIG.</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3</w:t>
            </w:r>
            <w:r w:rsidR="00C638E1">
              <w:rPr>
                <w:sz w:val="16"/>
                <w:lang w:val="es-ES_tradnl"/>
              </w:rPr>
              <w:t>.</w:t>
            </w:r>
            <w:r w:rsidRPr="00332758">
              <w:rPr>
                <w:sz w:val="16"/>
                <w:lang w:val="es-ES_tradnl"/>
              </w:rPr>
              <w:t xml:space="preserve">362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80"/>
              <w:jc w:val="right"/>
              <w:rPr>
                <w:rFonts w:cs="Arial"/>
                <w:color w:val="808080"/>
                <w:sz w:val="16"/>
                <w:szCs w:val="16"/>
                <w:lang w:val="es-ES_tradnl"/>
              </w:rPr>
            </w:pPr>
            <w:r w:rsidRPr="00332758">
              <w:rPr>
                <w:sz w:val="16"/>
                <w:lang w:val="es-ES_tradnl"/>
              </w:rPr>
              <w:t>3</w:t>
            </w:r>
            <w:r w:rsidR="00C638E1">
              <w:rPr>
                <w:sz w:val="16"/>
                <w:lang w:val="es-ES_tradnl"/>
              </w:rPr>
              <w:t>.</w:t>
            </w:r>
            <w:r w:rsidRPr="00332758">
              <w:rPr>
                <w:sz w:val="16"/>
                <w:lang w:val="es-ES_tradnl"/>
              </w:rPr>
              <w:t>350</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80"/>
              <w:jc w:val="right"/>
              <w:rPr>
                <w:rFonts w:cs="Arial"/>
                <w:sz w:val="16"/>
                <w:szCs w:val="16"/>
                <w:lang w:val="es-ES_tradnl"/>
              </w:rPr>
            </w:pPr>
            <w:r w:rsidRPr="00332758">
              <w:rPr>
                <w:sz w:val="16"/>
                <w:lang w:val="es-ES_tradnl"/>
              </w:rPr>
              <w:t>2</w:t>
            </w:r>
            <w:r w:rsidR="00C638E1">
              <w:rPr>
                <w:sz w:val="16"/>
                <w:lang w:val="es-ES_tradnl"/>
              </w:rPr>
              <w:t>.</w:t>
            </w:r>
            <w:r w:rsidRPr="00332758">
              <w:rPr>
                <w:sz w:val="16"/>
                <w:lang w:val="es-ES_tradnl"/>
              </w:rPr>
              <w:t xml:space="preserve">910 </w:t>
            </w:r>
          </w:p>
        </w:tc>
      </w:tr>
      <w:tr w:rsidR="009124B0" w:rsidRPr="00A34388" w:rsidTr="00730F86">
        <w:tc>
          <w:tcPr>
            <w:tcW w:w="609" w:type="dxa"/>
            <w:tcBorders>
              <w:top w:val="nil"/>
              <w:left w:val="single" w:sz="4" w:space="0" w:color="auto"/>
              <w:bottom w:val="single" w:sz="4" w:space="0" w:color="auto"/>
              <w:right w:val="nil"/>
            </w:tcBorders>
            <w:shd w:val="clear" w:color="000000" w:fill="FFFFFF"/>
            <w:noWrap/>
            <w:vAlign w:val="center"/>
            <w:hideMark/>
          </w:tcPr>
          <w:p w:rsidR="009124B0" w:rsidRPr="00A34388" w:rsidRDefault="009124B0" w:rsidP="00730F86">
            <w:pPr>
              <w:spacing w:beforeLines="80" w:before="192" w:after="80"/>
              <w:rPr>
                <w:rFonts w:cs="Arial"/>
                <w:color w:val="808080"/>
                <w:sz w:val="16"/>
                <w:szCs w:val="16"/>
                <w:lang w:val="es-ES_tradnl"/>
              </w:rPr>
            </w:pPr>
            <w:r w:rsidRPr="00332758">
              <w:rPr>
                <w:sz w:val="16"/>
                <w:lang w:val="es-ES_tradnl"/>
              </w:rPr>
              <w:t>VIII.4</w:t>
            </w:r>
          </w:p>
        </w:tc>
        <w:tc>
          <w:tcPr>
            <w:tcW w:w="4499" w:type="dxa"/>
            <w:tcBorders>
              <w:top w:val="nil"/>
              <w:left w:val="nil"/>
              <w:bottom w:val="single" w:sz="4" w:space="0" w:color="auto"/>
              <w:right w:val="nil"/>
            </w:tcBorders>
            <w:shd w:val="clear" w:color="000000" w:fill="FFFFFF"/>
            <w:vAlign w:val="center"/>
            <w:hideMark/>
          </w:tcPr>
          <w:p w:rsidR="009124B0" w:rsidRPr="00A34388" w:rsidRDefault="009124B0" w:rsidP="00730F86">
            <w:pPr>
              <w:spacing w:beforeLines="80" w:before="192" w:after="80"/>
              <w:rPr>
                <w:rFonts w:cs="Arial"/>
                <w:color w:val="808080"/>
                <w:sz w:val="16"/>
                <w:szCs w:val="16"/>
                <w:lang w:val="es-ES_tradnl"/>
              </w:rPr>
            </w:pPr>
            <w:r w:rsidRPr="00332758">
              <w:rPr>
                <w:sz w:val="16"/>
                <w:lang w:val="es-ES_tradnl"/>
              </w:rPr>
              <w:t>Intercambios abiertos, transparentes y dinámicos con las ONG.</w:t>
            </w:r>
          </w:p>
        </w:tc>
        <w:tc>
          <w:tcPr>
            <w:tcW w:w="1417" w:type="dxa"/>
            <w:tcBorders>
              <w:top w:val="nil"/>
              <w:left w:val="nil"/>
              <w:bottom w:val="nil"/>
              <w:right w:val="nil"/>
            </w:tcBorders>
            <w:shd w:val="clear" w:color="000000" w:fill="FFFFFF"/>
            <w:vAlign w:val="center"/>
            <w:hideMark/>
          </w:tcPr>
          <w:p w:rsidR="009124B0" w:rsidRPr="00A34388" w:rsidRDefault="009124B0" w:rsidP="00730F86">
            <w:pPr>
              <w:spacing w:beforeLines="80" w:before="192" w:after="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194 </w:t>
            </w:r>
          </w:p>
        </w:tc>
        <w:tc>
          <w:tcPr>
            <w:tcW w:w="1418" w:type="dxa"/>
            <w:tcBorders>
              <w:top w:val="nil"/>
              <w:left w:val="nil"/>
              <w:bottom w:val="nil"/>
              <w:right w:val="nil"/>
            </w:tcBorders>
            <w:shd w:val="clear" w:color="000000" w:fill="FFFFFF"/>
            <w:vAlign w:val="center"/>
            <w:hideMark/>
          </w:tcPr>
          <w:p w:rsidR="009124B0" w:rsidRPr="00A34388" w:rsidRDefault="009124B0" w:rsidP="00730F86">
            <w:pPr>
              <w:spacing w:beforeLines="80" w:before="192" w:after="80"/>
              <w:jc w:val="right"/>
              <w:rPr>
                <w:rFonts w:cs="Arial"/>
                <w:color w:val="808080"/>
                <w:sz w:val="16"/>
                <w:szCs w:val="16"/>
                <w:lang w:val="es-ES_tradnl"/>
              </w:rPr>
            </w:pPr>
            <w:r w:rsidRPr="00332758">
              <w:rPr>
                <w:sz w:val="16"/>
                <w:lang w:val="es-ES_tradnl"/>
              </w:rPr>
              <w:t>1</w:t>
            </w:r>
            <w:r w:rsidR="00C638E1">
              <w:rPr>
                <w:sz w:val="16"/>
                <w:lang w:val="es-ES_tradnl"/>
              </w:rPr>
              <w:t>.</w:t>
            </w:r>
            <w:r w:rsidRPr="00332758">
              <w:rPr>
                <w:sz w:val="16"/>
                <w:lang w:val="es-ES_tradnl"/>
              </w:rPr>
              <w:t xml:space="preserve">130 </w:t>
            </w:r>
          </w:p>
        </w:tc>
        <w:tc>
          <w:tcPr>
            <w:tcW w:w="1418"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Lines="80" w:before="192" w:after="80"/>
              <w:jc w:val="right"/>
              <w:rPr>
                <w:rFonts w:cs="Arial"/>
                <w:sz w:val="16"/>
                <w:szCs w:val="16"/>
                <w:lang w:val="es-ES_tradnl"/>
              </w:rPr>
            </w:pPr>
            <w:r w:rsidRPr="00332758">
              <w:rPr>
                <w:sz w:val="16"/>
                <w:lang w:val="es-ES_tradnl"/>
              </w:rPr>
              <w:t xml:space="preserve">980 </w:t>
            </w:r>
          </w:p>
        </w:tc>
      </w:tr>
      <w:tr w:rsidR="009124B0" w:rsidRPr="00A34388" w:rsidTr="00730F86">
        <w:tc>
          <w:tcPr>
            <w:tcW w:w="609" w:type="dxa"/>
            <w:tcBorders>
              <w:top w:val="nil"/>
              <w:left w:val="single" w:sz="4" w:space="0" w:color="auto"/>
              <w:bottom w:val="single" w:sz="4" w:space="0" w:color="auto"/>
              <w:right w:val="nil"/>
            </w:tcBorders>
            <w:shd w:val="clear" w:color="000000" w:fill="CCFFFF"/>
            <w:noWrap/>
            <w:vAlign w:val="bottom"/>
            <w:hideMark/>
          </w:tcPr>
          <w:p w:rsidR="009124B0" w:rsidRPr="00A34388" w:rsidRDefault="009124B0" w:rsidP="00730F86">
            <w:pPr>
              <w:spacing w:beforeLines="80" w:before="192" w:after="80"/>
              <w:jc w:val="center"/>
              <w:rPr>
                <w:rFonts w:cs="Arial"/>
                <w:b/>
                <w:bCs/>
                <w:color w:val="808080"/>
                <w:sz w:val="16"/>
                <w:szCs w:val="16"/>
                <w:lang w:val="es-ES_tradnl"/>
              </w:rPr>
            </w:pPr>
            <w:r w:rsidRPr="00332758">
              <w:rPr>
                <w:b/>
                <w:sz w:val="16"/>
                <w:lang w:val="es-ES_tradnl"/>
              </w:rPr>
              <w:t> </w:t>
            </w:r>
          </w:p>
        </w:tc>
        <w:tc>
          <w:tcPr>
            <w:tcW w:w="4499" w:type="dxa"/>
            <w:tcBorders>
              <w:top w:val="nil"/>
              <w:left w:val="nil"/>
              <w:bottom w:val="single" w:sz="4" w:space="0" w:color="auto"/>
              <w:right w:val="nil"/>
            </w:tcBorders>
            <w:shd w:val="clear" w:color="000000" w:fill="CCFFFF"/>
            <w:noWrap/>
            <w:vAlign w:val="center"/>
            <w:hideMark/>
          </w:tcPr>
          <w:p w:rsidR="009124B0" w:rsidRPr="00A34388" w:rsidRDefault="009124B0" w:rsidP="00730F86">
            <w:pPr>
              <w:spacing w:beforeLines="80" w:before="192" w:after="80"/>
              <w:rPr>
                <w:rFonts w:cs="Arial"/>
                <w:b/>
                <w:bCs/>
                <w:color w:val="808080"/>
                <w:sz w:val="16"/>
                <w:szCs w:val="16"/>
                <w:lang w:val="es-ES_tradnl"/>
              </w:rPr>
            </w:pPr>
            <w:r w:rsidRPr="00332758">
              <w:rPr>
                <w:b/>
                <w:sz w:val="16"/>
                <w:lang w:val="es-ES_tradnl"/>
              </w:rPr>
              <w:t>TOTAL:</w:t>
            </w:r>
          </w:p>
        </w:tc>
        <w:tc>
          <w:tcPr>
            <w:tcW w:w="141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9124B0" w:rsidRPr="00A34388" w:rsidRDefault="009124B0" w:rsidP="00730F86">
            <w:pPr>
              <w:spacing w:beforeLines="80" w:before="192" w:after="80"/>
              <w:jc w:val="right"/>
              <w:rPr>
                <w:rFonts w:cs="Arial"/>
                <w:b/>
                <w:bCs/>
                <w:color w:val="808080"/>
                <w:sz w:val="16"/>
                <w:szCs w:val="16"/>
                <w:lang w:val="es-ES_tradnl"/>
              </w:rPr>
            </w:pPr>
            <w:r w:rsidRPr="00332758">
              <w:rPr>
                <w:b/>
                <w:sz w:val="16"/>
                <w:lang w:val="es-ES_tradnl"/>
              </w:rPr>
              <w:t>10</w:t>
            </w:r>
            <w:r w:rsidR="00C638E1">
              <w:rPr>
                <w:b/>
                <w:sz w:val="16"/>
                <w:lang w:val="es-ES_tradnl"/>
              </w:rPr>
              <w:t>.</w:t>
            </w:r>
            <w:r w:rsidRPr="00332758">
              <w:rPr>
                <w:b/>
                <w:sz w:val="16"/>
                <w:lang w:val="es-ES_tradnl"/>
              </w:rPr>
              <w:t>912</w:t>
            </w:r>
          </w:p>
        </w:tc>
        <w:tc>
          <w:tcPr>
            <w:tcW w:w="1418" w:type="dxa"/>
            <w:tcBorders>
              <w:top w:val="single" w:sz="4" w:space="0" w:color="auto"/>
              <w:left w:val="nil"/>
              <w:bottom w:val="single" w:sz="4" w:space="0" w:color="auto"/>
              <w:right w:val="single" w:sz="4" w:space="0" w:color="auto"/>
            </w:tcBorders>
            <w:shd w:val="clear" w:color="000000" w:fill="CCFFFF"/>
            <w:noWrap/>
            <w:vAlign w:val="center"/>
            <w:hideMark/>
          </w:tcPr>
          <w:p w:rsidR="009124B0" w:rsidRPr="00A34388" w:rsidRDefault="009124B0" w:rsidP="00730F86">
            <w:pPr>
              <w:spacing w:beforeLines="80" w:before="192" w:after="80"/>
              <w:jc w:val="right"/>
              <w:rPr>
                <w:rFonts w:cs="Arial"/>
                <w:b/>
                <w:bCs/>
                <w:color w:val="808080"/>
                <w:sz w:val="16"/>
                <w:szCs w:val="16"/>
                <w:lang w:val="es-ES_tradnl"/>
              </w:rPr>
            </w:pPr>
            <w:r w:rsidRPr="00332758">
              <w:rPr>
                <w:b/>
                <w:sz w:val="16"/>
                <w:lang w:val="es-ES_tradnl"/>
              </w:rPr>
              <w:t>10</w:t>
            </w:r>
            <w:r w:rsidR="00C638E1">
              <w:rPr>
                <w:b/>
                <w:sz w:val="16"/>
                <w:lang w:val="es-ES_tradnl"/>
              </w:rPr>
              <w:t>.</w:t>
            </w:r>
            <w:r w:rsidRPr="00332758">
              <w:rPr>
                <w:b/>
                <w:sz w:val="16"/>
                <w:lang w:val="es-ES_tradnl"/>
              </w:rPr>
              <w:t>510</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9124B0" w:rsidRPr="00332758" w:rsidRDefault="009124B0" w:rsidP="00C638E1">
            <w:pPr>
              <w:spacing w:beforeLines="80" w:before="192" w:after="80"/>
              <w:jc w:val="right"/>
              <w:rPr>
                <w:rFonts w:cs="Arial"/>
                <w:b/>
                <w:bCs/>
                <w:sz w:val="16"/>
                <w:szCs w:val="16"/>
                <w:lang w:val="es-ES_tradnl"/>
              </w:rPr>
            </w:pPr>
            <w:r w:rsidRPr="00332758">
              <w:rPr>
                <w:b/>
                <w:sz w:val="16"/>
                <w:lang w:val="es-ES_tradnl"/>
              </w:rPr>
              <w:t>9</w:t>
            </w:r>
            <w:r w:rsidR="00C638E1">
              <w:rPr>
                <w:b/>
                <w:sz w:val="16"/>
                <w:lang w:val="es-ES_tradnl"/>
              </w:rPr>
              <w:t>.</w:t>
            </w:r>
            <w:r w:rsidRPr="00332758">
              <w:rPr>
                <w:b/>
                <w:sz w:val="16"/>
                <w:lang w:val="es-ES_tradnl"/>
              </w:rPr>
              <w:t>657</w:t>
            </w:r>
          </w:p>
        </w:tc>
      </w:tr>
    </w:tbl>
    <w:p w:rsidR="009124B0" w:rsidRPr="00A34388" w:rsidRDefault="009124B0" w:rsidP="009124B0">
      <w:pPr>
        <w:pStyle w:val="NormalWeb"/>
        <w:spacing w:before="0" w:beforeAutospacing="0" w:after="0" w:afterAutospacing="0"/>
        <w:jc w:val="center"/>
        <w:rPr>
          <w:color w:val="000000"/>
          <w:sz w:val="20"/>
          <w:szCs w:val="20"/>
          <w:lang w:val="es-ES_tradnl"/>
        </w:rPr>
      </w:pPr>
    </w:p>
    <w:p w:rsidR="009124B0" w:rsidRPr="00A34388" w:rsidRDefault="009124B0" w:rsidP="009124B0">
      <w:pPr>
        <w:rPr>
          <w:rFonts w:cs="Arial"/>
          <w:color w:val="000000"/>
          <w:szCs w:val="20"/>
          <w:lang w:val="es-ES_tradnl"/>
        </w:rPr>
      </w:pPr>
    </w:p>
    <w:p w:rsidR="004C0FD5" w:rsidRPr="00A34388" w:rsidRDefault="004C0FD5">
      <w:pPr>
        <w:rPr>
          <w:rFonts w:cs="Arial"/>
          <w:color w:val="000000"/>
          <w:szCs w:val="18"/>
          <w:lang w:val="es-ES_tradnl"/>
        </w:rPr>
      </w:pPr>
      <w:r w:rsidRPr="00A34388">
        <w:rPr>
          <w:color w:val="000000"/>
          <w:lang w:val="es-ES_tradnl"/>
        </w:rPr>
        <w:br w:type="page"/>
      </w: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lastRenderedPageBreak/>
        <w:t xml:space="preserve">Presupuesto y gastos reales (de personal y no relativos al personal)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9124B0" w:rsidRPr="00A34388" w:rsidRDefault="009124B0" w:rsidP="009124B0">
      <w:pPr>
        <w:jc w:val="right"/>
        <w:rPr>
          <w:rFonts w:eastAsia="SimSun" w:cs="Arial"/>
          <w:szCs w:val="20"/>
          <w:lang w:val="es-ES_tradnl"/>
        </w:rPr>
      </w:pPr>
    </w:p>
    <w:tbl>
      <w:tblPr>
        <w:tblW w:w="0" w:type="auto"/>
        <w:tblInd w:w="93" w:type="dxa"/>
        <w:tblLook w:val="04A0" w:firstRow="1" w:lastRow="0" w:firstColumn="1" w:lastColumn="0" w:noHBand="0" w:noVBand="1"/>
      </w:tblPr>
      <w:tblGrid>
        <w:gridCol w:w="2567"/>
        <w:gridCol w:w="1733"/>
        <w:gridCol w:w="1740"/>
        <w:gridCol w:w="1715"/>
        <w:gridCol w:w="1723"/>
      </w:tblGrid>
      <w:tr w:rsidR="009124B0" w:rsidRPr="00A34388" w:rsidTr="00730F86">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rPr>
                <w:rFonts w:cs="Arial"/>
                <w:color w:val="000000"/>
                <w:sz w:val="16"/>
                <w:szCs w:val="16"/>
                <w:lang w:val="es-ES_tradnl"/>
              </w:rPr>
            </w:pPr>
            <w:r w:rsidRPr="00A34388">
              <w:rPr>
                <w:color w:val="000000"/>
                <w:sz w:val="16"/>
                <w:lang w:val="es-ES_tradnl"/>
              </w:rPr>
              <w:t> </w:t>
            </w:r>
          </w:p>
        </w:tc>
        <w:tc>
          <w:tcPr>
            <w:tcW w:w="177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Presupuesto aprobado 2012/13</w:t>
            </w:r>
          </w:p>
        </w:tc>
        <w:tc>
          <w:tcPr>
            <w:tcW w:w="1772"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72"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Gastos en 2012/13</w:t>
            </w:r>
          </w:p>
        </w:tc>
        <w:tc>
          <w:tcPr>
            <w:tcW w:w="1772"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Índice de utilización</w:t>
            </w:r>
          </w:p>
        </w:tc>
      </w:tr>
      <w:tr w:rsidR="009124B0" w:rsidRPr="00A34388" w:rsidTr="00730F8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Recursos de personal  </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7</w:t>
            </w:r>
            <w:r w:rsidR="007D14D3">
              <w:rPr>
                <w:sz w:val="16"/>
                <w:lang w:val="es-ES_tradnl"/>
              </w:rPr>
              <w:t>.</w:t>
            </w:r>
            <w:r w:rsidRPr="00332758">
              <w:rPr>
                <w:sz w:val="16"/>
                <w:lang w:val="es-ES_tradnl"/>
              </w:rPr>
              <w:t>554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7</w:t>
            </w:r>
            <w:r w:rsidR="007D14D3">
              <w:rPr>
                <w:sz w:val="16"/>
                <w:lang w:val="es-ES_tradnl"/>
              </w:rPr>
              <w:t>.</w:t>
            </w:r>
            <w:r w:rsidRPr="00332758">
              <w:rPr>
                <w:sz w:val="16"/>
                <w:lang w:val="es-ES_tradnl"/>
              </w:rPr>
              <w:t>237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7</w:t>
            </w:r>
            <w:r w:rsidR="007D14D3">
              <w:rPr>
                <w:sz w:val="16"/>
                <w:lang w:val="es-ES_tradnl"/>
              </w:rPr>
              <w:t>.</w:t>
            </w:r>
            <w:r w:rsidRPr="00332758">
              <w:rPr>
                <w:sz w:val="16"/>
                <w:lang w:val="es-ES_tradnl"/>
              </w:rPr>
              <w:t>237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100%</w:t>
            </w:r>
          </w:p>
        </w:tc>
      </w:tr>
      <w:tr w:rsidR="009124B0" w:rsidRPr="00A34388" w:rsidTr="00730F8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7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3</w:t>
            </w:r>
            <w:r w:rsidR="007D14D3">
              <w:rPr>
                <w:sz w:val="16"/>
                <w:lang w:val="es-ES_tradnl"/>
              </w:rPr>
              <w:t>.</w:t>
            </w:r>
            <w:r w:rsidRPr="00332758">
              <w:rPr>
                <w:sz w:val="16"/>
                <w:lang w:val="es-ES_tradnl"/>
              </w:rPr>
              <w:t>358</w:t>
            </w:r>
          </w:p>
        </w:tc>
        <w:tc>
          <w:tcPr>
            <w:tcW w:w="1772"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3</w:t>
            </w:r>
            <w:r w:rsidR="007D14D3">
              <w:rPr>
                <w:sz w:val="16"/>
                <w:lang w:val="es-ES_tradnl"/>
              </w:rPr>
              <w:t>.</w:t>
            </w:r>
            <w:r w:rsidRPr="00332758">
              <w:rPr>
                <w:sz w:val="16"/>
                <w:lang w:val="es-ES_tradnl"/>
              </w:rPr>
              <w:t>273</w:t>
            </w:r>
          </w:p>
        </w:tc>
        <w:tc>
          <w:tcPr>
            <w:tcW w:w="1772"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2</w:t>
            </w:r>
            <w:r w:rsidR="007D14D3">
              <w:rPr>
                <w:sz w:val="16"/>
                <w:lang w:val="es-ES_tradnl"/>
              </w:rPr>
              <w:t>.</w:t>
            </w:r>
            <w:r w:rsidRPr="00332758">
              <w:rPr>
                <w:sz w:val="16"/>
                <w:lang w:val="es-ES_tradnl"/>
              </w:rPr>
              <w:t>420</w:t>
            </w:r>
          </w:p>
        </w:tc>
        <w:tc>
          <w:tcPr>
            <w:tcW w:w="1772"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74%</w:t>
            </w:r>
          </w:p>
        </w:tc>
      </w:tr>
      <w:tr w:rsidR="009124B0" w:rsidRPr="00A34388" w:rsidTr="00730F8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 xml:space="preserve"> TOTAL: </w:t>
            </w:r>
          </w:p>
        </w:tc>
        <w:tc>
          <w:tcPr>
            <w:tcW w:w="177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10</w:t>
            </w:r>
            <w:r w:rsidR="007D14D3">
              <w:rPr>
                <w:b/>
                <w:sz w:val="16"/>
                <w:lang w:val="es-ES_tradnl"/>
              </w:rPr>
              <w:t>.</w:t>
            </w:r>
            <w:r w:rsidRPr="00332758">
              <w:rPr>
                <w:b/>
                <w:sz w:val="16"/>
                <w:lang w:val="es-ES_tradnl"/>
              </w:rPr>
              <w:t>912</w:t>
            </w:r>
          </w:p>
        </w:tc>
        <w:tc>
          <w:tcPr>
            <w:tcW w:w="1772"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10</w:t>
            </w:r>
            <w:r w:rsidR="007D14D3">
              <w:rPr>
                <w:b/>
                <w:sz w:val="16"/>
                <w:lang w:val="es-ES_tradnl"/>
              </w:rPr>
              <w:t>.</w:t>
            </w:r>
            <w:r w:rsidRPr="00332758">
              <w:rPr>
                <w:b/>
                <w:sz w:val="16"/>
                <w:lang w:val="es-ES_tradnl"/>
              </w:rPr>
              <w:t>510</w:t>
            </w:r>
          </w:p>
        </w:tc>
        <w:tc>
          <w:tcPr>
            <w:tcW w:w="1772"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9</w:t>
            </w:r>
            <w:r w:rsidR="007D14D3">
              <w:rPr>
                <w:b/>
                <w:sz w:val="16"/>
                <w:lang w:val="es-ES_tradnl"/>
              </w:rPr>
              <w:t>.</w:t>
            </w:r>
            <w:r w:rsidRPr="00332758">
              <w:rPr>
                <w:b/>
                <w:sz w:val="16"/>
                <w:lang w:val="es-ES_tradnl"/>
              </w:rPr>
              <w:t>657</w:t>
            </w:r>
          </w:p>
        </w:tc>
        <w:tc>
          <w:tcPr>
            <w:tcW w:w="1772"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b/>
                <w:sz w:val="16"/>
                <w:szCs w:val="16"/>
                <w:lang w:val="es-ES_tradnl"/>
              </w:rPr>
            </w:pPr>
            <w:r w:rsidRPr="00332758">
              <w:rPr>
                <w:b/>
                <w:sz w:val="16"/>
                <w:lang w:val="es-ES_tradnl"/>
              </w:rPr>
              <w:t>92%</w:t>
            </w:r>
          </w:p>
        </w:tc>
      </w:tr>
    </w:tbl>
    <w:p w:rsidR="009124B0" w:rsidRPr="00A34388" w:rsidRDefault="009124B0" w:rsidP="009124B0">
      <w:pPr>
        <w:rPr>
          <w:rFonts w:eastAsia="SimSun" w:cs="Arial"/>
          <w:szCs w:val="20"/>
          <w:lang w:val="es-ES_tradnl"/>
        </w:rPr>
      </w:pPr>
    </w:p>
    <w:p w:rsidR="009124B0" w:rsidRPr="00A34388" w:rsidRDefault="009124B0" w:rsidP="009124B0">
      <w:pPr>
        <w:keepNext/>
        <w:autoSpaceDE w:val="0"/>
        <w:autoSpaceDN w:val="0"/>
        <w:rPr>
          <w:rFonts w:cs="Arial"/>
          <w:sz w:val="16"/>
          <w:szCs w:val="16"/>
          <w:lang w:val="es-ES_tradnl"/>
        </w:rPr>
      </w:pPr>
      <w:r w:rsidRPr="00332758">
        <w:rPr>
          <w:sz w:val="16"/>
          <w:lang w:val="es-ES_tradnl"/>
        </w:rPr>
        <w:t>NOTAS:</w:t>
      </w:r>
    </w:p>
    <w:p w:rsidR="009124B0" w:rsidRPr="00A34388" w:rsidRDefault="009124B0" w:rsidP="009124B0">
      <w:pPr>
        <w:keepNext/>
        <w:autoSpaceDE w:val="0"/>
        <w:autoSpaceDN w:val="0"/>
        <w:rPr>
          <w:rFonts w:cs="Arial"/>
          <w:sz w:val="16"/>
          <w:szCs w:val="16"/>
          <w:lang w:val="es-ES_tradnl"/>
        </w:rPr>
      </w:pPr>
    </w:p>
    <w:p w:rsidR="009124B0" w:rsidRPr="00A34388" w:rsidRDefault="009124B0" w:rsidP="009124B0">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9124B0" w:rsidRPr="00A34388" w:rsidRDefault="009124B0" w:rsidP="009124B0">
      <w:pPr>
        <w:keepNext/>
        <w:autoSpaceDE w:val="0"/>
        <w:autoSpaceDN w:val="0"/>
        <w:rPr>
          <w:rFonts w:cs="Arial"/>
          <w:sz w:val="16"/>
          <w:szCs w:val="16"/>
          <w:lang w:val="es-ES_tradnl"/>
        </w:rPr>
      </w:pPr>
    </w:p>
    <w:p w:rsidR="009124B0" w:rsidRPr="00A34388" w:rsidRDefault="009124B0" w:rsidP="004C0FD5">
      <w:pPr>
        <w:keepNext/>
        <w:autoSpaceDE w:val="0"/>
        <w:autoSpaceDN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en el bienio.  </w:t>
      </w:r>
    </w:p>
    <w:p w:rsidR="009124B0" w:rsidRPr="00A34388" w:rsidRDefault="009124B0" w:rsidP="009124B0">
      <w:pPr>
        <w:rPr>
          <w:rFonts w:eastAsia="SimSun" w:cs="Arial"/>
          <w:szCs w:val="20"/>
          <w:lang w:val="es-ES_tradnl"/>
        </w:rPr>
      </w:pPr>
    </w:p>
    <w:p w:rsidR="009124B0" w:rsidRPr="00A34388" w:rsidRDefault="009124B0" w:rsidP="009124B0">
      <w:pPr>
        <w:rPr>
          <w:rFonts w:eastAsia="SimSun" w:cs="Arial"/>
          <w:szCs w:val="20"/>
          <w:lang w:val="es-ES_tradnl"/>
        </w:rPr>
      </w:pPr>
    </w:p>
    <w:p w:rsidR="009124B0" w:rsidRPr="00332758" w:rsidRDefault="009124B0" w:rsidP="009124B0">
      <w:pPr>
        <w:tabs>
          <w:tab w:val="left" w:pos="709"/>
        </w:tabs>
        <w:rPr>
          <w:rFonts w:eastAsia="SimSun"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9124B0" w:rsidRPr="00A34388" w:rsidRDefault="009124B0" w:rsidP="009124B0">
      <w:pPr>
        <w:tabs>
          <w:tab w:val="left" w:pos="709"/>
        </w:tabs>
        <w:rPr>
          <w:rFonts w:eastAsia="SimSun" w:cs="Arial"/>
          <w:szCs w:val="20"/>
          <w:lang w:val="es-ES_tradnl"/>
        </w:rPr>
      </w:pPr>
    </w:p>
    <w:p w:rsidR="009124B0" w:rsidRPr="00A34388" w:rsidRDefault="009124B0" w:rsidP="009124B0">
      <w:pPr>
        <w:keepNext/>
        <w:tabs>
          <w:tab w:val="left" w:pos="709"/>
        </w:tabs>
        <w:autoSpaceDE w:val="0"/>
        <w:autoSpaceDN w:val="0"/>
        <w:jc w:val="both"/>
        <w:rPr>
          <w:rFonts w:cs="Arial"/>
          <w:szCs w:val="20"/>
          <w:lang w:val="es-ES_tradnl"/>
        </w:rPr>
      </w:pPr>
      <w:r w:rsidRPr="00332758">
        <w:rPr>
          <w:lang w:val="es-ES_tradnl"/>
        </w:rPr>
        <w:t>20.26.</w:t>
      </w:r>
      <w:r w:rsidRPr="00A34388">
        <w:rPr>
          <w:lang w:val="es-ES_tradnl"/>
        </w:rPr>
        <w:tab/>
      </w:r>
      <w:r w:rsidRPr="00332758">
        <w:rPr>
          <w:lang w:val="es-ES_tradnl"/>
        </w:rPr>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9124B0" w:rsidRPr="00A34388" w:rsidRDefault="009124B0" w:rsidP="009124B0">
      <w:pPr>
        <w:tabs>
          <w:tab w:val="left" w:pos="709"/>
        </w:tabs>
        <w:jc w:val="both"/>
        <w:rPr>
          <w:rFonts w:eastAsia="SimSun" w:cs="Arial"/>
          <w:szCs w:val="20"/>
          <w:lang w:val="es-ES_tradnl"/>
        </w:rPr>
      </w:pPr>
    </w:p>
    <w:p w:rsidR="009124B0" w:rsidRPr="00A34388" w:rsidRDefault="009124B0" w:rsidP="009124B0">
      <w:pPr>
        <w:tabs>
          <w:tab w:val="left" w:pos="709"/>
        </w:tabs>
        <w:jc w:val="both"/>
        <w:rPr>
          <w:rFonts w:eastAsia="SimSun" w:cs="Arial"/>
          <w:szCs w:val="20"/>
          <w:lang w:val="es-ES_tradnl"/>
        </w:rPr>
      </w:pPr>
      <w:r w:rsidRPr="00A34388">
        <w:rPr>
          <w:lang w:val="es-ES_tradnl"/>
        </w:rPr>
        <w:t>20.27.</w:t>
      </w:r>
      <w:r w:rsidRPr="00A34388">
        <w:rPr>
          <w:lang w:val="es-ES_tradnl"/>
        </w:rPr>
        <w:tab/>
        <w:t xml:space="preserve">La distribución de los recursos entre los distintos resultados refleja principalmente la atención que las oficinas de la OMPI en el exterior </w:t>
      </w:r>
      <w:r w:rsidR="001C3E3B" w:rsidRPr="00A34388">
        <w:rPr>
          <w:lang w:val="es-ES_tradnl"/>
        </w:rPr>
        <w:t xml:space="preserve">prestan </w:t>
      </w:r>
      <w:r w:rsidRPr="00A34388">
        <w:rPr>
          <w:lang w:val="es-ES_tradnl"/>
        </w:rPr>
        <w:t xml:space="preserve">a las actividades de apoyo a los servicios mundiales de P.I. de la OMPI, especialmente en el marco del resultado II.1 (Utilización estratégica del PCT, con conocimiento de causa), así como un cambio de </w:t>
      </w:r>
      <w:r w:rsidR="00FB1D1B" w:rsidRPr="00A34388">
        <w:rPr>
          <w:lang w:val="es-ES_tradnl"/>
        </w:rPr>
        <w:t xml:space="preserve">orientación dirigido a </w:t>
      </w:r>
      <w:r w:rsidRPr="00A34388">
        <w:rPr>
          <w:lang w:val="es-ES_tradnl"/>
        </w:rPr>
        <w:t xml:space="preserve">movilizar recursos extrapresupuestarios en el marco del resultado III.10 (Aumento de los recursos extrapresupuestarios).  </w:t>
      </w:r>
    </w:p>
    <w:p w:rsidR="009124B0" w:rsidRPr="00A34388" w:rsidRDefault="009124B0" w:rsidP="009124B0">
      <w:pPr>
        <w:tabs>
          <w:tab w:val="left" w:pos="709"/>
        </w:tabs>
        <w:jc w:val="both"/>
        <w:rPr>
          <w:rFonts w:eastAsia="SimSun" w:cs="Arial"/>
          <w:szCs w:val="20"/>
          <w:lang w:val="es-ES_tradnl"/>
        </w:rPr>
      </w:pPr>
    </w:p>
    <w:p w:rsidR="009124B0" w:rsidRPr="00A34388" w:rsidRDefault="009124B0" w:rsidP="009124B0">
      <w:pPr>
        <w:tabs>
          <w:tab w:val="left" w:pos="709"/>
        </w:tabs>
        <w:jc w:val="both"/>
        <w:rPr>
          <w:rFonts w:eastAsia="SimSun" w:cs="Arial"/>
          <w:szCs w:val="20"/>
          <w:u w:val="single"/>
          <w:lang w:val="es-ES_tradnl"/>
        </w:rPr>
      </w:pPr>
      <w:r w:rsidRPr="00A34388">
        <w:rPr>
          <w:lang w:val="es-ES_tradnl"/>
        </w:rPr>
        <w:t>B.</w:t>
      </w:r>
      <w:r w:rsidR="007A5D70" w:rsidRPr="00A34388">
        <w:rPr>
          <w:lang w:val="es-ES_tradnl"/>
        </w:rPr>
        <w:t xml:space="preserve"> </w:t>
      </w:r>
      <w:r w:rsidR="007A5D70" w:rsidRPr="00A34388">
        <w:rPr>
          <w:lang w:val="es-ES_tradnl"/>
        </w:rPr>
        <w:tab/>
      </w:r>
      <w:r w:rsidRPr="00A34388">
        <w:rPr>
          <w:u w:val="single"/>
          <w:lang w:val="es-ES_tradnl"/>
        </w:rPr>
        <w:t>Utilización del presupuesto</w:t>
      </w:r>
      <w:r w:rsidR="008635F3" w:rsidRPr="00A34388">
        <w:rPr>
          <w:u w:val="single"/>
          <w:lang w:val="es-ES_tradnl"/>
        </w:rPr>
        <w:t xml:space="preserve"> en </w:t>
      </w:r>
      <w:r w:rsidRPr="00A34388">
        <w:rPr>
          <w:u w:val="single"/>
          <w:lang w:val="es-ES_tradnl"/>
        </w:rPr>
        <w:t>2012/13</w:t>
      </w:r>
    </w:p>
    <w:p w:rsidR="009124B0" w:rsidRPr="00A34388" w:rsidRDefault="009124B0" w:rsidP="009124B0">
      <w:pPr>
        <w:tabs>
          <w:tab w:val="left" w:pos="709"/>
        </w:tabs>
        <w:jc w:val="both"/>
        <w:rPr>
          <w:rFonts w:eastAsia="SimSun" w:cs="Arial"/>
          <w:szCs w:val="20"/>
          <w:u w:val="single"/>
          <w:lang w:val="es-ES_tradnl"/>
        </w:rPr>
      </w:pPr>
    </w:p>
    <w:p w:rsidR="009124B0" w:rsidRPr="00A34388" w:rsidRDefault="009124B0" w:rsidP="009124B0">
      <w:pPr>
        <w:tabs>
          <w:tab w:val="left" w:pos="709"/>
        </w:tabs>
        <w:jc w:val="both"/>
        <w:rPr>
          <w:rFonts w:eastAsia="SimSun" w:cs="Arial"/>
          <w:szCs w:val="20"/>
          <w:lang w:val="es-ES_tradnl"/>
        </w:rPr>
      </w:pPr>
      <w:r w:rsidRPr="00A34388">
        <w:rPr>
          <w:lang w:val="es-ES_tradnl"/>
        </w:rPr>
        <w:t>20.28.</w:t>
      </w:r>
      <w:r w:rsidRPr="00A34388">
        <w:rPr>
          <w:lang w:val="es-ES_tradnl"/>
        </w:rPr>
        <w:tab/>
        <w:t xml:space="preserve">La utilización del presupuesto del 74% </w:t>
      </w:r>
      <w:r w:rsidR="004E328E" w:rsidRPr="00A34388">
        <w:rPr>
          <w:lang w:val="es-ES_tradnl"/>
        </w:rPr>
        <w:t xml:space="preserve">responde </w:t>
      </w:r>
      <w:r w:rsidRPr="00A34388">
        <w:rPr>
          <w:lang w:val="es-ES_tradnl"/>
        </w:rPr>
        <w:t xml:space="preserve">principalmente a: </w:t>
      </w:r>
    </w:p>
    <w:p w:rsidR="009124B0" w:rsidRPr="00A34388" w:rsidRDefault="009124B0" w:rsidP="009124B0">
      <w:pPr>
        <w:tabs>
          <w:tab w:val="left" w:pos="709"/>
        </w:tabs>
        <w:jc w:val="both"/>
        <w:rPr>
          <w:rFonts w:eastAsia="SimSun" w:cs="Arial"/>
          <w:szCs w:val="20"/>
          <w:lang w:val="es-ES_tradnl"/>
        </w:rPr>
      </w:pPr>
    </w:p>
    <w:p w:rsidR="009124B0" w:rsidRPr="00A34388" w:rsidRDefault="009124B0" w:rsidP="009124B0">
      <w:pPr>
        <w:tabs>
          <w:tab w:val="left" w:pos="709"/>
          <w:tab w:val="left" w:pos="1134"/>
        </w:tabs>
        <w:ind w:left="1134" w:hanging="425"/>
        <w:jc w:val="both"/>
        <w:rPr>
          <w:rFonts w:cs="Arial"/>
          <w:color w:val="000000"/>
          <w:szCs w:val="20"/>
          <w:lang w:val="es-ES_tradnl"/>
        </w:rPr>
      </w:pPr>
      <w:r w:rsidRPr="00A34388">
        <w:rPr>
          <w:lang w:val="es-ES_tradnl"/>
        </w:rPr>
        <w:t xml:space="preserve">i) </w:t>
      </w:r>
      <w:r w:rsidRPr="00A34388">
        <w:rPr>
          <w:lang w:val="es-ES_tradnl"/>
        </w:rPr>
        <w:tab/>
        <w:t>la movilización de recursos extrapresupuestarios en el marco del resultado III.10 (Aumento de los recursos extrapresupuestarios)</w:t>
      </w:r>
      <w:r w:rsidRPr="00A34388">
        <w:rPr>
          <w:color w:val="000000"/>
          <w:lang w:val="es-ES_tradnl"/>
        </w:rPr>
        <w:t xml:space="preserve">:  cambio en </w:t>
      </w:r>
      <w:r w:rsidR="00FB1D1B" w:rsidRPr="00A34388">
        <w:rPr>
          <w:color w:val="000000"/>
          <w:lang w:val="es-ES_tradnl"/>
        </w:rPr>
        <w:t xml:space="preserve">la orientación y </w:t>
      </w:r>
      <w:r w:rsidRPr="00A34388">
        <w:rPr>
          <w:color w:val="000000"/>
          <w:lang w:val="es-ES_tradnl"/>
        </w:rPr>
        <w:t xml:space="preserve">el enfoque </w:t>
      </w:r>
      <w:r w:rsidR="00FB1D1B" w:rsidRPr="00A34388">
        <w:rPr>
          <w:color w:val="000000"/>
          <w:lang w:val="es-ES_tradnl"/>
        </w:rPr>
        <w:t xml:space="preserve">aplicados a </w:t>
      </w:r>
      <w:r w:rsidRPr="00A34388">
        <w:rPr>
          <w:color w:val="000000"/>
          <w:lang w:val="es-ES_tradnl"/>
        </w:rPr>
        <w:t xml:space="preserve">la movilización de recursos con </w:t>
      </w:r>
      <w:r w:rsidR="001C3E3B" w:rsidRPr="00A34388">
        <w:rPr>
          <w:color w:val="000000"/>
          <w:lang w:val="es-ES_tradnl"/>
        </w:rPr>
        <w:t xml:space="preserve">el </w:t>
      </w:r>
      <w:r w:rsidR="004E328E" w:rsidRPr="00A34388">
        <w:rPr>
          <w:color w:val="000000"/>
          <w:lang w:val="es-ES_tradnl"/>
        </w:rPr>
        <w:t xml:space="preserve">resultado </w:t>
      </w:r>
      <w:r w:rsidR="001C3E3B" w:rsidRPr="00A34388">
        <w:rPr>
          <w:color w:val="000000"/>
          <w:lang w:val="es-ES_tradnl"/>
        </w:rPr>
        <w:t>de una reducción del gasto</w:t>
      </w:r>
      <w:r w:rsidRPr="00A34388">
        <w:rPr>
          <w:color w:val="000000"/>
          <w:lang w:val="es-ES_tradnl"/>
        </w:rPr>
        <w:t>;  y</w:t>
      </w:r>
    </w:p>
    <w:p w:rsidR="009124B0" w:rsidRPr="00A34388" w:rsidRDefault="009124B0" w:rsidP="009124B0">
      <w:pPr>
        <w:tabs>
          <w:tab w:val="left" w:pos="709"/>
          <w:tab w:val="left" w:pos="1134"/>
        </w:tabs>
        <w:ind w:left="1134" w:hanging="425"/>
        <w:jc w:val="both"/>
        <w:rPr>
          <w:rFonts w:cs="Arial"/>
          <w:color w:val="000000"/>
          <w:szCs w:val="20"/>
          <w:lang w:val="es-ES_tradnl"/>
        </w:rPr>
      </w:pPr>
    </w:p>
    <w:p w:rsidR="009124B0" w:rsidRPr="00A34388" w:rsidRDefault="009124B0" w:rsidP="009124B0">
      <w:pPr>
        <w:tabs>
          <w:tab w:val="left" w:pos="709"/>
          <w:tab w:val="left" w:pos="1134"/>
        </w:tabs>
        <w:ind w:left="1134" w:hanging="425"/>
        <w:jc w:val="both"/>
        <w:rPr>
          <w:rFonts w:eastAsia="SimSun" w:cs="Arial"/>
          <w:szCs w:val="20"/>
          <w:u w:val="single"/>
          <w:lang w:val="es-ES_tradnl"/>
        </w:rPr>
      </w:pPr>
      <w:r w:rsidRPr="00A34388">
        <w:rPr>
          <w:color w:val="000000"/>
          <w:lang w:val="es-ES_tradnl"/>
        </w:rPr>
        <w:t>ii)</w:t>
      </w:r>
      <w:r w:rsidRPr="00A34388">
        <w:rPr>
          <w:lang w:val="es-ES_tradnl"/>
        </w:rPr>
        <w:t xml:space="preserve"> </w:t>
      </w:r>
      <w:r w:rsidRPr="00A34388">
        <w:rPr>
          <w:lang w:val="es-ES_tradnl"/>
        </w:rPr>
        <w:tab/>
      </w:r>
      <w:r w:rsidR="00F76812" w:rsidRPr="00A34388">
        <w:rPr>
          <w:lang w:val="es-ES_tradnl"/>
        </w:rPr>
        <w:t xml:space="preserve">los </w:t>
      </w:r>
      <w:r w:rsidRPr="00A34388">
        <w:rPr>
          <w:lang w:val="es-ES_tradnl"/>
        </w:rPr>
        <w:t>compromiso</w:t>
      </w:r>
      <w:r w:rsidR="00F76812" w:rsidRPr="00A34388">
        <w:rPr>
          <w:lang w:val="es-ES_tradnl"/>
        </w:rPr>
        <w:t>s</w:t>
      </w:r>
      <w:r w:rsidRPr="00A34388">
        <w:rPr>
          <w:lang w:val="es-ES_tradnl"/>
        </w:rPr>
        <w:t xml:space="preserve"> con las NN.UU. y otras organizaciones intergubernamentales y no gubernamentales </w:t>
      </w:r>
      <w:r w:rsidR="00F76812" w:rsidRPr="00A34388">
        <w:rPr>
          <w:lang w:val="es-ES_tradnl"/>
        </w:rPr>
        <w:t xml:space="preserve">reflejados </w:t>
      </w:r>
      <w:r w:rsidRPr="00A34388">
        <w:rPr>
          <w:lang w:val="es-ES_tradnl"/>
        </w:rPr>
        <w:t>en los resultados VIII.3 (</w:t>
      </w:r>
      <w:r w:rsidRPr="00A34388">
        <w:rPr>
          <w:color w:val="000000"/>
          <w:lang w:val="es-ES_tradnl"/>
        </w:rPr>
        <w:t xml:space="preserve">La OMPI participa y colabora eficazmente en los procesos de las NN.UU. y otras OIG) y VIII.4 (Intercambios abiertos, transparentes y dinámicos con las ONG):  </w:t>
      </w:r>
      <w:r w:rsidR="00F76812" w:rsidRPr="00A34388">
        <w:rPr>
          <w:color w:val="000000"/>
          <w:lang w:val="es-ES_tradnl"/>
        </w:rPr>
        <w:t xml:space="preserve">desfases </w:t>
      </w:r>
      <w:r w:rsidRPr="00A34388">
        <w:rPr>
          <w:color w:val="000000"/>
          <w:lang w:val="es-ES_tradnl"/>
        </w:rPr>
        <w:t xml:space="preserve">en la </w:t>
      </w:r>
      <w:r w:rsidR="00F76812" w:rsidRPr="00A34388">
        <w:rPr>
          <w:color w:val="000000"/>
          <w:lang w:val="es-ES_tradnl"/>
        </w:rPr>
        <w:t xml:space="preserve">dotación de personal </w:t>
      </w:r>
      <w:r w:rsidRPr="00A34388">
        <w:rPr>
          <w:color w:val="000000"/>
          <w:lang w:val="es-ES_tradnl"/>
        </w:rPr>
        <w:t>durante la primera mitad del bienio, que afectaron a la</w:t>
      </w:r>
      <w:r w:rsidR="00F76812" w:rsidRPr="00A34388">
        <w:rPr>
          <w:color w:val="000000"/>
          <w:lang w:val="es-ES_tradnl"/>
        </w:rPr>
        <w:t xml:space="preserve"> ejecución</w:t>
      </w:r>
      <w:r w:rsidRPr="00A34388">
        <w:rPr>
          <w:color w:val="000000"/>
          <w:lang w:val="es-ES_tradnl"/>
        </w:rPr>
        <w:t>.</w:t>
      </w:r>
    </w:p>
    <w:p w:rsidR="009124B0" w:rsidRPr="00A34388" w:rsidRDefault="009124B0" w:rsidP="009124B0">
      <w:pPr>
        <w:tabs>
          <w:tab w:val="left" w:pos="709"/>
        </w:tabs>
        <w:autoSpaceDE w:val="0"/>
        <w:autoSpaceDN w:val="0"/>
        <w:adjustRightInd w:val="0"/>
        <w:jc w:val="both"/>
        <w:rPr>
          <w:rFonts w:eastAsia="SimSun"/>
          <w:color w:val="000000"/>
          <w:szCs w:val="20"/>
          <w:lang w:val="es-ES_tradnl"/>
        </w:rPr>
      </w:pPr>
    </w:p>
    <w:p w:rsidR="009124B0" w:rsidRPr="00A34388" w:rsidRDefault="009124B0" w:rsidP="009124B0">
      <w:pPr>
        <w:rPr>
          <w:rFonts w:eastAsia="SimSun"/>
          <w:color w:val="000000"/>
          <w:szCs w:val="20"/>
          <w:lang w:val="es-ES_tradnl"/>
        </w:rPr>
      </w:pPr>
      <w:r w:rsidRPr="00A34388">
        <w:rPr>
          <w:lang w:val="es-ES_tradnl"/>
        </w:rPr>
        <w:br w:type="page"/>
      </w:r>
    </w:p>
    <w:p w:rsidR="00F90BD6" w:rsidRPr="003934C8" w:rsidRDefault="00F90BD6" w:rsidP="00F90BD6">
      <w:pPr>
        <w:pStyle w:val="Heading2"/>
        <w:rPr>
          <w:lang w:val="es-ES"/>
        </w:rPr>
      </w:pPr>
      <w:bookmarkStart w:id="83" w:name="_Toc392852662"/>
      <w:bookmarkStart w:id="84" w:name="_Toc395279681"/>
      <w:r w:rsidRPr="00332758">
        <w:rPr>
          <w:lang w:val="es-ES_tradnl"/>
        </w:rPr>
        <w:lastRenderedPageBreak/>
        <w:t>META ESTRATÉGICA IX</w:t>
      </w:r>
      <w:r w:rsidRPr="00332758">
        <w:rPr>
          <w:lang w:val="es-ES_tradnl"/>
        </w:rPr>
        <w:br/>
      </w:r>
      <w:r w:rsidRPr="00332758">
        <w:rPr>
          <w:lang w:val="es-ES_tradnl"/>
        </w:rPr>
        <w:br/>
      </w:r>
      <w:r w:rsidRPr="003934C8">
        <w:rPr>
          <w:lang w:val="es-ES"/>
        </w:rPr>
        <w:t>Apoyo administrativo y financiero eficiente</w:t>
      </w:r>
      <w:bookmarkEnd w:id="83"/>
      <w:bookmarkEnd w:id="84"/>
    </w:p>
    <w:p w:rsidR="009124B0" w:rsidRPr="00F90BD6" w:rsidRDefault="009124B0" w:rsidP="009124B0">
      <w:pPr>
        <w:rPr>
          <w:lang w:val="es-ES"/>
        </w:rPr>
      </w:pPr>
    </w:p>
    <w:p w:rsidR="009124B0" w:rsidRPr="00A34388" w:rsidRDefault="009124B0" w:rsidP="009124B0">
      <w:pPr>
        <w:jc w:val="center"/>
        <w:rPr>
          <w:lang w:val="es-ES_tradnl"/>
        </w:rPr>
      </w:pPr>
    </w:p>
    <w:p w:rsidR="009124B0" w:rsidRPr="00A34388" w:rsidRDefault="009124B0" w:rsidP="009124B0">
      <w:pPr>
        <w:jc w:val="center"/>
        <w:rPr>
          <w:szCs w:val="20"/>
          <w:lang w:val="es-ES_tradnl"/>
        </w:rPr>
      </w:pPr>
      <w:r w:rsidRPr="00332758">
        <w:rPr>
          <w:lang w:val="es-ES_tradnl"/>
        </w:rPr>
        <w:t>CUADRO SOBRE EL RENDIMIENTO BIENAL</w:t>
      </w:r>
    </w:p>
    <w:p w:rsidR="009124B0" w:rsidRPr="00A34388" w:rsidRDefault="009124B0" w:rsidP="009124B0">
      <w:pPr>
        <w:jc w:val="center"/>
        <w:rPr>
          <w:lang w:val="es-ES_tradnl"/>
        </w:rPr>
      </w:pPr>
    </w:p>
    <w:p w:rsidR="009124B0" w:rsidRPr="00A34388" w:rsidRDefault="009124B0" w:rsidP="009124B0">
      <w:pPr>
        <w:autoSpaceDE w:val="0"/>
        <w:autoSpaceDN w:val="0"/>
        <w:adjustRightInd w:val="0"/>
        <w:jc w:val="both"/>
        <w:rPr>
          <w:rFonts w:cs="Arial"/>
          <w:lang w:val="es-ES_tradnl"/>
        </w:rPr>
      </w:pPr>
      <w:r w:rsidRPr="00A34388">
        <w:rPr>
          <w:rFonts w:cs="Arial"/>
          <w:lang w:val="es-ES_tradnl"/>
        </w:rPr>
        <w:t>En el siguiente cuadro se incluye una reseña general de la consecución de los resultados previstos en el bienio 2012/13 medidos por los indicadores relativos a los programas que contribuyen a esta meta estratégica</w:t>
      </w:r>
      <w:r w:rsidRPr="00A34388">
        <w:rPr>
          <w:lang w:val="es-ES_tradnl"/>
        </w:rPr>
        <w:t xml:space="preserve">. </w:t>
      </w:r>
    </w:p>
    <w:p w:rsidR="009124B0" w:rsidRDefault="009124B0" w:rsidP="009124B0">
      <w:pPr>
        <w:autoSpaceDE w:val="0"/>
        <w:autoSpaceDN w:val="0"/>
        <w:adjustRightInd w:val="0"/>
        <w:jc w:val="both"/>
        <w:rPr>
          <w:rFonts w:cs="Arial"/>
          <w:lang w:val="es-ES_tradnl"/>
        </w:rPr>
      </w:pPr>
    </w:p>
    <w:p w:rsidR="00672C0F" w:rsidRDefault="00672C0F" w:rsidP="00672C0F">
      <w:pPr>
        <w:autoSpaceDE w:val="0"/>
        <w:autoSpaceDN w:val="0"/>
        <w:adjustRightInd w:val="0"/>
        <w:jc w:val="center"/>
        <w:rPr>
          <w:rFonts w:cs="Arial"/>
          <w:lang w:val="es-ES_tradnl"/>
        </w:rPr>
      </w:pPr>
      <w:r>
        <w:rPr>
          <w:rFonts w:cs="Arial"/>
          <w:noProof/>
        </w:rPr>
        <w:drawing>
          <wp:inline distT="0" distB="0" distL="0" distR="0" wp14:anchorId="3C4455CB" wp14:editId="249C2038">
            <wp:extent cx="4711610" cy="2223820"/>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13842" cy="2224874"/>
                    </a:xfrm>
                    <a:prstGeom prst="rect">
                      <a:avLst/>
                    </a:prstGeom>
                    <a:noFill/>
                  </pic:spPr>
                </pic:pic>
              </a:graphicData>
            </a:graphic>
          </wp:inline>
        </w:drawing>
      </w:r>
    </w:p>
    <w:p w:rsidR="00672C0F" w:rsidRPr="00A34388" w:rsidRDefault="00672C0F" w:rsidP="009124B0">
      <w:pPr>
        <w:autoSpaceDE w:val="0"/>
        <w:autoSpaceDN w:val="0"/>
        <w:adjustRightInd w:val="0"/>
        <w:jc w:val="both"/>
        <w:rPr>
          <w:rFonts w:cs="Arial"/>
          <w:lang w:val="es-ES_tradnl"/>
        </w:rPr>
      </w:pPr>
    </w:p>
    <w:p w:rsidR="009124B0" w:rsidRPr="00A34388" w:rsidRDefault="009124B0" w:rsidP="009124B0">
      <w:pPr>
        <w:tabs>
          <w:tab w:val="left" w:pos="0"/>
        </w:tabs>
        <w:rPr>
          <w:rFonts w:cs="Arial"/>
          <w:i/>
          <w:lang w:val="es-ES_tradnl"/>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9124B0" w:rsidRPr="00A34388" w:rsidTr="00D2238E">
        <w:trPr>
          <w:cantSplit/>
          <w:tblHeader/>
        </w:trPr>
        <w:tc>
          <w:tcPr>
            <w:tcW w:w="2987" w:type="dxa"/>
            <w:tcBorders>
              <w:top w:val="single" w:sz="4" w:space="0" w:color="auto"/>
              <w:bottom w:val="single" w:sz="4" w:space="0" w:color="auto"/>
            </w:tcBorders>
            <w:shd w:val="clear" w:color="auto" w:fill="CCFFFF"/>
            <w:vAlign w:val="center"/>
          </w:tcPr>
          <w:p w:rsidR="009124B0" w:rsidRPr="00A34388" w:rsidRDefault="009124B0" w:rsidP="00730F86">
            <w:pPr>
              <w:spacing w:before="120" w:after="120"/>
              <w:jc w:val="center"/>
              <w:rPr>
                <w:rFonts w:cs="Arial"/>
                <w:b/>
                <w:bCs/>
                <w:color w:val="808080"/>
                <w:sz w:val="14"/>
                <w:szCs w:val="14"/>
                <w:lang w:val="es-ES_tradnl"/>
              </w:rPr>
            </w:pPr>
            <w:r w:rsidRPr="00332758">
              <w:rPr>
                <w:b/>
                <w:sz w:val="14"/>
                <w:lang w:val="es-ES_tradnl"/>
              </w:rPr>
              <w:t>Resultados previstos</w:t>
            </w:r>
          </w:p>
        </w:tc>
        <w:tc>
          <w:tcPr>
            <w:tcW w:w="3799" w:type="dxa"/>
            <w:tcBorders>
              <w:top w:val="single" w:sz="4" w:space="0" w:color="auto"/>
              <w:bottom w:val="single" w:sz="4" w:space="0" w:color="auto"/>
            </w:tcBorders>
            <w:shd w:val="clear" w:color="auto" w:fill="CCFFFF"/>
            <w:vAlign w:val="center"/>
          </w:tcPr>
          <w:p w:rsidR="009124B0" w:rsidRPr="00A34388" w:rsidRDefault="009124B0" w:rsidP="00730F86">
            <w:pPr>
              <w:spacing w:before="120" w:after="120"/>
              <w:jc w:val="center"/>
              <w:rPr>
                <w:rFonts w:cs="Arial"/>
                <w:b/>
                <w:bCs/>
                <w:color w:val="808080"/>
                <w:sz w:val="14"/>
                <w:szCs w:val="14"/>
                <w:lang w:val="es-ES_tradnl"/>
              </w:rPr>
            </w:pPr>
            <w:r w:rsidRPr="00332758">
              <w:rPr>
                <w:b/>
                <w:sz w:val="14"/>
                <w:lang w:val="es-ES_tradnl"/>
              </w:rPr>
              <w:t>Indicadores de rendimiento</w:t>
            </w:r>
          </w:p>
        </w:tc>
        <w:tc>
          <w:tcPr>
            <w:tcW w:w="1417" w:type="dxa"/>
            <w:tcBorders>
              <w:top w:val="single" w:sz="4" w:space="0" w:color="auto"/>
              <w:bottom w:val="single" w:sz="4" w:space="0" w:color="auto"/>
            </w:tcBorders>
            <w:shd w:val="clear" w:color="auto" w:fill="CCFFFF"/>
            <w:vAlign w:val="center"/>
          </w:tcPr>
          <w:p w:rsidR="009124B0" w:rsidRPr="00A34388" w:rsidRDefault="009124B0" w:rsidP="00730F86">
            <w:pPr>
              <w:spacing w:before="120" w:after="120"/>
              <w:jc w:val="center"/>
              <w:rPr>
                <w:rFonts w:cs="Arial"/>
                <w:b/>
                <w:bCs/>
                <w:color w:val="808080"/>
                <w:sz w:val="14"/>
                <w:szCs w:val="14"/>
                <w:lang w:val="es-ES_tradnl"/>
              </w:rPr>
            </w:pPr>
            <w:r w:rsidRPr="00332758">
              <w:rPr>
                <w:b/>
                <w:sz w:val="14"/>
                <w:lang w:val="es-ES_tradnl"/>
              </w:rPr>
              <w:t>Programas responsables</w:t>
            </w:r>
          </w:p>
        </w:tc>
        <w:tc>
          <w:tcPr>
            <w:tcW w:w="1163" w:type="dxa"/>
            <w:tcBorders>
              <w:top w:val="single" w:sz="4" w:space="0" w:color="auto"/>
              <w:bottom w:val="single" w:sz="4" w:space="0" w:color="auto"/>
            </w:tcBorders>
            <w:shd w:val="clear" w:color="auto" w:fill="CCFFFF"/>
            <w:vAlign w:val="center"/>
          </w:tcPr>
          <w:p w:rsidR="009124B0" w:rsidRPr="00D2238E" w:rsidRDefault="009124B0" w:rsidP="00730F86">
            <w:pPr>
              <w:spacing w:before="120" w:after="120"/>
              <w:jc w:val="center"/>
              <w:rPr>
                <w:b/>
                <w:sz w:val="14"/>
                <w:lang w:val="es-ES_tradnl"/>
              </w:rPr>
            </w:pPr>
            <w:r w:rsidRPr="00332758">
              <w:rPr>
                <w:b/>
                <w:sz w:val="14"/>
                <w:lang w:val="es-ES_tradnl"/>
              </w:rPr>
              <w:t>Clave de colores</w:t>
            </w:r>
          </w:p>
        </w:tc>
      </w:tr>
      <w:tr w:rsidR="009124B0" w:rsidRPr="00A34388" w:rsidTr="00D2238E">
        <w:trPr>
          <w:cantSplit/>
        </w:trPr>
        <w:tc>
          <w:tcPr>
            <w:tcW w:w="2987" w:type="dxa"/>
            <w:vMerge w:val="restart"/>
            <w:tcBorders>
              <w:top w:val="single" w:sz="4" w:space="0" w:color="auto"/>
            </w:tcBorders>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3799" w:type="dxa"/>
            <w:tcBorders>
              <w:top w:val="single" w:sz="4" w:space="0" w:color="auto"/>
            </w:tcBorders>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Disminución de los costos de adquisición de productos y servicios por la OMPI (derivada de invitaciones a presentar ofertas, negociaciones o prácticas de globalización de las Naciones Unidas).</w:t>
            </w:r>
          </w:p>
        </w:tc>
        <w:tc>
          <w:tcPr>
            <w:tcW w:w="1417" w:type="dxa"/>
            <w:tcBorders>
              <w:top w:val="single" w:sz="4" w:space="0" w:color="auto"/>
            </w:tcBorders>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single" w:sz="4" w:space="0" w:color="auto"/>
              <w:bottom w:val="nil"/>
            </w:tcBorders>
            <w:shd w:val="clear" w:color="auto" w:fill="auto"/>
          </w:tcPr>
          <w:p w:rsidR="009124B0" w:rsidRPr="00A34388" w:rsidRDefault="009124B0" w:rsidP="00730F86">
            <w:pPr>
              <w:spacing w:before="20"/>
              <w:jc w:val="center"/>
              <w:rPr>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usuarios internos satisfechos con los servicios de adquisiciones.</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bottom w:val="nil"/>
            </w:tcBorders>
            <w:shd w:val="clear" w:color="auto" w:fill="auto"/>
          </w:tcPr>
          <w:p w:rsidR="009124B0" w:rsidRPr="00D2238E" w:rsidRDefault="009124B0" w:rsidP="00730F86">
            <w:pPr>
              <w:jc w:val="center"/>
              <w:rPr>
                <w:rFonts w:cs="Arial"/>
                <w:color w:val="A6A6A6" w:themeColor="background1" w:themeShade="A6"/>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gastos efectuados con arreglo a las prácticas vigentes en NN.UU.</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bottom w:val="nil"/>
            </w:tcBorders>
            <w:shd w:val="clear" w:color="auto" w:fill="auto"/>
          </w:tcPr>
          <w:p w:rsidR="009124B0" w:rsidRPr="00D2238E" w:rsidRDefault="009124B0" w:rsidP="00730F86">
            <w:pPr>
              <w:jc w:val="center"/>
              <w:rPr>
                <w:rFonts w:cs="Arial"/>
                <w:color w:val="A6A6A6" w:themeColor="background1" w:themeShade="A6"/>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Tiempo de tramitación de las autorizaciones electrónicas de viaje (e-TA) y peticiones electrónicas de actividades (e-ER) (condicionado al cumplimiento del plazo previsto).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r w:rsidRPr="00A34388">
              <w:rPr>
                <w:sz w:val="14"/>
                <w:lang w:val="es-ES_tradnl"/>
              </w:rPr>
              <w:t xml:space="preserve"> </w:t>
            </w:r>
          </w:p>
        </w:tc>
        <w:tc>
          <w:tcPr>
            <w:tcW w:w="1163" w:type="dxa"/>
            <w:tcBorders>
              <w:top w:val="nil"/>
            </w:tcBorders>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Tiempo de tramitación de visados para terceros.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bottom w:val="nil"/>
            </w:tcBorders>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Reducción de los costos de viaje gracias a las conferencias electrónicas y las videoconferencias.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bottom w:val="nil"/>
            </w:tcBorders>
            <w:shd w:val="clear" w:color="auto" w:fill="auto"/>
          </w:tcPr>
          <w:p w:rsidR="009124B0" w:rsidRPr="00A34388" w:rsidRDefault="009124B0" w:rsidP="00730F86">
            <w:pPr>
              <w:jc w:val="center"/>
              <w:rPr>
                <w:color w:val="008000"/>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Menos tiempo desde el inicio hasta la finalización de las transacciones ordinarias relativas a los recursos humanos (subsidio de educación y subsidio por mantenimiento).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tcBorders>
              <w:top w:val="nil"/>
            </w:tcBorders>
            <w:shd w:val="clear" w:color="auto" w:fill="auto"/>
          </w:tcPr>
          <w:p w:rsidR="009124B0" w:rsidRPr="00A34388" w:rsidRDefault="009124B0" w:rsidP="00730F86">
            <w:pPr>
              <w:spacing w:before="20"/>
              <w:jc w:val="center"/>
              <w:rPr>
                <w:rFonts w:cs="Arial"/>
                <w:color w:val="FF0000"/>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Relación entre el número de empleados (equivalentes en jornadas completas) y el personal de recursos humanos.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spacing w:before="20"/>
              <w:jc w:val="center"/>
              <w:rPr>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miembros del personal satisfechos con los servicios de recursos humanos.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Índice de productividad para los cálculos, la introducción de datos, así como para la compilación y el suministro de estadísticas (distribución del correo).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lotes de ayuda del PCT en papel o en formato electrónico transmitidos en el plazo previsto.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notificaciones del Sistema de Madrid en papel transmitidas en el plazo previsto.</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la base Romarin del Sistema de Madrid disponible por Internet en el plazo previsto.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sz w:val="22"/>
                <w:szCs w:val="22"/>
                <w:lang w:val="es-ES_tradnl"/>
              </w:rPr>
            </w:pPr>
            <w:r w:rsidRPr="00A34388">
              <w:rPr>
                <w:rFonts w:cs="Arial"/>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usuarios internos y externos satisfechos con los servicios de conferencias de la OMPI.</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Normas de productividad de la traducción y costo por página traducida.</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Adopción de una amplia política lingüística por los Estados miembros con la dotación de recursos necesarios.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27</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Subcontratación de la operación y la provisión de la infraestructura de T.I.</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Acceso a las reuniones de la OMPI por Internet en tiempo real o en diferido.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Número de medios de comunicación perfectamente integrados.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Alquiler de espacios de trabajo adicionales e instalaciones conexas (sobre la base del mismo número de empleados de nómina registrado a fines de 2011).</w:t>
            </w:r>
          </w:p>
          <w:p w:rsidR="009124B0" w:rsidRPr="00A34388" w:rsidRDefault="009124B0" w:rsidP="00730F86">
            <w:pPr>
              <w:spacing w:before="80"/>
              <w:rPr>
                <w:rFonts w:cs="Arial"/>
                <w:sz w:val="14"/>
                <w:szCs w:val="14"/>
                <w:lang w:val="es-ES_tradnl"/>
              </w:rPr>
            </w:pP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bottom w:val="nil"/>
            </w:tcBorders>
            <w:shd w:val="clear" w:color="auto" w:fill="auto"/>
          </w:tcPr>
          <w:p w:rsidR="009124B0" w:rsidRPr="00A34388" w:rsidRDefault="009124B0" w:rsidP="00730F86">
            <w:pPr>
              <w:jc w:val="center"/>
              <w:rPr>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Número de instalaciones técnicas principales (eléctricas, sanitarias, calefacción y refrigeración) que sido objeto de mejoras conforme a las normas aplicables (por definir).</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r w:rsidRPr="00A34388">
              <w:rPr>
                <w:sz w:val="14"/>
                <w:lang w:val="es-ES_tradnl"/>
              </w:rPr>
              <w:t xml:space="preserve"> </w:t>
            </w:r>
          </w:p>
        </w:tc>
        <w:tc>
          <w:tcPr>
            <w:tcW w:w="1163" w:type="dxa"/>
            <w:tcBorders>
              <w:top w:val="nil"/>
              <w:bottom w:val="nil"/>
            </w:tcBorders>
            <w:shd w:val="clear" w:color="auto" w:fill="auto"/>
          </w:tcPr>
          <w:p w:rsidR="009124B0" w:rsidRPr="00A34388" w:rsidRDefault="009124B0" w:rsidP="00730F86">
            <w:pPr>
              <w:jc w:val="center"/>
              <w:rPr>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keepNext/>
              <w:keepLines/>
              <w:spacing w:before="80"/>
              <w:rPr>
                <w:rFonts w:cs="Arial"/>
                <w:sz w:val="14"/>
                <w:szCs w:val="14"/>
                <w:lang w:val="es-ES_tradnl"/>
              </w:rPr>
            </w:pPr>
            <w:r w:rsidRPr="00332758">
              <w:rPr>
                <w:sz w:val="14"/>
                <w:lang w:val="es-ES_tradnl"/>
              </w:rPr>
              <w:t>Las inversiones en TIC están estrechamente vinculadas a las prioridades estratégicas y rinden beneficios a la Organización</w:t>
            </w:r>
            <w:r w:rsidRPr="00A34388">
              <w:rPr>
                <w:color w:val="FF00FF"/>
                <w:sz w:val="14"/>
                <w:lang w:val="es-ES_tradnl"/>
              </w:rPr>
              <w:t>.</w:t>
            </w:r>
          </w:p>
        </w:tc>
        <w:tc>
          <w:tcPr>
            <w:tcW w:w="3799" w:type="dxa"/>
            <w:shd w:val="clear" w:color="auto" w:fill="auto"/>
            <w:tcMar>
              <w:top w:w="113" w:type="dxa"/>
            </w:tcMar>
          </w:tcPr>
          <w:p w:rsidR="009124B0" w:rsidRPr="00A34388" w:rsidRDefault="009124B0" w:rsidP="00730F86">
            <w:pPr>
              <w:keepNext/>
              <w:keepLines/>
              <w:spacing w:before="80"/>
              <w:rPr>
                <w:rFonts w:cs="Arial"/>
                <w:sz w:val="14"/>
                <w:szCs w:val="14"/>
                <w:lang w:val="es-ES_tradnl"/>
              </w:rPr>
            </w:pPr>
            <w:r w:rsidRPr="00332758">
              <w:rPr>
                <w:sz w:val="14"/>
                <w:lang w:val="es-ES_tradnl"/>
              </w:rPr>
              <w:t>Porcentaje de proyectos que han sido objeto de una evaluación posterior a la ejecución del proyecto.</w:t>
            </w:r>
          </w:p>
        </w:tc>
        <w:tc>
          <w:tcPr>
            <w:tcW w:w="1417" w:type="dxa"/>
            <w:shd w:val="clear" w:color="auto" w:fill="auto"/>
            <w:tcMar>
              <w:top w:w="113" w:type="dxa"/>
            </w:tcMar>
          </w:tcPr>
          <w:p w:rsidR="009124B0" w:rsidRPr="00A34388" w:rsidRDefault="009124B0" w:rsidP="00730F86">
            <w:pPr>
              <w:keepNext/>
              <w:keepLines/>
              <w:spacing w:before="80"/>
              <w:jc w:val="center"/>
              <w:rPr>
                <w:rFonts w:cs="Arial"/>
                <w:sz w:val="14"/>
                <w:szCs w:val="14"/>
                <w:lang w:val="es-ES_tradnl"/>
              </w:rPr>
            </w:pPr>
            <w:r w:rsidRPr="00332758">
              <w:rPr>
                <w:sz w:val="14"/>
                <w:lang w:val="es-ES_tradnl"/>
              </w:rPr>
              <w:t>Programa 25</w:t>
            </w:r>
          </w:p>
        </w:tc>
        <w:tc>
          <w:tcPr>
            <w:tcW w:w="1163" w:type="dxa"/>
            <w:tcBorders>
              <w:top w:val="nil"/>
            </w:tcBorders>
            <w:shd w:val="clear" w:color="auto" w:fill="auto"/>
          </w:tcPr>
          <w:p w:rsidR="009124B0" w:rsidRPr="00A34388" w:rsidRDefault="009124B0" w:rsidP="00730F86">
            <w:pPr>
              <w:keepNext/>
              <w:keepLines/>
              <w:spacing w:before="20"/>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Nivel de avance en la implantación de la Biblioteca de Infraestructura de Tecnologías de la Información (ITIL) con arreglo al método oficial de autoevaluación de cinco niveles.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spacing w:before="20"/>
              <w:jc w:val="center"/>
              <w:rPr>
                <w:color w:val="006600"/>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 xml:space="preserve">Mayor eficacia y eficiencia en la planificación, el procesamiento, la ejecución, la evaluación y la presentación de informes basados en los resultados en los ámbitos financiero y programático. </w:t>
            </w:r>
          </w:p>
        </w:tc>
        <w:tc>
          <w:tcPr>
            <w:tcW w:w="3799" w:type="dxa"/>
            <w:shd w:val="clear" w:color="auto" w:fill="auto"/>
            <w:tcMar>
              <w:top w:w="113" w:type="dxa"/>
            </w:tcMar>
          </w:tcPr>
          <w:p w:rsidR="009124B0" w:rsidRPr="00A34388" w:rsidRDefault="009124B0" w:rsidP="00730F86">
            <w:pPr>
              <w:spacing w:before="80"/>
              <w:rPr>
                <w:sz w:val="14"/>
                <w:szCs w:val="14"/>
                <w:lang w:val="es-ES_tradnl"/>
              </w:rPr>
            </w:pPr>
            <w:r w:rsidRPr="00332758">
              <w:rPr>
                <w:sz w:val="14"/>
                <w:lang w:val="es-ES_tradnl"/>
              </w:rPr>
              <w:t>Porcentaje de programas de la OMPI que utilizan los datos sobre el rendimiento para gestionar el rendimiento del programa.</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22</w:t>
            </w:r>
            <w:r w:rsidRPr="00A34388">
              <w:rPr>
                <w:sz w:val="14"/>
                <w:lang w:val="es-ES_tradnl"/>
              </w:rPr>
              <w:t xml:space="preserve"> </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sz w:val="14"/>
                <w:szCs w:val="14"/>
                <w:lang w:val="es-ES_tradnl"/>
              </w:rPr>
            </w:pPr>
            <w:r w:rsidRPr="00332758">
              <w:rPr>
                <w:sz w:val="14"/>
                <w:lang w:val="es-ES_tradnl"/>
              </w:rPr>
              <w:t>Porcentaje de encuestados (OMPI) que estiman que la OMPI debe rendir cuentas sobre sus resultados.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22</w:t>
            </w:r>
            <w:r w:rsidRPr="00A34388">
              <w:rPr>
                <w:sz w:val="14"/>
                <w:lang w:val="es-ES_tradnl"/>
              </w:rPr>
              <w:t xml:space="preserve"> </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22</w:t>
            </w:r>
            <w:r w:rsidRPr="00A34388">
              <w:rPr>
                <w:sz w:val="14"/>
                <w:lang w:val="es-ES_tradnl"/>
              </w:rPr>
              <w:t xml:space="preserve"> </w:t>
            </w:r>
          </w:p>
        </w:tc>
        <w:tc>
          <w:tcPr>
            <w:tcW w:w="1163" w:type="dxa"/>
            <w:tcBorders>
              <w:bottom w:val="nil"/>
            </w:tcBorders>
            <w:shd w:val="clear" w:color="auto" w:fill="auto"/>
          </w:tcPr>
          <w:p w:rsidR="009124B0" w:rsidRPr="00A34388" w:rsidRDefault="009124B0" w:rsidP="00730F86">
            <w:pPr>
              <w:jc w:val="center"/>
              <w:rPr>
                <w:color w:val="E36C0A" w:themeColor="accent6" w:themeShade="BF"/>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La presentación de un informe financiero satisfactorio por parte de los Auditores Externos confirma la conformidad de las operaciones de contabilidad con los reglamentos, las reglas y las normas aplicables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22</w:t>
            </w:r>
            <w:r w:rsidRPr="00A34388">
              <w:rPr>
                <w:sz w:val="14"/>
                <w:lang w:val="es-ES_tradnl"/>
              </w:rPr>
              <w:t xml:space="preserve"> </w:t>
            </w:r>
          </w:p>
        </w:tc>
        <w:tc>
          <w:tcPr>
            <w:tcW w:w="1163" w:type="dxa"/>
            <w:tcBorders>
              <w:top w:val="nil"/>
              <w:bottom w:val="nil"/>
            </w:tcBorders>
            <w:shd w:val="clear" w:color="auto" w:fill="auto"/>
          </w:tcPr>
          <w:p w:rsidR="009124B0" w:rsidRPr="00A34388" w:rsidRDefault="009124B0" w:rsidP="00730F86">
            <w:pPr>
              <w:jc w:val="center"/>
              <w:rPr>
                <w:color w:val="00B050"/>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Personal profesional bien dirigido, diversificado, motivado y con las competencias adecuadas</w:t>
            </w:r>
            <w:r w:rsidRPr="00A34388">
              <w:rPr>
                <w:b/>
                <w:color w:val="000000"/>
                <w:sz w:val="14"/>
                <w:lang w:val="es-ES_tradnl"/>
              </w:rPr>
              <w:t>.</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miembros del personal cuyo desempeño se evalúa en función de objetivos y competencias específicos.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tcBorders>
              <w:top w:val="nil"/>
            </w:tcBorders>
            <w:shd w:val="clear" w:color="auto" w:fill="auto"/>
          </w:tcPr>
          <w:p w:rsidR="009124B0" w:rsidRPr="00A34388" w:rsidRDefault="009124B0" w:rsidP="00730F86">
            <w:pPr>
              <w:jc w:val="center"/>
              <w:rPr>
                <w:color w:val="00B05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Duración del proceso de contratación.</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color w:val="00B05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la masa salarial total que participa en actividades de perfeccionamiento del personal.</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Diversidad geográfica - Porcentaje de Estados miembros representados.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mujeres que ocupan puestos profesionales y de categorías superiores.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color w:val="FF0000"/>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Disminución del ausentismo.</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color w:val="FF0000"/>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Disminución de las reclamaciones.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23</w:t>
            </w:r>
          </w:p>
        </w:tc>
        <w:tc>
          <w:tcPr>
            <w:tcW w:w="1163" w:type="dxa"/>
            <w:shd w:val="clear" w:color="auto" w:fill="auto"/>
          </w:tcPr>
          <w:p w:rsidR="009124B0" w:rsidRPr="00A34388" w:rsidRDefault="009124B0" w:rsidP="00730F86">
            <w:pPr>
              <w:jc w:val="center"/>
              <w:rPr>
                <w:color w:val="FF0000"/>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Se garantiza la seguridad del personal de la OMPI, los delegados, los visitantes, la información y los activos físicos.</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miembros del personal de la OMPI, delegados y visitantes que comunican daños o incidentes relacionados con el trabajo.</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28</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peticiones de asistencia relativa a la seguridad atendidas puntualmente en las conferencias o actividades organizadas en Ginebra o en otros lugares.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28</w:t>
            </w:r>
          </w:p>
        </w:tc>
        <w:tc>
          <w:tcPr>
            <w:tcW w:w="1163" w:type="dxa"/>
            <w:shd w:val="clear" w:color="auto" w:fill="auto"/>
          </w:tcPr>
          <w:p w:rsidR="009124B0" w:rsidRPr="00A34388" w:rsidRDefault="009124B0" w:rsidP="00730F86">
            <w:pPr>
              <w:jc w:val="center"/>
              <w:rPr>
                <w:sz w:val="22"/>
                <w:szCs w:val="22"/>
                <w:lang w:val="es-ES_tradnl"/>
              </w:rPr>
            </w:pPr>
            <w:r w:rsidRPr="00A34388">
              <w:rPr>
                <w:rFonts w:cs="Arial"/>
                <w:color w:val="008000"/>
                <w:sz w:val="22"/>
                <w:szCs w:val="22"/>
                <w:lang w:val="es-ES_tradnl"/>
              </w:rPr>
              <w:sym w:font="Wingdings" w:char="F06C"/>
            </w: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Exhaustividad y pertinencia de la serie de políticas, procedimientos y normas de seguridad de la información.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noWrap/>
            <w:tcMar>
              <w:top w:w="113" w:type="dxa"/>
            </w:tcMar>
          </w:tcPr>
          <w:p w:rsidR="009124B0" w:rsidRPr="00A34388" w:rsidRDefault="009124B0" w:rsidP="00730F86">
            <w:pPr>
              <w:spacing w:before="8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Se mantiene actualizado el registro de riesgos relativo a la seguridad de la información.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25</w:t>
            </w:r>
          </w:p>
        </w:tc>
        <w:tc>
          <w:tcPr>
            <w:tcW w:w="1163" w:type="dxa"/>
            <w:tcBorders>
              <w:bottom w:val="nil"/>
            </w:tcBorders>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Los costos relacionados con el nuevo edificio administrativo se mantienen al mínimo.</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Utilización durante el período de garantía de la construcción de los fondos disponibles con arreglo a las provisiones y el presupuesto consolidado aprobado.</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29</w:t>
            </w:r>
          </w:p>
        </w:tc>
        <w:tc>
          <w:tcPr>
            <w:tcW w:w="1163" w:type="dxa"/>
            <w:tcBorders>
              <w:top w:val="nil"/>
              <w:bottom w:val="nil"/>
            </w:tcBorders>
            <w:shd w:val="clear" w:color="auto" w:fill="auto"/>
          </w:tcPr>
          <w:p w:rsidR="009124B0" w:rsidRPr="00D2238E" w:rsidRDefault="009124B0" w:rsidP="00730F86">
            <w:pPr>
              <w:jc w:val="center"/>
              <w:rPr>
                <w:color w:val="A6A6A6" w:themeColor="background1" w:themeShade="A6"/>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 xml:space="preserve">La nueva sala de conferencias y las instalaciones conexas están disponibles para las reuniones de los Estados miembros. </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Construcción de la nueva sala de conferencias e instalaciones conexas de conformidad con los criterios de calidad, el presupuesto y los plazos aprobados.</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29</w:t>
            </w:r>
          </w:p>
        </w:tc>
        <w:tc>
          <w:tcPr>
            <w:tcW w:w="1163" w:type="dxa"/>
            <w:tcBorders>
              <w:top w:val="nil"/>
              <w:bottom w:val="nil"/>
            </w:tcBorders>
            <w:shd w:val="clear" w:color="auto" w:fill="auto"/>
          </w:tcPr>
          <w:p w:rsidR="009124B0" w:rsidRPr="00D2238E" w:rsidRDefault="009124B0" w:rsidP="00730F86">
            <w:pPr>
              <w:jc w:val="center"/>
              <w:rPr>
                <w:color w:val="A6A6A6" w:themeColor="background1" w:themeShade="A6"/>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332758" w:rsidRDefault="009124B0" w:rsidP="00730F86">
            <w:pPr>
              <w:spacing w:before="80"/>
              <w:rPr>
                <w:rFonts w:cs="Arial"/>
                <w:sz w:val="14"/>
                <w:szCs w:val="14"/>
                <w:lang w:val="es-ES_tradnl"/>
              </w:rPr>
            </w:pPr>
            <w:r w:rsidRPr="00332758">
              <w:rPr>
                <w:sz w:val="14"/>
                <w:lang w:val="es-ES_tradnl"/>
              </w:rPr>
              <w:t>Mayor coordinación y coherencia en el seno de la Secretaría.</w:t>
            </w:r>
          </w:p>
          <w:p w:rsidR="009124B0" w:rsidRPr="00A34388" w:rsidRDefault="009124B0" w:rsidP="00730F86">
            <w:pPr>
              <w:spacing w:before="80"/>
              <w:rPr>
                <w:rFonts w:cs="Arial"/>
                <w:color w:val="808080"/>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color w:val="000000"/>
                <w:sz w:val="14"/>
                <w:szCs w:val="14"/>
                <w:lang w:val="es-ES_tradnl"/>
              </w:rPr>
            </w:pPr>
            <w:r w:rsidRPr="00332758">
              <w:rPr>
                <w:sz w:val="14"/>
                <w:lang w:val="es-ES_tradnl"/>
              </w:rPr>
              <w:t>Finalización del Programa de Alineación Estratégica.</w:t>
            </w:r>
            <w:r w:rsidRPr="00A34388">
              <w:rPr>
                <w:color w:val="000000"/>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tcBorders>
              <w:top w:val="nil"/>
            </w:tcBorders>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noWrap/>
            <w:tcMar>
              <w:top w:w="113" w:type="dxa"/>
            </w:tcMar>
          </w:tcPr>
          <w:p w:rsidR="009124B0" w:rsidRPr="00A34388" w:rsidRDefault="009124B0" w:rsidP="00730F86">
            <w:pPr>
              <w:keepNext/>
              <w:keepLines/>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keepNext/>
              <w:keepLines/>
              <w:spacing w:before="80"/>
              <w:rPr>
                <w:rFonts w:cs="Arial"/>
                <w:color w:val="000000"/>
                <w:sz w:val="14"/>
                <w:szCs w:val="14"/>
                <w:lang w:val="es-ES_tradnl"/>
              </w:rPr>
            </w:pPr>
            <w:r w:rsidRPr="00332758">
              <w:rPr>
                <w:sz w:val="14"/>
                <w:lang w:val="es-ES_tradnl"/>
              </w:rPr>
              <w:t>Obtención de los resultados relativos a las prioridades centrales previstas en el Programa de Alineación Estratégica.</w:t>
            </w:r>
          </w:p>
        </w:tc>
        <w:tc>
          <w:tcPr>
            <w:tcW w:w="1417" w:type="dxa"/>
            <w:shd w:val="clear" w:color="auto" w:fill="auto"/>
            <w:tcMar>
              <w:top w:w="113" w:type="dxa"/>
            </w:tcMar>
          </w:tcPr>
          <w:p w:rsidR="009124B0" w:rsidRPr="00A34388" w:rsidRDefault="009124B0" w:rsidP="00730F86">
            <w:pPr>
              <w:keepNext/>
              <w:keepLines/>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keepNext/>
              <w:keepLines/>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peticiones de asesoramiento jurídico que reciben una respuesta de la Oficina del Consejero Jurídico.</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color w:val="000000"/>
                <w:sz w:val="14"/>
                <w:szCs w:val="14"/>
                <w:lang w:val="es-ES_tradnl"/>
              </w:rPr>
            </w:pPr>
            <w:r w:rsidRPr="00332758">
              <w:rPr>
                <w:sz w:val="14"/>
                <w:lang w:val="es-ES_tradnl"/>
              </w:rPr>
              <w:t>Porcentaje de notificaciones de adhesión tramitadas en los plazos previstos.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332758" w:rsidRDefault="009124B0" w:rsidP="00730F86">
            <w:pPr>
              <w:spacing w:before="80"/>
              <w:rPr>
                <w:rFonts w:cs="Arial"/>
                <w:sz w:val="14"/>
                <w:szCs w:val="14"/>
                <w:lang w:val="es-ES_tradnl"/>
              </w:rPr>
            </w:pPr>
          </w:p>
          <w:p w:rsidR="009124B0" w:rsidRPr="00332758" w:rsidRDefault="009124B0" w:rsidP="00730F86">
            <w:pPr>
              <w:spacing w:before="80"/>
              <w:rPr>
                <w:rFonts w:cs="Arial"/>
                <w:sz w:val="14"/>
                <w:szCs w:val="14"/>
                <w:lang w:val="es-ES_tradnl"/>
              </w:rPr>
            </w:pPr>
          </w:p>
          <w:p w:rsidR="009124B0" w:rsidRPr="00A34388" w:rsidRDefault="009124B0" w:rsidP="00730F86">
            <w:pPr>
              <w:spacing w:before="80"/>
              <w:rPr>
                <w:rFonts w:cs="Arial"/>
                <w:color w:val="808080"/>
                <w:sz w:val="14"/>
                <w:szCs w:val="14"/>
                <w:lang w:val="es-ES_tradnl"/>
              </w:rPr>
            </w:pPr>
            <w:r w:rsidRPr="00332758">
              <w:rPr>
                <w:sz w:val="14"/>
                <w:lang w:val="es-ES_tradnl"/>
              </w:rPr>
              <w:t>Mejor entorno de trabajo basado en un marco regulador coadyuvante y medios eficaces para atender las preocupaciones del personal.</w:t>
            </w:r>
          </w:p>
        </w:tc>
        <w:tc>
          <w:tcPr>
            <w:tcW w:w="3799" w:type="dxa"/>
            <w:shd w:val="clear" w:color="auto" w:fill="auto"/>
            <w:tcMar>
              <w:top w:w="113" w:type="dxa"/>
            </w:tcMar>
          </w:tcPr>
          <w:p w:rsidR="009124B0" w:rsidRPr="00A34388" w:rsidRDefault="009124B0" w:rsidP="00730F86">
            <w:pPr>
              <w:spacing w:before="80"/>
              <w:rPr>
                <w:rFonts w:cs="Arial"/>
                <w:color w:val="000000"/>
                <w:sz w:val="14"/>
                <w:szCs w:val="14"/>
                <w:lang w:val="es-ES_tradnl"/>
              </w:rPr>
            </w:pPr>
            <w:r w:rsidRPr="00332758">
              <w:rPr>
                <w:sz w:val="14"/>
                <w:lang w:val="es-ES_tradnl"/>
              </w:rPr>
              <w:t>Porcentaje de usuarios satisfechos con el nivel de servicios que han recibido de la Oficina del Mediador.</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spacing w:before="20"/>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noWrap/>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color w:val="000000"/>
                <w:sz w:val="14"/>
                <w:szCs w:val="14"/>
                <w:lang w:val="es-ES_tradnl"/>
              </w:rPr>
            </w:pPr>
            <w:r w:rsidRPr="00332758">
              <w:rPr>
                <w:sz w:val="14"/>
                <w:lang w:val="es-ES_tradnl"/>
              </w:rPr>
              <w:t>Porcentaje de miembros del personal conscientes de los principios y políticas éticas de la OMPI.</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21</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 xml:space="preserve">Reducción de las repercusiones de las actividades de la OMPI sobre el medio ambiente. </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Número de programas dotados de indicadores, referencias de base y objetivos relativos a la mejora ambiental.</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bottom w:val="nil"/>
            </w:tcBorders>
            <w:shd w:val="clear" w:color="auto" w:fill="auto"/>
          </w:tcPr>
          <w:p w:rsidR="009124B0" w:rsidRPr="00A34388" w:rsidRDefault="009124B0" w:rsidP="00730F86">
            <w:pPr>
              <w:jc w:val="center"/>
              <w:rPr>
                <w:sz w:val="22"/>
                <w:szCs w:val="22"/>
                <w:lang w:val="es-ES_tradnl"/>
              </w:rPr>
            </w:pPr>
            <w:r w:rsidRPr="00A34388">
              <w:rPr>
                <w:rFonts w:cs="Arial"/>
                <w:color w:val="FF0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Porcentaje de las emisiones de carbono respecto del consumo de energía (en relación con los edificios de la OMPI)</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bottom w:val="nil"/>
            </w:tcBorders>
            <w:shd w:val="clear" w:color="auto" w:fill="auto"/>
          </w:tcPr>
          <w:p w:rsidR="009124B0" w:rsidRPr="00A34388" w:rsidRDefault="009124B0" w:rsidP="00730F86">
            <w:pPr>
              <w:jc w:val="center"/>
              <w:rPr>
                <w:sz w:val="22"/>
                <w:szCs w:val="22"/>
                <w:lang w:val="es-ES_tradnl"/>
              </w:rPr>
            </w:pPr>
            <w:r w:rsidRPr="00D2238E">
              <w:rPr>
                <w:rFonts w:cs="Arial"/>
                <w:color w:val="A6A6A6" w:themeColor="background1" w:themeShade="A6"/>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Mejora de la accesibilidad al recinto de la OMPI.</w:t>
            </w:r>
            <w:r w:rsidRPr="00A34388">
              <w:rPr>
                <w:sz w:val="14"/>
                <w:lang w:val="es-ES_tradnl"/>
              </w:rPr>
              <w:t xml:space="preserve"> </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Número de programas pertinentes dotados de indicadores, referencias de base y objetivos relativos a la accesibilidad física.</w:t>
            </w:r>
            <w:r w:rsidRPr="00A34388">
              <w:rPr>
                <w:sz w:val="14"/>
                <w:lang w:val="es-ES_tradnl"/>
              </w:rPr>
              <w:t xml:space="preserve">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24</w:t>
            </w:r>
          </w:p>
        </w:tc>
        <w:tc>
          <w:tcPr>
            <w:tcW w:w="1163" w:type="dxa"/>
            <w:tcBorders>
              <w:top w:val="nil"/>
            </w:tcBorders>
            <w:shd w:val="clear" w:color="auto" w:fill="auto"/>
          </w:tcPr>
          <w:p w:rsidR="009124B0" w:rsidRPr="00A34388" w:rsidRDefault="009124B0" w:rsidP="00730F86">
            <w:pPr>
              <w:jc w:val="center"/>
              <w:rPr>
                <w:sz w:val="22"/>
                <w:szCs w:val="22"/>
                <w:lang w:val="es-ES_tradnl"/>
              </w:rPr>
            </w:pPr>
            <w:r w:rsidRPr="00A34388">
              <w:rPr>
                <w:rFonts w:cs="Arial"/>
                <w:color w:val="E36C0A" w:themeColor="accent6" w:themeShade="BF"/>
                <w:sz w:val="22"/>
                <w:szCs w:val="22"/>
                <w:lang w:val="es-ES_tradnl"/>
              </w:rPr>
              <w:sym w:font="Wingdings" w:char="F06C"/>
            </w:r>
          </w:p>
        </w:tc>
      </w:tr>
      <w:tr w:rsidR="009124B0" w:rsidRPr="00A34388" w:rsidTr="00D2238E">
        <w:trPr>
          <w:cantSplit/>
        </w:trPr>
        <w:tc>
          <w:tcPr>
            <w:tcW w:w="2987" w:type="dxa"/>
            <w:vMerge w:val="restart"/>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Instauración de un sistema eficaz y profesional de auditoría interna que abarca todas las esferas de alto riesgo.</w:t>
            </w:r>
          </w:p>
        </w:tc>
        <w:tc>
          <w:tcPr>
            <w:tcW w:w="3799" w:type="dxa"/>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 xml:space="preserve">Número de auditorías realizadas en esferas de alto riesgo. </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Se aplicarán las normas profesionales, el código de ética y los consejos para la práctica del Instituto de Auditores Internos.</w:t>
            </w:r>
          </w:p>
        </w:tc>
        <w:tc>
          <w:tcPr>
            <w:tcW w:w="1417" w:type="dxa"/>
            <w:shd w:val="clear" w:color="auto" w:fill="auto"/>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shd w:val="clear" w:color="auto" w:fill="auto"/>
          </w:tcPr>
          <w:p w:rsidR="009124B0" w:rsidRPr="00A34388" w:rsidRDefault="009124B0" w:rsidP="00730F86">
            <w:pPr>
              <w:jc w:val="center"/>
              <w:rPr>
                <w:rFonts w:cs="Arial"/>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vMerge/>
            <w:shd w:val="clear" w:color="auto" w:fill="auto"/>
            <w:tcMar>
              <w:top w:w="113" w:type="dxa"/>
            </w:tcMar>
          </w:tcPr>
          <w:p w:rsidR="009124B0" w:rsidRPr="00A34388" w:rsidRDefault="009124B0" w:rsidP="00730F86">
            <w:pPr>
              <w:spacing w:before="80"/>
              <w:ind w:firstLineChars="100" w:firstLine="140"/>
              <w:rPr>
                <w:rFonts w:cs="Arial"/>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Seguimiento exhaustivo y preciso de la aplicación de las recomendaciones de supervisión formuladas, señalando las anteriores recomendaciones, las nuevas que se han añadido y su situación.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A34388" w:rsidRDefault="009124B0" w:rsidP="00730F86">
            <w:pPr>
              <w:spacing w:before="80"/>
              <w:rPr>
                <w:rFonts w:cs="Arial"/>
                <w:color w:val="808080"/>
                <w:sz w:val="14"/>
                <w:szCs w:val="14"/>
                <w:lang w:val="es-ES_tradnl"/>
              </w:rPr>
            </w:pPr>
            <w:r w:rsidRPr="00332758">
              <w:rPr>
                <w:sz w:val="14"/>
                <w:lang w:val="es-ES_tradnl"/>
              </w:rPr>
              <w:t>Los informes de investigación constituyen una base sólida para la toma de decisiones por parte del Director General.</w:t>
            </w: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r w:rsidR="009124B0" w:rsidRPr="00A34388" w:rsidTr="00D2238E">
        <w:trPr>
          <w:cantSplit/>
        </w:trPr>
        <w:tc>
          <w:tcPr>
            <w:tcW w:w="2987" w:type="dxa"/>
            <w:shd w:val="clear" w:color="auto" w:fill="auto"/>
            <w:tcMar>
              <w:top w:w="113" w:type="dxa"/>
            </w:tcMar>
          </w:tcPr>
          <w:p w:rsidR="009124B0" w:rsidRPr="00332758" w:rsidRDefault="009124B0" w:rsidP="00730F86">
            <w:pPr>
              <w:spacing w:before="80"/>
              <w:rPr>
                <w:rFonts w:cs="Arial"/>
                <w:sz w:val="14"/>
                <w:szCs w:val="14"/>
                <w:lang w:val="es-ES_tradnl"/>
              </w:rPr>
            </w:pPr>
            <w:r w:rsidRPr="00332758">
              <w:rPr>
                <w:sz w:val="14"/>
                <w:lang w:val="es-ES_tradnl"/>
              </w:rPr>
              <w:t>El personal directivo superior, los directores de programa y los Estados miembros tienen a su disposición informaciones basadas en datos fidedignos para tomar decisiones.</w:t>
            </w:r>
          </w:p>
          <w:p w:rsidR="009124B0" w:rsidRPr="00A34388" w:rsidRDefault="009124B0" w:rsidP="00730F86">
            <w:pPr>
              <w:spacing w:before="80"/>
              <w:rPr>
                <w:rFonts w:cs="Arial"/>
                <w:color w:val="808080"/>
                <w:sz w:val="14"/>
                <w:szCs w:val="14"/>
                <w:lang w:val="es-ES_tradnl"/>
              </w:rPr>
            </w:pPr>
          </w:p>
        </w:tc>
        <w:tc>
          <w:tcPr>
            <w:tcW w:w="3799" w:type="dxa"/>
            <w:shd w:val="clear" w:color="auto" w:fill="auto"/>
            <w:tcMar>
              <w:top w:w="113" w:type="dxa"/>
            </w:tcMar>
          </w:tcPr>
          <w:p w:rsidR="009124B0" w:rsidRPr="00A34388" w:rsidRDefault="009124B0" w:rsidP="00730F86">
            <w:pPr>
              <w:spacing w:before="80"/>
              <w:rPr>
                <w:rFonts w:cs="Arial"/>
                <w:sz w:val="14"/>
                <w:szCs w:val="14"/>
                <w:lang w:val="es-ES_tradnl"/>
              </w:rPr>
            </w:pPr>
            <w:r w:rsidRPr="00332758">
              <w:rPr>
                <w:sz w:val="14"/>
                <w:lang w:val="es-ES_tradnl"/>
              </w:rPr>
              <w:t>Las evaluaciones se realizan de conformidad con lo establecido en la Política de evaluación y el Manual sobre los procedimientos de evaluación.</w:t>
            </w:r>
          </w:p>
        </w:tc>
        <w:tc>
          <w:tcPr>
            <w:tcW w:w="1417" w:type="dxa"/>
            <w:shd w:val="clear" w:color="auto" w:fill="auto"/>
            <w:noWrap/>
            <w:tcMar>
              <w:top w:w="113" w:type="dxa"/>
            </w:tcMar>
          </w:tcPr>
          <w:p w:rsidR="009124B0" w:rsidRPr="00A34388" w:rsidRDefault="009124B0" w:rsidP="00730F86">
            <w:pPr>
              <w:spacing w:before="80"/>
              <w:jc w:val="center"/>
              <w:rPr>
                <w:rFonts w:cs="Arial"/>
                <w:sz w:val="14"/>
                <w:szCs w:val="14"/>
                <w:lang w:val="es-ES_tradnl"/>
              </w:rPr>
            </w:pPr>
            <w:r w:rsidRPr="00332758">
              <w:rPr>
                <w:sz w:val="14"/>
                <w:lang w:val="es-ES_tradnl"/>
              </w:rPr>
              <w:t>Programa 26</w:t>
            </w:r>
          </w:p>
        </w:tc>
        <w:tc>
          <w:tcPr>
            <w:tcW w:w="1163" w:type="dxa"/>
            <w:tcBorders>
              <w:bottom w:val="single" w:sz="4" w:space="0" w:color="auto"/>
            </w:tcBorders>
            <w:shd w:val="clear" w:color="auto" w:fill="auto"/>
          </w:tcPr>
          <w:p w:rsidR="009124B0" w:rsidRPr="00A34388" w:rsidRDefault="009124B0" w:rsidP="00730F86">
            <w:pPr>
              <w:jc w:val="center"/>
              <w:rPr>
                <w:color w:val="008000"/>
                <w:sz w:val="22"/>
                <w:szCs w:val="22"/>
                <w:lang w:val="es-ES_tradnl"/>
              </w:rPr>
            </w:pPr>
            <w:r w:rsidRPr="00A34388">
              <w:rPr>
                <w:rFonts w:cs="Arial"/>
                <w:color w:val="008000"/>
                <w:sz w:val="22"/>
                <w:szCs w:val="22"/>
                <w:lang w:val="es-ES_tradnl"/>
              </w:rPr>
              <w:sym w:font="Wingdings" w:char="F06C"/>
            </w:r>
          </w:p>
        </w:tc>
      </w:tr>
    </w:tbl>
    <w:p w:rsidR="009124B0" w:rsidRPr="00A34388" w:rsidRDefault="009124B0" w:rsidP="009124B0">
      <w:pPr>
        <w:rPr>
          <w:rFonts w:ascii="Arial Bold" w:eastAsiaTheme="majorEastAsia" w:hAnsi="Arial Bold" w:cstheme="majorBidi" w:hint="eastAsia"/>
          <w:b/>
          <w:bCs/>
          <w:sz w:val="22"/>
          <w:lang w:val="es-ES_tradnl"/>
        </w:rPr>
      </w:pPr>
      <w:r w:rsidRPr="00A34388">
        <w:rPr>
          <w:lang w:val="es-ES_tradnl"/>
        </w:rPr>
        <w:br w:type="page"/>
      </w:r>
    </w:p>
    <w:p w:rsidR="00F90BD6" w:rsidRPr="003934C8" w:rsidRDefault="00F90BD6" w:rsidP="00F90BD6">
      <w:pPr>
        <w:pStyle w:val="Heading3"/>
        <w:rPr>
          <w:rFonts w:hint="eastAsia"/>
          <w:lang w:val="es-ES"/>
        </w:rPr>
      </w:pPr>
      <w:bookmarkStart w:id="85" w:name="_Toc392852663"/>
      <w:bookmarkStart w:id="86" w:name="_Toc395279682"/>
      <w:r w:rsidRPr="003934C8">
        <w:rPr>
          <w:lang w:val="es-ES"/>
        </w:rPr>
        <w:lastRenderedPageBreak/>
        <w:t>Programa 21</w:t>
      </w:r>
      <w:r w:rsidRPr="003934C8">
        <w:rPr>
          <w:lang w:val="es-ES"/>
        </w:rPr>
        <w:tab/>
        <w:t>Gestión ejecutiva</w:t>
      </w:r>
      <w:bookmarkEnd w:id="85"/>
      <w:bookmarkEnd w:id="86"/>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87" w:name="_Toc394914528"/>
      <w:r w:rsidRPr="00D42A38">
        <w:rPr>
          <w:b/>
          <w:sz w:val="22"/>
          <w:szCs w:val="22"/>
          <w:lang w:val="es-ES_tradnl"/>
        </w:rPr>
        <w:t>Director del Programa</w:t>
      </w:r>
      <w:r w:rsidRPr="00D42A38">
        <w:rPr>
          <w:b/>
          <w:sz w:val="22"/>
          <w:szCs w:val="22"/>
          <w:lang w:val="es-ES_tradnl"/>
        </w:rPr>
        <w:tab/>
        <w:t>Director General</w:t>
      </w:r>
      <w:bookmarkEnd w:id="87"/>
    </w:p>
    <w:p w:rsidR="009124B0" w:rsidRPr="00A34388" w:rsidRDefault="009124B0" w:rsidP="009124B0">
      <w:pPr>
        <w:rPr>
          <w:rFonts w:cs="Arial"/>
          <w:sz w:val="22"/>
          <w:szCs w:val="22"/>
          <w:lang w:val="es-ES_tradnl"/>
        </w:rPr>
      </w:pPr>
    </w:p>
    <w:p w:rsidR="009124B0" w:rsidRPr="00A34388" w:rsidRDefault="009124B0" w:rsidP="009124B0">
      <w:pPr>
        <w:rPr>
          <w:rFonts w:cs="Arial"/>
          <w:bCs/>
          <w:sz w:val="22"/>
          <w:szCs w:val="22"/>
          <w:lang w:val="es-ES_tradnl"/>
        </w:rPr>
      </w:pPr>
    </w:p>
    <w:p w:rsidR="009124B0" w:rsidRPr="00A34388" w:rsidRDefault="009124B0" w:rsidP="009124B0">
      <w:pPr>
        <w:rPr>
          <w:rFonts w:cs="Arial"/>
          <w:sz w:val="22"/>
          <w:szCs w:val="22"/>
          <w:lang w:val="es-ES_tradnl"/>
        </w:rPr>
      </w:pPr>
      <w:r w:rsidRPr="00A34388">
        <w:rPr>
          <w:sz w:val="22"/>
          <w:lang w:val="es-ES_tradnl"/>
        </w:rPr>
        <w:t>AVANCES LOGRADOS EN EL BIENIO 2012/13</w:t>
      </w:r>
    </w:p>
    <w:p w:rsidR="009124B0" w:rsidRPr="00A34388" w:rsidRDefault="009124B0" w:rsidP="009124B0">
      <w:pPr>
        <w:rPr>
          <w:rFonts w:cs="Arial"/>
          <w:sz w:val="22"/>
          <w:szCs w:val="22"/>
          <w:lang w:val="es-ES_tradnl"/>
        </w:rPr>
      </w:pPr>
    </w:p>
    <w:p w:rsidR="009124B0" w:rsidRPr="00A34388" w:rsidRDefault="009124B0" w:rsidP="009124B0">
      <w:pPr>
        <w:numPr>
          <w:ilvl w:val="0"/>
          <w:numId w:val="54"/>
        </w:numPr>
        <w:autoSpaceDE w:val="0"/>
        <w:autoSpaceDN w:val="0"/>
        <w:adjustRightInd w:val="0"/>
        <w:jc w:val="both"/>
        <w:rPr>
          <w:rFonts w:eastAsia="SimSun" w:cs="Arial"/>
          <w:szCs w:val="20"/>
          <w:lang w:val="es-ES_tradnl"/>
        </w:rPr>
      </w:pPr>
      <w:r w:rsidRPr="00332758">
        <w:rPr>
          <w:lang w:val="es-ES_tradnl"/>
        </w:rPr>
        <w:t>El programa 21 abarca la Oficina del Director General, la Oficina del Consejero Jurídico, la División de Asuntos de las Asambleas y Documentación, la Oficina del Mediador, la Oficina de Ética Profesional y el Servicio de Protocolo.</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bCs/>
          <w:color w:val="000000"/>
          <w:szCs w:val="20"/>
          <w:lang w:val="es-ES_tradnl"/>
        </w:rPr>
      </w:pPr>
      <w:r w:rsidRPr="00332758">
        <w:rPr>
          <w:lang w:val="es-ES_tradnl"/>
        </w:rPr>
        <w:t>La eficaz implicación con los Estados miembros y demás partes interesadas sigue representando el elemento esencial para la realización de nuevos progresos en orden al cumplimiento de las nueve metas estratégicas de la Organización.</w:t>
      </w:r>
      <w:r w:rsidRPr="00A34388">
        <w:rPr>
          <w:color w:val="000000"/>
          <w:lang w:val="es-ES_tradnl"/>
        </w:rPr>
        <w:t xml:space="preserve">  </w:t>
      </w:r>
      <w:r w:rsidRPr="00332758">
        <w:rPr>
          <w:lang w:val="es-ES_tradnl"/>
        </w:rPr>
        <w:t xml:space="preserve">Dicha implicación era importante en el bienio para apoyar el considerable cambio introducido en la Organización a nivel de reforma y mejora organizativas con el fin de posibilitar los necesarios avances en el plano normativo y en la aplicación de programas.  A tal efecto, al Director General celebró sesiones informativas periódicas con los Embajadores y reuniones con los Estados miembros, todas las cuales resultaron muy valiosas como medio de obtener los comentarios y el asesoramiento adecuados para impulsar el progreso en numerosos aspectos. </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bCs/>
          <w:color w:val="000000"/>
          <w:szCs w:val="20"/>
          <w:lang w:val="es-ES_tradnl"/>
        </w:rPr>
      </w:pPr>
      <w:r w:rsidRPr="00332758">
        <w:rPr>
          <w:lang w:val="es-ES_tradnl"/>
        </w:rPr>
        <w:t>También se atendió muy especialmente a la implicación interna, sobre todo en lo concerniente a la gestión del cambio y a la creación en toda la Organización de un clima favorable al mismo.</w:t>
      </w:r>
      <w:r w:rsidRPr="00A34388">
        <w:rPr>
          <w:color w:val="000000"/>
          <w:lang w:val="es-ES_tradnl"/>
        </w:rPr>
        <w:t xml:space="preserve">  A este respecto, las reuniones periódicas del equipo directivo superior proporcionaron orientación a las unidades de la Organización, convirtiendo las decisiones estratégicas en realidades prácticas.  El Director General desplegó considerables esfuerzos para comunicar no sólo con </w:t>
      </w:r>
      <w:r w:rsidR="00054EC8">
        <w:rPr>
          <w:color w:val="000000"/>
          <w:lang w:val="es-ES_tradnl"/>
        </w:rPr>
        <w:t>el personal directivo</w:t>
      </w:r>
      <w:r w:rsidRPr="00A34388">
        <w:rPr>
          <w:color w:val="000000"/>
          <w:lang w:val="es-ES_tradnl"/>
        </w:rPr>
        <w:t xml:space="preserve"> sino también con los miembros del personal en el empeño de transmitir un mensaje coherente a toda la Organización.</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bCs/>
          <w:color w:val="000000"/>
          <w:szCs w:val="20"/>
          <w:lang w:val="es-ES_tradnl"/>
        </w:rPr>
      </w:pPr>
      <w:r w:rsidRPr="00332758">
        <w:rPr>
          <w:lang w:val="es-ES_tradnl"/>
        </w:rPr>
        <w:t>Un elemento esencial del proceso de cambio durante todo el año fue la satisfactoria conclusión del PAE, el cual entrañaba una serie de iniciativas tendentes a la introducción de ambiciosas mejoras a nivel de Organización.</w:t>
      </w:r>
      <w:r w:rsidRPr="00A34388">
        <w:rPr>
          <w:lang w:val="es-ES_tradnl"/>
        </w:rPr>
        <w:t xml:space="preserve">  </w:t>
      </w:r>
      <w:r w:rsidRPr="00332758">
        <w:rPr>
          <w:lang w:val="es-ES_tradnl"/>
        </w:rPr>
        <w:t>Dicho programa abarcaba 19 iniciativas interrelacionadas y agrupadas en torno a las cuatro prioridades centrales de la Organización; sus resultados se calibraron mediante un sondeo de personal y un tablero de control (ambos accesibles para los Estados miembros a través de Internet).</w:t>
      </w:r>
      <w:r w:rsidRPr="00A34388">
        <w:rPr>
          <w:lang w:val="es-ES_tradnl"/>
        </w:rPr>
        <w:t xml:space="preserve">  </w:t>
      </w:r>
      <w:r w:rsidRPr="00332758">
        <w:rPr>
          <w:lang w:val="es-ES_tradnl"/>
        </w:rPr>
        <w:t>Los resultados son alentadores e indican que en muchos respectos el PAE ha aportado un nuevo enfoque a la cultura y los valores de la Secretaría, una mayor eficiencia de sus procedimientos operativos y una mejor alineación de los programas, la estructura y los recursos con las metas estratégicas de la Organización.</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bCs/>
          <w:color w:val="000000"/>
          <w:szCs w:val="20"/>
          <w:lang w:val="es-ES_tradnl"/>
        </w:rPr>
      </w:pPr>
      <w:r w:rsidRPr="00332758">
        <w:rPr>
          <w:lang w:val="es-ES_tradnl"/>
        </w:rPr>
        <w:t xml:space="preserve">En este primer bienio de funcionamiento de la División de Asuntos de las Asambleas y Documentación pudieron apreciarse plenamente las ventajas de contar con una unidad central exclusivamente dedicada a gestionar los preparativos para las Asambleas.  </w:t>
      </w:r>
      <w:r w:rsidRPr="00A34388">
        <w:rPr>
          <w:lang w:val="es-ES_tradnl"/>
        </w:rPr>
        <w:t>La eficiente organización de</w:t>
      </w:r>
      <w:r w:rsidR="009B1238">
        <w:rPr>
          <w:lang w:val="es-ES_tradnl"/>
        </w:rPr>
        <w:t>l</w:t>
      </w:r>
      <w:r w:rsidRPr="00A34388">
        <w:rPr>
          <w:lang w:val="es-ES_tradnl"/>
        </w:rPr>
        <w:t xml:space="preserve"> </w:t>
      </w:r>
      <w:r w:rsidR="009B1238">
        <w:rPr>
          <w:lang w:val="es-ES_tradnl"/>
        </w:rPr>
        <w:t xml:space="preserve">período extraordinario de sesiones de la </w:t>
      </w:r>
      <w:r w:rsidRPr="00A34388">
        <w:rPr>
          <w:lang w:val="es-ES_tradnl"/>
        </w:rPr>
        <w:t>Asamble</w:t>
      </w:r>
      <w:r w:rsidR="009B1238">
        <w:rPr>
          <w:lang w:val="es-ES_tradnl"/>
        </w:rPr>
        <w:t>a General</w:t>
      </w:r>
      <w:r w:rsidRPr="00A34388">
        <w:rPr>
          <w:lang w:val="es-ES_tradnl"/>
        </w:rPr>
        <w:t xml:space="preserve"> de finales de 2013, convocada con dos meses de antelación, fue un ejemplo de ello.  </w:t>
      </w:r>
      <w:r w:rsidRPr="00332758">
        <w:rPr>
          <w:lang w:val="es-ES_tradnl"/>
        </w:rPr>
        <w:t>Se mantuvieron y perfeccionaron innovaciones y racionalizaciones organizativas como la retransmisión por Internet de las reuniones, la inscripción electrónica y los nuevos procedimientos de viaje.</w:t>
      </w:r>
      <w:r w:rsidRPr="00A34388">
        <w:rPr>
          <w:lang w:val="es-ES_tradnl"/>
        </w:rPr>
        <w:t xml:space="preserve">  La documentación se entregó con </w:t>
      </w:r>
      <w:r w:rsidR="00154FED" w:rsidRPr="00A34388">
        <w:rPr>
          <w:lang w:val="es-ES_tradnl"/>
        </w:rPr>
        <w:t xml:space="preserve">sobrada </w:t>
      </w:r>
      <w:r w:rsidRPr="00A34388">
        <w:rPr>
          <w:lang w:val="es-ES_tradnl"/>
        </w:rPr>
        <w:t xml:space="preserve">antelación y </w:t>
      </w:r>
      <w:r w:rsidR="00154FED" w:rsidRPr="00A34388">
        <w:rPr>
          <w:lang w:val="es-ES_tradnl"/>
        </w:rPr>
        <w:t>más temprano que anteriormente</w:t>
      </w:r>
      <w:r w:rsidRPr="00A34388">
        <w:rPr>
          <w:lang w:val="es-ES_tradnl"/>
        </w:rPr>
        <w:t xml:space="preserve">, y se desarrolló una nueva herramienta que ayuda a los delegados a identificar los apartados clave de los informes.  </w:t>
      </w:r>
      <w:r w:rsidRPr="00332758">
        <w:rPr>
          <w:lang w:val="es-ES_tradnl"/>
        </w:rPr>
        <w:t>Los actos paralelos se mejoraron en número y calidad.</w:t>
      </w:r>
      <w:r w:rsidRPr="00A34388">
        <w:rPr>
          <w:lang w:val="es-ES_tradnl"/>
        </w:rPr>
        <w:t xml:space="preserve">  </w:t>
      </w:r>
      <w:r w:rsidRPr="00332758">
        <w:rPr>
          <w:lang w:val="es-ES_tradnl"/>
        </w:rPr>
        <w:t>El afán de extremar la eficiencia y proporcionar a los Estados miembros una experiencia más halagüeña de las Asambleas se reflejó en los elevados niveles de satisfacción registrados con motivo de una encuesta hecha entre los delegados.</w:t>
      </w:r>
    </w:p>
    <w:p w:rsidR="009124B0" w:rsidRPr="00A34388" w:rsidRDefault="009124B0" w:rsidP="009124B0">
      <w:pPr>
        <w:autoSpaceDE w:val="0"/>
        <w:autoSpaceDN w:val="0"/>
        <w:adjustRightInd w:val="0"/>
        <w:jc w:val="both"/>
        <w:rPr>
          <w:rFonts w:eastAsia="SimSun" w:cs="Arial"/>
          <w:bCs/>
          <w:color w:val="000000"/>
          <w:szCs w:val="20"/>
          <w:lang w:val="es-ES_tradnl"/>
        </w:rPr>
      </w:pPr>
    </w:p>
    <w:p w:rsidR="009124B0" w:rsidRPr="00A34388" w:rsidRDefault="009124B0" w:rsidP="009124B0">
      <w:pPr>
        <w:numPr>
          <w:ilvl w:val="0"/>
          <w:numId w:val="54"/>
        </w:numPr>
        <w:autoSpaceDE w:val="0"/>
        <w:autoSpaceDN w:val="0"/>
        <w:adjustRightInd w:val="0"/>
        <w:jc w:val="both"/>
        <w:rPr>
          <w:rFonts w:eastAsia="SimSun" w:cs="Arial"/>
          <w:szCs w:val="20"/>
          <w:lang w:val="es-ES_tradnl"/>
        </w:rPr>
      </w:pPr>
      <w:r w:rsidRPr="00332758">
        <w:rPr>
          <w:lang w:val="es-ES_tradnl"/>
        </w:rPr>
        <w:t xml:space="preserve">La Oficina del Consejero Jurídico tuvo que afrontar un bienio muy arduo, caracterizado por una creciente demanda de sus servicios.  La Oficina, con su diligencia, independencia y fiabilidad acostumbradas, ha seguido facilitando asesoramiento y servicios jurídicos al Director General, a la Secretaría y a los Estados miembros sobre asuntos constitucionales, asuntos jurídicos generales, contratos, Derecho de tratados, asuntos relacionados con la administración y los recursos humanos y cuestiones pertinentes a la propiedad intelectual.  Las funciones de depositario de los tratados administrados por la OMPI han continuado siendo desempeñadas de manera eficiente.  </w:t>
      </w:r>
      <w:r w:rsidRPr="00A34388">
        <w:rPr>
          <w:lang w:val="es-ES_tradnl"/>
        </w:rPr>
        <w:t xml:space="preserve">La base de datos en Internet WIPO Lex sobre legislación y tratados vinculados con la P.I. fue traducida a los seis idiomas </w:t>
      </w:r>
      <w:r w:rsidR="00E34147" w:rsidRPr="00A34388">
        <w:rPr>
          <w:lang w:val="es-ES_tradnl"/>
        </w:rPr>
        <w:t xml:space="preserve">oficiales </w:t>
      </w:r>
      <w:r w:rsidRPr="00A34388">
        <w:rPr>
          <w:lang w:val="es-ES_tradnl"/>
        </w:rPr>
        <w:t xml:space="preserve">de las NN.UU.  </w:t>
      </w:r>
      <w:r w:rsidRPr="00332758">
        <w:rPr>
          <w:lang w:val="es-ES_tradnl"/>
        </w:rPr>
        <w:t>Al propio tiempo se ha registrado un apreciable incremento de la carga de trabajo relativa a las reuniones de los Estados miembros.</w:t>
      </w:r>
      <w:r w:rsidRPr="00A34388">
        <w:rPr>
          <w:lang w:val="es-ES_tradnl"/>
        </w:rPr>
        <w:t xml:space="preserve">  </w:t>
      </w:r>
      <w:r w:rsidRPr="00332758">
        <w:rPr>
          <w:lang w:val="es-ES_tradnl"/>
        </w:rPr>
        <w:t xml:space="preserve">La prestación de asesoramiento y servicios a la Conferencia Diplomática de Beijing, incluida su fase preparatoria, estuvo gestionada eficazmente.  </w:t>
      </w:r>
      <w:r w:rsidRPr="00332758">
        <w:rPr>
          <w:lang w:val="es-ES_tradnl"/>
        </w:rPr>
        <w:lastRenderedPageBreak/>
        <w:t>Del mismo modo, la Oficina continuó suministrando asesoramiento puntual y eficaz en relación con la nueva sala de conferencias, lo que contribuyó al buen desenvolvimiento del proyecto dentro de un marco de calidad satisfactorio.</w:t>
      </w:r>
    </w:p>
    <w:p w:rsidR="009124B0" w:rsidRPr="00A34388" w:rsidRDefault="009124B0" w:rsidP="009124B0">
      <w:pPr>
        <w:autoSpaceDE w:val="0"/>
        <w:autoSpaceDN w:val="0"/>
        <w:adjustRightInd w:val="0"/>
        <w:jc w:val="both"/>
        <w:rPr>
          <w:rFonts w:eastAsia="SimSun" w:cs="Arial"/>
          <w:szCs w:val="20"/>
          <w:lang w:val="es-ES_tradnl"/>
        </w:rPr>
      </w:pPr>
    </w:p>
    <w:p w:rsidR="009124B0" w:rsidRPr="00A34388" w:rsidRDefault="009124B0" w:rsidP="009124B0">
      <w:pPr>
        <w:numPr>
          <w:ilvl w:val="0"/>
          <w:numId w:val="54"/>
        </w:numPr>
        <w:jc w:val="both"/>
        <w:rPr>
          <w:rFonts w:eastAsia="SimSun" w:cs="Arial"/>
          <w:szCs w:val="20"/>
          <w:lang w:val="es-ES_tradnl"/>
        </w:rPr>
      </w:pPr>
      <w:r w:rsidRPr="00332758">
        <w:rPr>
          <w:lang w:val="es-ES_tradnl"/>
        </w:rPr>
        <w:t>La OMPI continuó participando activamente en el sistema de las NN.UU., incluida la Junta de los jefes ejecutivos del sistema de las Naciones Unidas para la coordinación (JJE) con sus dos comités: el Comité de Alto Nivel sobre Gestión (HLCM) y el Comité de Alto Nivel sobre Programas (HLCP).  El Director General es el actual Presidente del HLCM (desde septiembre de 2012).</w:t>
      </w:r>
      <w:r w:rsidRPr="00A34388">
        <w:rPr>
          <w:lang w:val="es-ES_tradnl"/>
        </w:rPr>
        <w:t xml:space="preserve">  </w:t>
      </w:r>
      <w:r w:rsidRPr="00332758">
        <w:rPr>
          <w:lang w:val="es-ES_tradnl"/>
        </w:rPr>
        <w:t>La OMPI colabora activamente con otros organismos de las NN.UU. aportando contribuciones sustantivas en materias de la incumbencia de la JJE, particularmente la Agenda para el Desarrollo después de 2015.</w:t>
      </w:r>
    </w:p>
    <w:p w:rsidR="009124B0" w:rsidRPr="00A34388" w:rsidRDefault="009124B0" w:rsidP="009124B0">
      <w:pPr>
        <w:autoSpaceDE w:val="0"/>
        <w:autoSpaceDN w:val="0"/>
        <w:adjustRightInd w:val="0"/>
        <w:jc w:val="both"/>
        <w:rPr>
          <w:rFonts w:eastAsia="SimSun" w:cs="Arial"/>
          <w:szCs w:val="20"/>
          <w:lang w:val="es-ES_tradnl"/>
        </w:rPr>
      </w:pPr>
    </w:p>
    <w:p w:rsidR="009124B0" w:rsidRPr="00A34388" w:rsidRDefault="009124B0" w:rsidP="009124B0">
      <w:pPr>
        <w:numPr>
          <w:ilvl w:val="0"/>
          <w:numId w:val="54"/>
        </w:numPr>
        <w:autoSpaceDE w:val="0"/>
        <w:autoSpaceDN w:val="0"/>
        <w:adjustRightInd w:val="0"/>
        <w:jc w:val="both"/>
        <w:rPr>
          <w:rFonts w:eastAsia="SimSun" w:cs="Arial"/>
          <w:szCs w:val="20"/>
          <w:lang w:val="es-ES_tradnl"/>
        </w:rPr>
      </w:pPr>
      <w:r w:rsidRPr="00A34388">
        <w:rPr>
          <w:lang w:val="es-ES_tradnl"/>
        </w:rPr>
        <w:t xml:space="preserve">Se obtuvieron considerables </w:t>
      </w:r>
      <w:r w:rsidR="00154FED" w:rsidRPr="00A34388">
        <w:rPr>
          <w:lang w:val="es-ES_tradnl"/>
        </w:rPr>
        <w:t xml:space="preserve">progresos de cara al </w:t>
      </w:r>
      <w:r w:rsidRPr="00A34388">
        <w:rPr>
          <w:lang w:val="es-ES_tradnl"/>
        </w:rPr>
        <w:t xml:space="preserve">cumplimiento del compromiso asumido por el Director General en pro del establecimiento de un sistema completo de ética e integridad en la OMPI.  </w:t>
      </w:r>
      <w:r w:rsidR="00E34147" w:rsidRPr="00A34388">
        <w:rPr>
          <w:lang w:val="es-ES_tradnl"/>
        </w:rPr>
        <w:t>Tras celebrarse extensas consultas internas, dos importantes elementos del marco de ética e integridad fueron llevados a la práctica en el bienio</w:t>
      </w:r>
      <w:r w:rsidRPr="00A34388">
        <w:rPr>
          <w:lang w:val="es-ES_tradnl"/>
        </w:rPr>
        <w:t xml:space="preserve">.  </w:t>
      </w:r>
      <w:r w:rsidRPr="00332758">
        <w:rPr>
          <w:lang w:val="es-ES_tradnl"/>
        </w:rPr>
        <w:t>El Código de Ética Profesional de la OMPI define una plataforma común de principios rectores y de valores que el personal de la OMPI debe observar en el desempeño de sus funciones.  La Política de la OMPI en materia de protección de los denunciantes articula el valor atribuido por la Organización a la participación de los miembros de su personal en las actividades de vigilancia y la protección dispensada a los empleados que fueren objeto de medidas de represalia a causa de dicha participación.</w:t>
      </w:r>
      <w:r w:rsidRPr="00A34388">
        <w:rPr>
          <w:lang w:val="es-ES_tradnl"/>
        </w:rPr>
        <w:t xml:space="preserve">  Asimismo, durante el bienio se puso en marcha y se completó un exhaustivo programa de formación.  Las opiniones recabadas en sondeos del personal demostraron elevados niveles de sensibilización acerca de los principios éticos y de los procedimientos para informar sobre faltas de conducta.  Una parte cada vez mayor del personal de todos los niveles hace uso también de los servicios de asesoramiento de la Oficina de Ética Profesional.  Ello constituyó un buen indicador sobre la creciente sensibilización y grado de compromiso que la observancia de los principios éticos de la Organización generan.  </w:t>
      </w:r>
    </w:p>
    <w:p w:rsidR="009124B0" w:rsidRPr="00A34388" w:rsidRDefault="009124B0" w:rsidP="009124B0">
      <w:pPr>
        <w:jc w:val="both"/>
        <w:rPr>
          <w:rFonts w:eastAsia="SimSun" w:cs="Arial"/>
          <w:szCs w:val="20"/>
          <w:lang w:val="es-ES_tradnl"/>
        </w:rPr>
      </w:pPr>
    </w:p>
    <w:p w:rsidR="009124B0" w:rsidRPr="00A34388" w:rsidRDefault="009124B0" w:rsidP="009124B0">
      <w:pPr>
        <w:numPr>
          <w:ilvl w:val="0"/>
          <w:numId w:val="54"/>
        </w:numPr>
        <w:autoSpaceDE w:val="0"/>
        <w:autoSpaceDN w:val="0"/>
        <w:adjustRightInd w:val="0"/>
        <w:jc w:val="both"/>
        <w:rPr>
          <w:rFonts w:eastAsia="SimSun" w:cs="Arial"/>
          <w:szCs w:val="20"/>
          <w:lang w:val="es-ES_tradnl"/>
        </w:rPr>
      </w:pPr>
      <w:r w:rsidRPr="00332758">
        <w:rPr>
          <w:lang w:val="es-ES_tradnl"/>
        </w:rPr>
        <w:t>En el bienio la Oficina del Mediador pasó a ser parte establecida del marco de rendición de cuentas e integridad de la OMPI.  La oficina continuó promoviendo activamente un enfoque alternativo de los conflictos en el lugar de trabajo, manteniendo una comunicación regular con el personal y ofreciendo servicios de asesoramiento y mediación para ayudar a encontrar soluciones amigables y sostenibles.</w:t>
      </w:r>
      <w:r w:rsidRPr="00A34388">
        <w:rPr>
          <w:lang w:val="es-ES_tradnl"/>
        </w:rPr>
        <w:t xml:space="preserve">  Las estadísticas de visitantes durante el período reflejan una actitud más favorable del personal hacia la solución informal de controversias a través la Oficina del Mediador. </w:t>
      </w:r>
    </w:p>
    <w:p w:rsidR="009124B0" w:rsidRPr="00A34388" w:rsidRDefault="009124B0" w:rsidP="009124B0">
      <w:pPr>
        <w:jc w:val="both"/>
        <w:rPr>
          <w:rFonts w:eastAsia="SimSun" w:cs="Arial"/>
          <w:szCs w:val="20"/>
          <w:lang w:val="es-ES_tradnl"/>
        </w:rPr>
      </w:pPr>
    </w:p>
    <w:p w:rsidR="009124B0" w:rsidRPr="00A34388" w:rsidRDefault="009124B0" w:rsidP="009124B0">
      <w:pPr>
        <w:autoSpaceDE w:val="0"/>
        <w:autoSpaceDN w:val="0"/>
        <w:adjustRightInd w:val="0"/>
        <w:jc w:val="both"/>
        <w:rPr>
          <w:rFonts w:eastAsia="SimSun" w:cs="Arial"/>
          <w:sz w:val="22"/>
          <w:szCs w:val="22"/>
          <w:lang w:val="es-ES_tradnl"/>
        </w:rPr>
      </w:pPr>
      <w:r w:rsidRPr="00332758">
        <w:rPr>
          <w:sz w:val="22"/>
          <w:lang w:val="es-ES_tradnl"/>
        </w:rPr>
        <w:t>APLICACIÓN DE LA AGENDA PARA EL DESARROLLO</w:t>
      </w:r>
    </w:p>
    <w:p w:rsidR="009124B0" w:rsidRPr="00A34388" w:rsidRDefault="009124B0" w:rsidP="009124B0">
      <w:pPr>
        <w:autoSpaceDE w:val="0"/>
        <w:autoSpaceDN w:val="0"/>
        <w:adjustRightInd w:val="0"/>
        <w:jc w:val="both"/>
        <w:rPr>
          <w:rFonts w:eastAsia="SimSun" w:cs="Arial"/>
          <w:szCs w:val="20"/>
          <w:lang w:val="es-ES_tradnl"/>
        </w:rPr>
      </w:pPr>
    </w:p>
    <w:p w:rsidR="009124B0" w:rsidRPr="00A34388" w:rsidRDefault="009124B0" w:rsidP="009124B0">
      <w:pPr>
        <w:tabs>
          <w:tab w:val="left" w:pos="709"/>
        </w:tabs>
        <w:jc w:val="both"/>
        <w:rPr>
          <w:rFonts w:eastAsia="MS Mincho" w:cs="Arial"/>
          <w:sz w:val="22"/>
          <w:szCs w:val="22"/>
          <w:lang w:val="es-ES_tradnl"/>
        </w:rPr>
      </w:pPr>
      <w:r w:rsidRPr="00A34388">
        <w:rPr>
          <w:lang w:val="es-ES_tradnl"/>
        </w:rPr>
        <w:t>21.10.</w:t>
      </w:r>
      <w:r w:rsidRPr="00A34388">
        <w:rPr>
          <w:lang w:val="es-ES_tradnl"/>
        </w:rPr>
        <w:tab/>
        <w:t xml:space="preserve">El programa 21, que incluye el trabajo de la Oficina del Director General, desempeña un papel fundamental al proporcionar la orientación estratégica y la supervisión global necesaria para facilitar la integración y la aplicación de la Agenda de la OMPI para el Desarrollo por parte de todos los sectores </w:t>
      </w:r>
      <w:r w:rsidR="009B1238">
        <w:rPr>
          <w:lang w:val="es-ES_tradnl"/>
        </w:rPr>
        <w:t>pertinentes</w:t>
      </w:r>
      <w:r w:rsidRPr="00A34388">
        <w:rPr>
          <w:lang w:val="es-ES_tradnl"/>
        </w:rPr>
        <w:t xml:space="preserve"> de la Organización.  Para aplicar la recomendación 6 de la A.D. se estableció una Oficina de Ética Profesional y se publicó un Código de Ética Profesional tras las oportunas consultas con el Consejo del Personal y todo el personal de la OMPI.  Esta recomendación comenzó a incorporarse a las actividades de la OMPI en 2013 tras la conclusión del </w:t>
      </w:r>
      <w:r w:rsidR="009B1238">
        <w:rPr>
          <w:lang w:val="es-ES_tradnl"/>
        </w:rPr>
        <w:t>Programa de Alineación Estratégica</w:t>
      </w:r>
      <w:r w:rsidRPr="00A34388">
        <w:rPr>
          <w:lang w:val="es-ES_tradnl"/>
        </w:rPr>
        <w:t xml:space="preserve">.  Uno de los avances más destacados de las actividades de la Oficina de Ética Profesional en 2013 tiene que ver con el exhaustivo programa de formación sobre ética e integridad iniciado en 2012 y concluido en 2013. </w:t>
      </w:r>
    </w:p>
    <w:p w:rsidR="009124B0" w:rsidRPr="00A34388" w:rsidRDefault="009124B0" w:rsidP="009124B0">
      <w:pPr>
        <w:rPr>
          <w:rFonts w:eastAsia="MS Mincho" w:cs="Arial"/>
          <w:sz w:val="22"/>
          <w:szCs w:val="22"/>
          <w:lang w:val="es-ES_tradnl"/>
        </w:rPr>
      </w:pPr>
    </w:p>
    <w:p w:rsidR="009124B0" w:rsidRPr="00A34388" w:rsidRDefault="009124B0" w:rsidP="009124B0">
      <w:pPr>
        <w:rPr>
          <w:rFonts w:eastAsia="MS Mincho" w:cs="Arial"/>
          <w:sz w:val="22"/>
          <w:szCs w:val="22"/>
          <w:lang w:val="es-ES_tradnl"/>
        </w:rPr>
      </w:pPr>
    </w:p>
    <w:p w:rsidR="009124B0" w:rsidRPr="00332758" w:rsidRDefault="009124B0">
      <w:pPr>
        <w:rPr>
          <w:sz w:val="22"/>
          <w:lang w:val="es-ES_tradnl"/>
        </w:rPr>
      </w:pPr>
      <w:r w:rsidRPr="00332758">
        <w:rPr>
          <w:sz w:val="22"/>
          <w:lang w:val="es-ES_tradnl"/>
        </w:rPr>
        <w:br w:type="page"/>
      </w:r>
    </w:p>
    <w:p w:rsidR="009124B0" w:rsidRPr="00A34388" w:rsidRDefault="009124B0" w:rsidP="009124B0">
      <w:pPr>
        <w:rPr>
          <w:rFonts w:cs="Arial"/>
          <w:sz w:val="22"/>
          <w:szCs w:val="22"/>
          <w:lang w:val="es-ES_tradnl"/>
        </w:rPr>
      </w:pPr>
      <w:r w:rsidRPr="00332758">
        <w:rPr>
          <w:sz w:val="22"/>
          <w:lang w:val="es-ES_tradnl"/>
        </w:rPr>
        <w:lastRenderedPageBreak/>
        <w:t>DATOS SOBRE EL RENDIMIENTO</w:t>
      </w:r>
    </w:p>
    <w:p w:rsidR="009124B0" w:rsidRPr="00A34388" w:rsidRDefault="009124B0" w:rsidP="009124B0">
      <w:pPr>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00"/>
        <w:gridCol w:w="1629"/>
        <w:gridCol w:w="1480"/>
        <w:gridCol w:w="3316"/>
        <w:gridCol w:w="1132"/>
      </w:tblGrid>
      <w:tr w:rsidR="009124B0" w:rsidRPr="00A9508D"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A34388" w:rsidRDefault="009124B0" w:rsidP="00730F86">
            <w:pPr>
              <w:keepNext/>
              <w:keepLines/>
              <w:tabs>
                <w:tab w:val="left" w:pos="1452"/>
              </w:tabs>
              <w:spacing w:before="120" w:after="120"/>
              <w:ind w:left="1452" w:hanging="1452"/>
              <w:rPr>
                <w:rFonts w:cs="Arial"/>
                <w:b/>
                <w:bCs/>
                <w:color w:val="FF00FF"/>
                <w:sz w:val="16"/>
                <w:szCs w:val="16"/>
                <w:lang w:val="es-ES_tradnl"/>
              </w:rPr>
            </w:pPr>
            <w:r w:rsidRPr="00332758">
              <w:rPr>
                <w:b/>
                <w:sz w:val="16"/>
                <w:lang w:val="es-ES_tradnl"/>
              </w:rPr>
              <w:t>Resultado previsto:</w:t>
            </w:r>
            <w:r w:rsidRPr="00332758">
              <w:rPr>
                <w:sz w:val="16"/>
                <w:lang w:val="es-ES_tradnl"/>
              </w:rPr>
              <w:t xml:space="preserve"> </w:t>
            </w:r>
            <w:r w:rsidRPr="00332758">
              <w:rPr>
                <w:b/>
                <w:sz w:val="16"/>
                <w:lang w:val="es-ES_tradnl"/>
              </w:rPr>
              <w:t xml:space="preserve"> </w:t>
            </w:r>
            <w:r w:rsidRPr="00332758">
              <w:rPr>
                <w:sz w:val="16"/>
                <w:lang w:val="es-ES_tradnl"/>
              </w:rPr>
              <w:t>Atención eficaz a los Estados miembros.</w:t>
            </w:r>
          </w:p>
        </w:tc>
      </w:tr>
      <w:tr w:rsidR="009124B0" w:rsidRPr="00A34388" w:rsidTr="00730F86">
        <w:trPr>
          <w:cantSplit/>
        </w:trPr>
        <w:tc>
          <w:tcPr>
            <w:tcW w:w="789" w:type="pct"/>
            <w:tcBorders>
              <w:top w:val="single" w:sz="4" w:space="0" w:color="auto"/>
            </w:tcBorders>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9124B0" w:rsidRPr="00A34388" w:rsidRDefault="009124B0" w:rsidP="00730F86">
            <w:pPr>
              <w:rPr>
                <w:rFonts w:cs="Arial"/>
                <w:b/>
                <w:bCs/>
                <w:color w:val="808080"/>
                <w:sz w:val="16"/>
                <w:szCs w:val="16"/>
                <w:lang w:val="es-ES_tradnl"/>
              </w:rPr>
            </w:pPr>
            <w:r w:rsidRPr="00332758">
              <w:rPr>
                <w:b/>
                <w:sz w:val="16"/>
                <w:lang w:val="es-ES_tradnl"/>
              </w:rPr>
              <w:t>Referencia</w:t>
            </w:r>
          </w:p>
        </w:tc>
        <w:tc>
          <w:tcPr>
            <w:tcW w:w="834" w:type="pct"/>
            <w:tcBorders>
              <w:top w:val="single" w:sz="4" w:space="0" w:color="auto"/>
            </w:tcBorders>
            <w:shd w:val="clear" w:color="auto" w:fill="auto"/>
            <w:tcMar>
              <w:top w:w="110" w:type="dxa"/>
            </w:tcMar>
            <w:vAlign w:val="center"/>
          </w:tcPr>
          <w:p w:rsidR="009124B0" w:rsidRPr="00A34388" w:rsidRDefault="009124B0" w:rsidP="00730F86">
            <w:pPr>
              <w:rPr>
                <w:rFonts w:cs="Arial"/>
                <w:b/>
                <w:color w:val="808080"/>
                <w:sz w:val="16"/>
                <w:szCs w:val="16"/>
                <w:lang w:val="es-ES_tradnl"/>
              </w:rPr>
            </w:pPr>
            <w:r w:rsidRPr="00332758">
              <w:rPr>
                <w:b/>
                <w:sz w:val="16"/>
                <w:lang w:val="es-ES_tradnl"/>
              </w:rPr>
              <w:t>Objetivos</w:t>
            </w:r>
          </w:p>
        </w:tc>
        <w:tc>
          <w:tcPr>
            <w:tcW w:w="1815" w:type="pct"/>
            <w:tcBorders>
              <w:top w:val="single" w:sz="4" w:space="0" w:color="auto"/>
            </w:tcBorders>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48" w:type="pct"/>
            <w:tcBorders>
              <w:top w:val="single" w:sz="4" w:space="0" w:color="auto"/>
            </w:tcBorders>
            <w:shd w:val="clear" w:color="auto" w:fill="auto"/>
            <w:tcMar>
              <w:top w:w="110" w:type="dxa"/>
            </w:tcMar>
            <w:vAlign w:val="center"/>
          </w:tcPr>
          <w:p w:rsidR="009124B0" w:rsidRPr="00332758" w:rsidRDefault="009124B0" w:rsidP="00730F86">
            <w:pPr>
              <w:keepNext/>
              <w:keepLines/>
              <w:jc w:val="center"/>
              <w:rPr>
                <w:rFonts w:cs="Arial"/>
                <w:b/>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332758" w:rsidRDefault="009124B0" w:rsidP="00730F86">
            <w:pPr>
              <w:rPr>
                <w:rFonts w:cs="Arial"/>
                <w:sz w:val="16"/>
                <w:szCs w:val="16"/>
                <w:lang w:val="es-ES_tradnl"/>
              </w:rPr>
            </w:pPr>
            <w:r w:rsidRPr="00332758">
              <w:rPr>
                <w:sz w:val="16"/>
                <w:lang w:val="es-ES_tradnl"/>
              </w:rPr>
              <w:t>Porcentaje de sesiones de Comité precedidas de reuniones informativas para los Estados miembros.</w:t>
            </w:r>
          </w:p>
        </w:tc>
        <w:tc>
          <w:tcPr>
            <w:tcW w:w="914" w:type="pct"/>
            <w:shd w:val="clear" w:color="auto" w:fill="auto"/>
          </w:tcPr>
          <w:p w:rsidR="009124B0" w:rsidRPr="00CC013D" w:rsidRDefault="009124B0" w:rsidP="00730F86">
            <w:pPr>
              <w:rPr>
                <w:rFonts w:cs="Arial"/>
                <w:i/>
                <w:color w:val="002060"/>
                <w:sz w:val="16"/>
                <w:szCs w:val="16"/>
                <w:lang w:val="es-ES_tradnl"/>
              </w:rPr>
            </w:pPr>
            <w:r w:rsidRPr="00CC013D">
              <w:rPr>
                <w:i/>
                <w:color w:val="002060"/>
                <w:sz w:val="16"/>
                <w:lang w:val="es-ES_tradnl"/>
              </w:rPr>
              <w:t xml:space="preserve">Referencia actualizada a fines de 2011: </w:t>
            </w:r>
          </w:p>
          <w:p w:rsidR="009124B0" w:rsidRPr="00CC013D" w:rsidRDefault="009124B0" w:rsidP="00730F86">
            <w:pPr>
              <w:rPr>
                <w:rFonts w:cs="Arial"/>
                <w:color w:val="002060"/>
                <w:sz w:val="16"/>
                <w:szCs w:val="16"/>
                <w:lang w:val="es-ES_tradnl"/>
              </w:rPr>
            </w:pPr>
            <w:r w:rsidRPr="00CC013D">
              <w:rPr>
                <w:color w:val="002060"/>
                <w:sz w:val="16"/>
                <w:lang w:val="es-ES_tradnl"/>
              </w:rPr>
              <w:t>Por determinar: número de reuniones de información organizadas antes de las reuniones de los comités celebradas en 2011:  80%</w:t>
            </w:r>
          </w:p>
          <w:p w:rsidR="009124B0" w:rsidRPr="00A34388" w:rsidRDefault="009124B0" w:rsidP="00730F86">
            <w:pPr>
              <w:rPr>
                <w:rFonts w:cs="Arial"/>
                <w:i/>
                <w:sz w:val="8"/>
                <w:szCs w:val="8"/>
                <w:lang w:val="es-ES_tradnl"/>
              </w:rPr>
            </w:pPr>
          </w:p>
          <w:p w:rsidR="009124B0" w:rsidRPr="00A34388" w:rsidRDefault="009124B0" w:rsidP="009B1238">
            <w:pPr>
              <w:rPr>
                <w:rFonts w:cs="Arial"/>
                <w:color w:val="000000"/>
                <w:sz w:val="16"/>
                <w:szCs w:val="16"/>
                <w:lang w:val="es-ES_tradnl"/>
              </w:rPr>
            </w:pPr>
            <w:r w:rsidRPr="00A34388">
              <w:rPr>
                <w:i/>
                <w:sz w:val="16"/>
                <w:lang w:val="es-ES_tradnl"/>
              </w:rPr>
              <w:t xml:space="preserve">Referencia original Presup. por prog. 2012/12:  </w:t>
            </w:r>
            <w:r w:rsidRPr="00A34388">
              <w:rPr>
                <w:rFonts w:cs="Arial"/>
                <w:i/>
                <w:sz w:val="16"/>
                <w:szCs w:val="16"/>
                <w:lang w:val="es-ES_tradnl"/>
              </w:rPr>
              <w:br/>
            </w:r>
            <w:r w:rsidRPr="00A34388">
              <w:rPr>
                <w:sz w:val="16"/>
                <w:lang w:val="es-ES_tradnl"/>
              </w:rPr>
              <w:t xml:space="preserve">Por determinar: </w:t>
            </w:r>
            <w:r w:rsidR="007E4D96" w:rsidRPr="00A34388">
              <w:rPr>
                <w:sz w:val="16"/>
                <w:lang w:val="es-ES_tradnl"/>
              </w:rPr>
              <w:t xml:space="preserve"> </w:t>
            </w:r>
            <w:r w:rsidRPr="00A34388">
              <w:rPr>
                <w:sz w:val="16"/>
                <w:lang w:val="es-ES_tradnl"/>
              </w:rPr>
              <w:t>número de reuniones de información organizadas antes de las reuniones de los comités celebradas en 2010/11.</w:t>
            </w:r>
          </w:p>
        </w:tc>
        <w:tc>
          <w:tcPr>
            <w:tcW w:w="834" w:type="pct"/>
            <w:shd w:val="clear" w:color="auto" w:fill="auto"/>
            <w:tcMar>
              <w:top w:w="110" w:type="dxa"/>
            </w:tcMar>
          </w:tcPr>
          <w:p w:rsidR="009124B0" w:rsidRPr="00A34388" w:rsidRDefault="009124B0" w:rsidP="00183EF2">
            <w:pPr>
              <w:autoSpaceDE w:val="0"/>
              <w:autoSpaceDN w:val="0"/>
              <w:adjustRightInd w:val="0"/>
              <w:rPr>
                <w:rFonts w:cs="Arial"/>
                <w:sz w:val="16"/>
                <w:szCs w:val="16"/>
                <w:lang w:val="es-ES_tradnl"/>
              </w:rPr>
            </w:pPr>
            <w:r w:rsidRPr="00A34388">
              <w:rPr>
                <w:rFonts w:ascii="ArialMT" w:hAnsi="ArialMT"/>
                <w:sz w:val="16"/>
                <w:lang w:val="es-ES_tradnl"/>
              </w:rPr>
              <w:t xml:space="preserve">90% de </w:t>
            </w:r>
            <w:r w:rsidR="00183EF2" w:rsidRPr="00A34388">
              <w:rPr>
                <w:rFonts w:ascii="ArialMT" w:hAnsi="ArialMT"/>
                <w:sz w:val="16"/>
                <w:lang w:val="es-ES_tradnl"/>
              </w:rPr>
              <w:t xml:space="preserve">las sesiones </w:t>
            </w:r>
            <w:r w:rsidR="00E34147" w:rsidRPr="00A34388">
              <w:rPr>
                <w:rFonts w:ascii="ArialMT" w:hAnsi="ArialMT"/>
                <w:sz w:val="16"/>
                <w:lang w:val="es-ES_tradnl"/>
              </w:rPr>
              <w:t xml:space="preserve">de </w:t>
            </w:r>
            <w:r w:rsidR="00183EF2" w:rsidRPr="00A34388">
              <w:rPr>
                <w:rFonts w:ascii="ArialMT" w:hAnsi="ArialMT"/>
                <w:sz w:val="16"/>
                <w:lang w:val="es-ES_tradnl"/>
              </w:rPr>
              <w:t xml:space="preserve">los comités </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332758">
              <w:rPr>
                <w:sz w:val="16"/>
                <w:lang w:val="es-ES_tradnl"/>
              </w:rPr>
              <w:t>Un 81%, según una encuesta de los secretarios de los comités.</w:t>
            </w:r>
          </w:p>
        </w:tc>
        <w:tc>
          <w:tcPr>
            <w:tcW w:w="648"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cartas dirigidas al Director General por los Estados miembros que han obtenido respuesta en el plazo de dos semanas.</w:t>
            </w:r>
          </w:p>
        </w:tc>
        <w:tc>
          <w:tcPr>
            <w:tcW w:w="914"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80%</w:t>
            </w:r>
          </w:p>
          <w:p w:rsidR="009124B0" w:rsidRPr="00A34388" w:rsidRDefault="009124B0" w:rsidP="00730F86">
            <w:pPr>
              <w:rPr>
                <w:rFonts w:cs="Arial"/>
                <w:i/>
                <w:color w:val="00000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rFonts w:cs="Arial"/>
                <w:i/>
                <w:color w:val="000000"/>
                <w:sz w:val="16"/>
                <w:szCs w:val="16"/>
                <w:lang w:val="es-ES_tradnl"/>
              </w:rPr>
              <w:br/>
            </w:r>
            <w:r w:rsidRPr="00A34388">
              <w:rPr>
                <w:color w:val="000000"/>
                <w:sz w:val="16"/>
                <w:lang w:val="es-ES_tradnl"/>
              </w:rPr>
              <w:t>Por determinar.</w:t>
            </w:r>
          </w:p>
        </w:tc>
        <w:tc>
          <w:tcPr>
            <w:tcW w:w="834" w:type="pct"/>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 xml:space="preserve">80% media </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332758">
              <w:rPr>
                <w:sz w:val="16"/>
                <w:lang w:val="es-ES_tradnl"/>
              </w:rPr>
              <w:t>Un 81%, según una evaluación de la correspondencia recibida y enviada.</w:t>
            </w:r>
          </w:p>
        </w:tc>
        <w:tc>
          <w:tcPr>
            <w:tcW w:w="648"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Índice de satisfacción de los Estados miembros respecto de la preparación y funcionamiento de las Asambleas.</w:t>
            </w:r>
          </w:p>
        </w:tc>
        <w:tc>
          <w:tcPr>
            <w:tcW w:w="914" w:type="pct"/>
            <w:shd w:val="clear" w:color="auto" w:fill="auto"/>
          </w:tcPr>
          <w:p w:rsidR="009124B0" w:rsidRPr="00A34388" w:rsidRDefault="009124B0" w:rsidP="00730F86">
            <w:pPr>
              <w:rPr>
                <w:rFonts w:ascii="ArialMT" w:hAnsi="ArialMT" w:cs="ArialMT"/>
                <w:sz w:val="16"/>
                <w:szCs w:val="16"/>
                <w:lang w:val="es-ES_tradnl"/>
              </w:rPr>
            </w:pPr>
            <w:r w:rsidRPr="00332758">
              <w:rPr>
                <w:rFonts w:ascii="ArialMT" w:hAnsi="ArialMT"/>
                <w:sz w:val="16"/>
                <w:lang w:val="es-ES_tradnl"/>
              </w:rPr>
              <w:t>No se dispone de datos.</w:t>
            </w:r>
          </w:p>
        </w:tc>
        <w:tc>
          <w:tcPr>
            <w:tcW w:w="834" w:type="pct"/>
            <w:shd w:val="clear" w:color="auto" w:fill="auto"/>
            <w:tcMar>
              <w:top w:w="110" w:type="dxa"/>
            </w:tcMar>
          </w:tcPr>
          <w:p w:rsidR="009124B0" w:rsidRPr="00A34388" w:rsidRDefault="009124B0" w:rsidP="00730F86">
            <w:pPr>
              <w:rPr>
                <w:rFonts w:cs="Arial"/>
                <w:color w:val="000000"/>
                <w:sz w:val="16"/>
                <w:szCs w:val="16"/>
                <w:lang w:val="es-ES_tradnl"/>
              </w:rPr>
            </w:pPr>
            <w:r w:rsidRPr="00332758">
              <w:rPr>
                <w:sz w:val="16"/>
                <w:lang w:val="es-ES_tradnl"/>
              </w:rPr>
              <w:t>85% satisfecho con las disposiciones adoptadas.</w:t>
            </w:r>
            <w:r w:rsidRPr="00A34388">
              <w:rPr>
                <w:color w:val="993300"/>
                <w:sz w:val="16"/>
                <w:lang w:val="es-ES_tradnl"/>
              </w:rPr>
              <w:t xml:space="preserve"> </w:t>
            </w:r>
          </w:p>
        </w:tc>
        <w:tc>
          <w:tcPr>
            <w:tcW w:w="1815" w:type="pct"/>
            <w:shd w:val="clear" w:color="auto" w:fill="FFFFFF"/>
            <w:tcMar>
              <w:top w:w="110" w:type="dxa"/>
            </w:tcMar>
          </w:tcPr>
          <w:p w:rsidR="009124B0" w:rsidRPr="00A34388" w:rsidRDefault="009124B0" w:rsidP="00183EF2">
            <w:pPr>
              <w:rPr>
                <w:rFonts w:cs="Arial"/>
                <w:sz w:val="16"/>
                <w:szCs w:val="16"/>
                <w:lang w:val="es-ES_tradnl"/>
              </w:rPr>
            </w:pPr>
            <w:r w:rsidRPr="00A34388">
              <w:rPr>
                <w:sz w:val="16"/>
                <w:lang w:val="es-ES_tradnl"/>
              </w:rPr>
              <w:t xml:space="preserve">88% según la encuesta de las Asambleas de la OMPI de 2012 (en 2013 no pudo llevarse a cabo una encuesta por </w:t>
            </w:r>
            <w:r w:rsidR="00183EF2" w:rsidRPr="00A34388">
              <w:rPr>
                <w:sz w:val="16"/>
                <w:lang w:val="es-ES_tradnl"/>
              </w:rPr>
              <w:t xml:space="preserve">circunstancias </w:t>
            </w:r>
            <w:r w:rsidRPr="00A34388">
              <w:rPr>
                <w:sz w:val="16"/>
                <w:lang w:val="es-ES_tradnl"/>
              </w:rPr>
              <w:t>excepcionales;  volverá a realizarse en 2014).</w:t>
            </w:r>
          </w:p>
        </w:tc>
        <w:tc>
          <w:tcPr>
            <w:tcW w:w="648"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A34388" w:rsidTr="00730F86">
        <w:trPr>
          <w:cantSplit/>
        </w:trPr>
        <w:tc>
          <w:tcPr>
            <w:tcW w:w="789" w:type="pct"/>
            <w:tcBorders>
              <w:bottom w:val="single" w:sz="4" w:space="0" w:color="auto"/>
            </w:tcBorders>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Publicación puntual de los documentos de las Asambleas.</w:t>
            </w:r>
          </w:p>
        </w:tc>
        <w:tc>
          <w:tcPr>
            <w:tcW w:w="914" w:type="pct"/>
            <w:tcBorders>
              <w:bottom w:val="single" w:sz="4" w:space="0" w:color="auto"/>
            </w:tcBorders>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90% de los documentos publicados al menos dos meses antes de las Asambleas.</w:t>
            </w:r>
          </w:p>
        </w:tc>
        <w:tc>
          <w:tcPr>
            <w:tcW w:w="834" w:type="pct"/>
            <w:tcBorders>
              <w:bottom w:val="single" w:sz="4" w:space="0" w:color="auto"/>
            </w:tcBorders>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Todos los documentos se publicaron dos meses antes de las Asambleas</w:t>
            </w:r>
          </w:p>
        </w:tc>
        <w:tc>
          <w:tcPr>
            <w:tcW w:w="1815" w:type="pct"/>
            <w:tcBorders>
              <w:bottom w:val="single" w:sz="4" w:space="0" w:color="auto"/>
            </w:tcBorders>
            <w:shd w:val="clear" w:color="auto" w:fill="FFFFFF"/>
            <w:tcMar>
              <w:top w:w="110" w:type="dxa"/>
            </w:tcMar>
          </w:tcPr>
          <w:p w:rsidR="009124B0" w:rsidRPr="00A34388" w:rsidRDefault="009124B0" w:rsidP="00730F86">
            <w:pPr>
              <w:rPr>
                <w:rFonts w:eastAsia="SimSun" w:cs="Arial"/>
                <w:sz w:val="16"/>
                <w:szCs w:val="16"/>
                <w:lang w:val="es-ES_tradnl"/>
              </w:rPr>
            </w:pPr>
            <w:r w:rsidRPr="00332758">
              <w:rPr>
                <w:sz w:val="16"/>
                <w:lang w:val="es-ES_tradnl"/>
              </w:rPr>
              <w:t>Para los períodos ordinarios de las Asambleas, el 95% de los documentos se publicaron por lo menos dos meses antes de su celebración.  No fue así en el caso de aquellos documentos que, por su naturaleza, se publican siempre en una fecha más cercana a la de las Asambleas (p. ej., la lista de participantes, la lista de documentos, la lista de las mesas o el resumen de las decisiones del Comité del Programa y Presupuesto (PBC) de septiembre.</w:t>
            </w:r>
          </w:p>
          <w:p w:rsidR="009124B0" w:rsidRPr="00A34388" w:rsidRDefault="009124B0" w:rsidP="00730F86">
            <w:pPr>
              <w:rPr>
                <w:rFonts w:cs="Arial"/>
                <w:sz w:val="16"/>
                <w:szCs w:val="16"/>
                <w:lang w:val="es-ES_tradnl"/>
              </w:rPr>
            </w:pPr>
          </w:p>
        </w:tc>
        <w:tc>
          <w:tcPr>
            <w:tcW w:w="648" w:type="pct"/>
            <w:tcBorders>
              <w:bottom w:val="single" w:sz="4" w:space="0" w:color="auto"/>
            </w:tcBorders>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A9508D"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1E182E">
            <w:pPr>
              <w:keepNext/>
              <w:keepLines/>
              <w:tabs>
                <w:tab w:val="left" w:pos="1452"/>
              </w:tabs>
              <w:spacing w:before="120" w:after="120"/>
              <w:ind w:left="1452" w:hanging="1452"/>
              <w:rPr>
                <w:rFonts w:cs="Arial"/>
                <w:b/>
                <w:bCs/>
                <w:sz w:val="16"/>
                <w:szCs w:val="16"/>
                <w:lang w:val="es-ES_tradnl"/>
              </w:rPr>
            </w:pPr>
            <w:r w:rsidRPr="00332758">
              <w:rPr>
                <w:b/>
                <w:sz w:val="16"/>
                <w:lang w:val="es-ES_tradnl"/>
              </w:rPr>
              <w:lastRenderedPageBreak/>
              <w:t>Resultado previsto:</w:t>
            </w:r>
            <w:r w:rsidRPr="00332758">
              <w:rPr>
                <w:sz w:val="16"/>
                <w:lang w:val="es-ES_tradnl"/>
              </w:rPr>
              <w:t xml:space="preserve">  Mayor coordinación y coherencia en el seno de la Secretaría.</w:t>
            </w:r>
          </w:p>
        </w:tc>
      </w:tr>
      <w:tr w:rsidR="009124B0" w:rsidRPr="00A34388" w:rsidTr="00730F86">
        <w:trPr>
          <w:cantSplit/>
        </w:trPr>
        <w:tc>
          <w:tcPr>
            <w:tcW w:w="789" w:type="pct"/>
            <w:tcBorders>
              <w:top w:val="single" w:sz="4" w:space="0" w:color="auto"/>
            </w:tcBorders>
            <w:shd w:val="clear" w:color="auto" w:fill="auto"/>
            <w:vAlign w:val="center"/>
          </w:tcPr>
          <w:p w:rsidR="009124B0" w:rsidRPr="00A34388" w:rsidRDefault="009124B0" w:rsidP="001E182E">
            <w:pPr>
              <w:keepNext/>
              <w:rPr>
                <w:rFonts w:cs="Arial"/>
                <w:color w:val="808080"/>
                <w:sz w:val="16"/>
                <w:szCs w:val="16"/>
                <w:lang w:val="es-ES_tradnl"/>
              </w:rPr>
            </w:pPr>
            <w:r w:rsidRPr="00332758">
              <w:rPr>
                <w:b/>
                <w:sz w:val="16"/>
                <w:lang w:val="es-ES_tradnl"/>
              </w:rPr>
              <w:t>Indicadores de rendimiento</w:t>
            </w:r>
          </w:p>
        </w:tc>
        <w:tc>
          <w:tcPr>
            <w:tcW w:w="914" w:type="pct"/>
            <w:tcBorders>
              <w:top w:val="single" w:sz="4" w:space="0" w:color="auto"/>
            </w:tcBorders>
            <w:shd w:val="clear" w:color="auto" w:fill="auto"/>
            <w:vAlign w:val="center"/>
          </w:tcPr>
          <w:p w:rsidR="009124B0" w:rsidRPr="00A34388" w:rsidRDefault="009124B0" w:rsidP="001E182E">
            <w:pPr>
              <w:keepNext/>
              <w:rPr>
                <w:rFonts w:cs="Arial"/>
                <w:b/>
                <w:bCs/>
                <w:color w:val="808080"/>
                <w:sz w:val="16"/>
                <w:szCs w:val="16"/>
                <w:lang w:val="es-ES_tradnl"/>
              </w:rPr>
            </w:pPr>
            <w:r w:rsidRPr="00332758">
              <w:rPr>
                <w:b/>
                <w:sz w:val="16"/>
                <w:lang w:val="es-ES_tradnl"/>
              </w:rPr>
              <w:t>Referencia</w:t>
            </w:r>
          </w:p>
        </w:tc>
        <w:tc>
          <w:tcPr>
            <w:tcW w:w="834" w:type="pct"/>
            <w:tcBorders>
              <w:top w:val="single" w:sz="4" w:space="0" w:color="auto"/>
            </w:tcBorders>
            <w:shd w:val="clear" w:color="auto" w:fill="auto"/>
            <w:tcMar>
              <w:top w:w="110" w:type="dxa"/>
            </w:tcMar>
            <w:vAlign w:val="center"/>
          </w:tcPr>
          <w:p w:rsidR="009124B0" w:rsidRPr="00A34388" w:rsidRDefault="009124B0" w:rsidP="001E182E">
            <w:pPr>
              <w:keepNext/>
              <w:rPr>
                <w:rFonts w:cs="Arial"/>
                <w:b/>
                <w:color w:val="808080"/>
                <w:sz w:val="16"/>
                <w:szCs w:val="16"/>
                <w:lang w:val="es-ES_tradnl"/>
              </w:rPr>
            </w:pPr>
            <w:r w:rsidRPr="00332758">
              <w:rPr>
                <w:b/>
                <w:sz w:val="16"/>
                <w:lang w:val="es-ES_tradnl"/>
              </w:rPr>
              <w:t>Objetivos</w:t>
            </w:r>
          </w:p>
        </w:tc>
        <w:tc>
          <w:tcPr>
            <w:tcW w:w="1815" w:type="pct"/>
            <w:tcBorders>
              <w:top w:val="single" w:sz="4" w:space="0" w:color="auto"/>
            </w:tcBorders>
            <w:shd w:val="clear" w:color="auto" w:fill="FFFFFF"/>
            <w:tcMar>
              <w:top w:w="110" w:type="dxa"/>
            </w:tcMar>
            <w:vAlign w:val="center"/>
          </w:tcPr>
          <w:p w:rsidR="009124B0" w:rsidRPr="00A34388" w:rsidRDefault="009124B0" w:rsidP="001E182E">
            <w:pPr>
              <w:keepNext/>
              <w:rPr>
                <w:rFonts w:cs="Arial"/>
                <w:color w:val="808080"/>
                <w:sz w:val="16"/>
                <w:szCs w:val="16"/>
                <w:lang w:val="es-ES_tradnl"/>
              </w:rPr>
            </w:pPr>
            <w:r w:rsidRPr="00332758">
              <w:rPr>
                <w:b/>
                <w:sz w:val="16"/>
                <w:lang w:val="es-ES_tradnl"/>
              </w:rPr>
              <w:t>Datos sobre el rendimiento</w:t>
            </w:r>
          </w:p>
        </w:tc>
        <w:tc>
          <w:tcPr>
            <w:tcW w:w="648" w:type="pct"/>
            <w:tcBorders>
              <w:top w:val="single" w:sz="4" w:space="0" w:color="auto"/>
            </w:tcBorders>
            <w:shd w:val="clear" w:color="auto" w:fill="auto"/>
            <w:tcMar>
              <w:top w:w="110" w:type="dxa"/>
            </w:tcMar>
            <w:vAlign w:val="center"/>
          </w:tcPr>
          <w:p w:rsidR="009124B0" w:rsidRPr="00332758" w:rsidRDefault="009124B0" w:rsidP="001E182E">
            <w:pPr>
              <w:keepNext/>
              <w:keepLines/>
              <w:jc w:val="center"/>
              <w:rPr>
                <w:rFonts w:cs="Arial"/>
                <w:b/>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A34388" w:rsidRDefault="009124B0" w:rsidP="001E182E">
            <w:pPr>
              <w:keepNext/>
              <w:rPr>
                <w:rFonts w:cs="Arial"/>
                <w:color w:val="000000"/>
                <w:sz w:val="16"/>
                <w:szCs w:val="16"/>
                <w:lang w:val="es-ES_tradnl"/>
              </w:rPr>
            </w:pPr>
            <w:r w:rsidRPr="00332758">
              <w:rPr>
                <w:sz w:val="16"/>
                <w:lang w:val="es-ES_tradnl"/>
              </w:rPr>
              <w:t>Finalización del Programa de Alineación Estratégica.</w:t>
            </w:r>
            <w:r w:rsidRPr="00A34388">
              <w:rPr>
                <w:color w:val="000000"/>
                <w:sz w:val="16"/>
                <w:lang w:val="es-ES_tradnl"/>
              </w:rPr>
              <w:t xml:space="preserve"> </w:t>
            </w:r>
          </w:p>
        </w:tc>
        <w:tc>
          <w:tcPr>
            <w:tcW w:w="914" w:type="pct"/>
            <w:shd w:val="clear" w:color="auto" w:fill="auto"/>
          </w:tcPr>
          <w:p w:rsidR="009124B0" w:rsidRPr="00A34388" w:rsidRDefault="009124B0" w:rsidP="001E182E">
            <w:pPr>
              <w:keepNext/>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Se ha llevado a cabo 1 de las 19 iniciativas (examen de mitad de período del Plan estratégico).</w:t>
            </w:r>
          </w:p>
          <w:p w:rsidR="009124B0" w:rsidRPr="00A34388" w:rsidRDefault="009124B0" w:rsidP="001E182E">
            <w:pPr>
              <w:keepNext/>
              <w:rPr>
                <w:rFonts w:cs="Arial"/>
                <w:i/>
                <w:color w:val="002060"/>
                <w:sz w:val="8"/>
                <w:szCs w:val="8"/>
                <w:lang w:val="es-ES_tradnl"/>
              </w:rPr>
            </w:pPr>
          </w:p>
          <w:p w:rsidR="009124B0" w:rsidRPr="00A34388" w:rsidRDefault="009124B0" w:rsidP="001E182E">
            <w:pPr>
              <w:keepNext/>
              <w:rPr>
                <w:rFonts w:cs="Arial"/>
                <w:color w:val="000000"/>
                <w:sz w:val="16"/>
                <w:szCs w:val="16"/>
                <w:lang w:val="es-ES_tradnl"/>
              </w:rPr>
            </w:pPr>
            <w:r w:rsidRPr="00A34388">
              <w:rPr>
                <w:i/>
                <w:color w:val="000000"/>
                <w:sz w:val="16"/>
                <w:lang w:val="es-ES_tradnl"/>
              </w:rPr>
              <w:t xml:space="preserve">Referencia original Presup. por prog. 2012/12:  </w:t>
            </w:r>
            <w:r w:rsidRPr="00A34388">
              <w:rPr>
                <w:rFonts w:cs="Arial"/>
                <w:i/>
                <w:color w:val="000000"/>
                <w:sz w:val="16"/>
                <w:szCs w:val="16"/>
                <w:lang w:val="es-ES_tradnl"/>
              </w:rPr>
              <w:br/>
            </w:r>
            <w:r w:rsidR="00183EF2" w:rsidRPr="00A34388">
              <w:rPr>
                <w:color w:val="000000"/>
                <w:sz w:val="16"/>
                <w:lang w:val="es-ES_tradnl"/>
              </w:rPr>
              <w:t>En 2010 s</w:t>
            </w:r>
            <w:r w:rsidRPr="00A34388">
              <w:rPr>
                <w:color w:val="000000"/>
                <w:sz w:val="16"/>
                <w:lang w:val="es-ES_tradnl"/>
              </w:rPr>
              <w:t>e ha llevado a cabo 1 de las 19 iniciativas.</w:t>
            </w:r>
          </w:p>
        </w:tc>
        <w:tc>
          <w:tcPr>
            <w:tcW w:w="834" w:type="pct"/>
            <w:shd w:val="clear" w:color="auto" w:fill="auto"/>
            <w:tcMar>
              <w:top w:w="110" w:type="dxa"/>
            </w:tcMar>
          </w:tcPr>
          <w:p w:rsidR="009124B0" w:rsidRPr="00A34388" w:rsidRDefault="009124B0" w:rsidP="001E182E">
            <w:pPr>
              <w:keepNext/>
              <w:autoSpaceDE w:val="0"/>
              <w:autoSpaceDN w:val="0"/>
              <w:adjustRightInd w:val="0"/>
              <w:rPr>
                <w:rFonts w:ascii="ArialMT" w:hAnsi="ArialMT" w:cs="ArialMT"/>
                <w:sz w:val="16"/>
                <w:szCs w:val="16"/>
                <w:lang w:val="es-ES_tradnl"/>
              </w:rPr>
            </w:pPr>
            <w:r w:rsidRPr="00A34388">
              <w:rPr>
                <w:rFonts w:ascii="ArialMT" w:hAnsi="ArialMT"/>
                <w:sz w:val="16"/>
                <w:lang w:val="es-ES_tradnl"/>
              </w:rPr>
              <w:t>Todas las iniciativas</w:t>
            </w:r>
          </w:p>
          <w:p w:rsidR="009124B0" w:rsidRPr="00A34388" w:rsidRDefault="009124B0" w:rsidP="001E182E">
            <w:pPr>
              <w:keepNext/>
              <w:rPr>
                <w:rFonts w:cs="Arial"/>
                <w:sz w:val="16"/>
                <w:szCs w:val="16"/>
                <w:lang w:val="es-ES_tradnl"/>
              </w:rPr>
            </w:pPr>
            <w:r w:rsidRPr="00A34388">
              <w:rPr>
                <w:rFonts w:ascii="ArialMT" w:hAnsi="ArialMT"/>
                <w:sz w:val="16"/>
                <w:lang w:val="es-ES_tradnl"/>
              </w:rPr>
              <w:t>completadas</w:t>
            </w:r>
            <w:r w:rsidRPr="00A34388">
              <w:rPr>
                <w:sz w:val="16"/>
                <w:lang w:val="es-ES_tradnl"/>
              </w:rPr>
              <w:t xml:space="preserve"> </w:t>
            </w:r>
          </w:p>
        </w:tc>
        <w:tc>
          <w:tcPr>
            <w:tcW w:w="1815" w:type="pct"/>
            <w:shd w:val="clear" w:color="auto" w:fill="FFFFFF"/>
            <w:tcMar>
              <w:top w:w="110" w:type="dxa"/>
            </w:tcMar>
          </w:tcPr>
          <w:p w:rsidR="009124B0" w:rsidRPr="00A34388" w:rsidRDefault="009124B0" w:rsidP="009B1238">
            <w:pPr>
              <w:keepNext/>
              <w:rPr>
                <w:rFonts w:cs="Arial"/>
                <w:sz w:val="16"/>
                <w:szCs w:val="16"/>
                <w:lang w:val="es-ES_tradnl"/>
              </w:rPr>
            </w:pPr>
            <w:r w:rsidRPr="00A34388">
              <w:rPr>
                <w:sz w:val="16"/>
                <w:lang w:val="es-ES_tradnl"/>
              </w:rPr>
              <w:t xml:space="preserve">17 de las 19 iniciativas fueron completadas, y cada proyecto quedó integrado en los planes de trabajo de la Organización.  Se ha </w:t>
            </w:r>
            <w:r w:rsidR="00183EF2" w:rsidRPr="00A34388">
              <w:rPr>
                <w:sz w:val="16"/>
                <w:lang w:val="es-ES_tradnl"/>
              </w:rPr>
              <w:t xml:space="preserve">cumplido </w:t>
            </w:r>
            <w:r w:rsidRPr="00A34388">
              <w:rPr>
                <w:sz w:val="16"/>
                <w:lang w:val="es-ES_tradnl"/>
              </w:rPr>
              <w:t>el alcance</w:t>
            </w:r>
            <w:r w:rsidR="009B1238">
              <w:rPr>
                <w:sz w:val="16"/>
                <w:lang w:val="es-ES_tradnl"/>
              </w:rPr>
              <w:t xml:space="preserve"> previsto en el marco del </w:t>
            </w:r>
            <w:r w:rsidRPr="00A34388">
              <w:rPr>
                <w:sz w:val="16"/>
                <w:lang w:val="es-ES_tradnl"/>
              </w:rPr>
              <w:t xml:space="preserve">PAE </w:t>
            </w:r>
            <w:r w:rsidR="009B1238">
              <w:rPr>
                <w:sz w:val="16"/>
                <w:lang w:val="es-ES_tradnl"/>
              </w:rPr>
              <w:t xml:space="preserve">para </w:t>
            </w:r>
            <w:r w:rsidRPr="00A34388">
              <w:rPr>
                <w:sz w:val="16"/>
                <w:lang w:val="es-ES_tradnl"/>
              </w:rPr>
              <w:t xml:space="preserve">los dos proyectos restantes, el proyecto </w:t>
            </w:r>
            <w:r w:rsidR="009B1238">
              <w:rPr>
                <w:sz w:val="16"/>
                <w:lang w:val="es-ES_tradnl"/>
              </w:rPr>
              <w:t xml:space="preserve">de </w:t>
            </w:r>
            <w:r w:rsidRPr="00A34388">
              <w:rPr>
                <w:sz w:val="16"/>
                <w:lang w:val="es-ES_tradnl"/>
              </w:rPr>
              <w:t xml:space="preserve">PRI y el proyecto de comunicaciones internas.  Estos proyectos </w:t>
            </w:r>
            <w:r w:rsidR="00183EF2" w:rsidRPr="00A34388">
              <w:rPr>
                <w:sz w:val="16"/>
                <w:lang w:val="es-ES_tradnl"/>
              </w:rPr>
              <w:t xml:space="preserve">se mantienen con independencia </w:t>
            </w:r>
            <w:r w:rsidRPr="00A34388">
              <w:rPr>
                <w:sz w:val="16"/>
                <w:lang w:val="es-ES_tradnl"/>
              </w:rPr>
              <w:t xml:space="preserve">del PAE. </w:t>
            </w:r>
          </w:p>
        </w:tc>
        <w:tc>
          <w:tcPr>
            <w:tcW w:w="648" w:type="pct"/>
            <w:shd w:val="clear" w:color="auto" w:fill="auto"/>
            <w:tcMar>
              <w:top w:w="110" w:type="dxa"/>
            </w:tcMar>
          </w:tcPr>
          <w:p w:rsidR="009124B0" w:rsidRPr="00332758" w:rsidRDefault="009124B0" w:rsidP="001E182E">
            <w:pPr>
              <w:keepNext/>
              <w:keepLines/>
              <w:jc w:val="center"/>
              <w:rPr>
                <w:rFonts w:cs="Arial"/>
                <w:bCs/>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Obtención de los resultados relativos a las prioridades centrales previstas en el Programa de Alineación Estratégica.</w:t>
            </w:r>
            <w:r w:rsidRPr="00A34388">
              <w:rPr>
                <w:color w:val="000000"/>
                <w:sz w:val="16"/>
                <w:lang w:val="es-ES_tradnl"/>
              </w:rPr>
              <w:t xml:space="preserve">  </w:t>
            </w:r>
            <w:r w:rsidRPr="00332758">
              <w:rPr>
                <w:sz w:val="16"/>
                <w:lang w:val="es-ES_tradnl"/>
              </w:rPr>
              <w:t>El personal considera que la OMPI realiza una labor satisfactoria/excelente en relación con el valor especificado.</w:t>
            </w:r>
          </w:p>
        </w:tc>
        <w:tc>
          <w:tcPr>
            <w:tcW w:w="914" w:type="pct"/>
            <w:shd w:val="clear" w:color="auto" w:fill="auto"/>
          </w:tcPr>
          <w:p w:rsidR="009124B0" w:rsidRPr="00CC013D" w:rsidRDefault="009124B0" w:rsidP="00730F86">
            <w:pPr>
              <w:rPr>
                <w:rFonts w:cs="Arial"/>
                <w:i/>
                <w:color w:val="002060"/>
                <w:sz w:val="16"/>
                <w:szCs w:val="16"/>
                <w:lang w:val="es-ES_tradnl"/>
              </w:rPr>
            </w:pPr>
            <w:r w:rsidRPr="00CC013D">
              <w:rPr>
                <w:i/>
                <w:color w:val="002060"/>
                <w:sz w:val="16"/>
                <w:lang w:val="es-ES_tradnl"/>
              </w:rPr>
              <w:t xml:space="preserve">Referencia actualizada a fines de 2011:  </w:t>
            </w:r>
          </w:p>
          <w:p w:rsidR="009124B0" w:rsidRPr="00CC013D" w:rsidRDefault="009124B0" w:rsidP="00730F86">
            <w:pPr>
              <w:rPr>
                <w:rFonts w:eastAsia="SimSun" w:cs="Arial"/>
                <w:color w:val="002060"/>
                <w:sz w:val="16"/>
                <w:szCs w:val="16"/>
                <w:lang w:val="es-ES_tradnl"/>
              </w:rPr>
            </w:pPr>
            <w:r w:rsidRPr="00CC013D">
              <w:rPr>
                <w:color w:val="002060"/>
                <w:sz w:val="16"/>
                <w:lang w:val="es-ES_tradnl"/>
              </w:rPr>
              <w:t>Prestación óptima de servicios:  45%</w:t>
            </w:r>
            <w:r w:rsidRPr="00CC013D">
              <w:rPr>
                <w:rStyle w:val="FootnoteReference"/>
                <w:color w:val="002060"/>
                <w:sz w:val="16"/>
                <w:lang w:val="es-ES_tradnl"/>
              </w:rPr>
              <w:footnoteReference w:id="38"/>
            </w:r>
          </w:p>
          <w:p w:rsidR="009124B0" w:rsidRPr="00CC013D" w:rsidRDefault="009124B0" w:rsidP="00730F86">
            <w:pPr>
              <w:rPr>
                <w:rFonts w:eastAsia="SimSun" w:cs="Arial"/>
                <w:color w:val="002060"/>
                <w:sz w:val="16"/>
                <w:szCs w:val="16"/>
                <w:lang w:val="es-ES_tradnl"/>
              </w:rPr>
            </w:pPr>
            <w:r w:rsidRPr="00CC013D">
              <w:rPr>
                <w:color w:val="002060"/>
                <w:sz w:val="16"/>
                <w:lang w:val="es-ES_tradnl"/>
              </w:rPr>
              <w:t>Mancomunar esfuerzos:  37%*</w:t>
            </w:r>
          </w:p>
          <w:p w:rsidR="009124B0" w:rsidRPr="00CC013D" w:rsidRDefault="009124B0" w:rsidP="00730F86">
            <w:pPr>
              <w:rPr>
                <w:rFonts w:eastAsia="SimSun" w:cs="Arial"/>
                <w:color w:val="002060"/>
                <w:sz w:val="16"/>
                <w:szCs w:val="16"/>
                <w:lang w:val="es-ES_tradnl"/>
              </w:rPr>
            </w:pPr>
            <w:r w:rsidRPr="00CC013D">
              <w:rPr>
                <w:color w:val="002060"/>
                <w:sz w:val="16"/>
                <w:lang w:val="es-ES_tradnl"/>
              </w:rPr>
              <w:t>Responsabilidad por los resultados:  68%*</w:t>
            </w:r>
          </w:p>
          <w:p w:rsidR="009124B0" w:rsidRPr="00CC013D" w:rsidRDefault="009124B0" w:rsidP="00730F86">
            <w:pPr>
              <w:rPr>
                <w:rFonts w:cs="Arial"/>
                <w:color w:val="002060"/>
                <w:sz w:val="16"/>
                <w:szCs w:val="16"/>
                <w:lang w:val="es-ES_tradnl"/>
              </w:rPr>
            </w:pPr>
            <w:r w:rsidRPr="00CC013D">
              <w:rPr>
                <w:color w:val="002060"/>
                <w:sz w:val="16"/>
                <w:lang w:val="es-ES_tradnl"/>
              </w:rPr>
              <w:t>Responsabilidad medioambiental, social y de buen gobierno:  63%*</w:t>
            </w:r>
          </w:p>
          <w:p w:rsidR="009124B0" w:rsidRPr="00332758" w:rsidRDefault="009124B0" w:rsidP="00730F86">
            <w:pPr>
              <w:rPr>
                <w:rFonts w:cs="Arial"/>
                <w:i/>
                <w:sz w:val="16"/>
                <w:szCs w:val="16"/>
                <w:lang w:val="es-ES_tradnl"/>
              </w:rPr>
            </w:pPr>
          </w:p>
          <w:p w:rsidR="009124B0" w:rsidRPr="00332758" w:rsidRDefault="009124B0" w:rsidP="00730F86">
            <w:pPr>
              <w:rPr>
                <w:rFonts w:cs="Arial"/>
                <w:i/>
                <w:sz w:val="16"/>
                <w:szCs w:val="16"/>
                <w:lang w:val="es-ES_tradnl"/>
              </w:rPr>
            </w:pP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rFonts w:cs="Arial"/>
                <w:i/>
                <w:color w:val="000000"/>
                <w:sz w:val="16"/>
                <w:szCs w:val="16"/>
                <w:lang w:val="es-ES_tradnl"/>
              </w:rPr>
              <w:br/>
            </w:r>
            <w:r w:rsidRPr="00A34388">
              <w:rPr>
                <w:color w:val="000000"/>
                <w:sz w:val="16"/>
                <w:lang w:val="es-ES_tradnl"/>
              </w:rPr>
              <w:t xml:space="preserve">Véase el Anexo sobre el informe de referencia de base del PAE </w:t>
            </w:r>
          </w:p>
          <w:p w:rsidR="009124B0" w:rsidRPr="00A34388" w:rsidRDefault="009124B0" w:rsidP="00730F86">
            <w:pPr>
              <w:rPr>
                <w:rFonts w:cs="Arial"/>
                <w:color w:val="000000"/>
                <w:sz w:val="16"/>
                <w:szCs w:val="16"/>
                <w:lang w:val="es-ES_tradnl"/>
              </w:rPr>
            </w:pPr>
            <w:r w:rsidRPr="00A34388">
              <w:rPr>
                <w:color w:val="000000"/>
                <w:sz w:val="16"/>
                <w:lang w:val="es-ES_tradnl"/>
              </w:rPr>
              <w:t>(URL).</w:t>
            </w:r>
          </w:p>
        </w:tc>
        <w:tc>
          <w:tcPr>
            <w:tcW w:w="834"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75% de resultados</w:t>
            </w:r>
          </w:p>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 xml:space="preserve">conseguidos (ref:   </w:t>
            </w:r>
          </w:p>
          <w:p w:rsidR="009124B0" w:rsidRPr="00A34388" w:rsidRDefault="009124B0" w:rsidP="00730F86">
            <w:pPr>
              <w:autoSpaceDE w:val="0"/>
              <w:autoSpaceDN w:val="0"/>
              <w:adjustRightInd w:val="0"/>
              <w:rPr>
                <w:rFonts w:ascii="ArialMT" w:hAnsi="ArialMT" w:cs="ArialMT"/>
                <w:sz w:val="16"/>
                <w:szCs w:val="16"/>
                <w:lang w:val="es-ES_tradnl"/>
              </w:rPr>
            </w:pPr>
            <w:r w:rsidRPr="00332758">
              <w:rPr>
                <w:rFonts w:ascii="ArialMT" w:hAnsi="ArialMT"/>
                <w:sz w:val="16"/>
                <w:lang w:val="es-ES_tradnl"/>
              </w:rPr>
              <w:t>Cuadro del marco de resultados</w:t>
            </w:r>
            <w:r w:rsidRPr="00A34388">
              <w:rPr>
                <w:rFonts w:ascii="ArialMT" w:hAnsi="ArialMT"/>
                <w:sz w:val="16"/>
                <w:lang w:val="es-ES_tradnl"/>
              </w:rPr>
              <w:t xml:space="preserve"> del PAE)</w:t>
            </w:r>
          </w:p>
        </w:tc>
        <w:tc>
          <w:tcPr>
            <w:tcW w:w="1815" w:type="pct"/>
            <w:shd w:val="clear" w:color="auto" w:fill="FFFFFF"/>
            <w:tcMar>
              <w:top w:w="110" w:type="dxa"/>
            </w:tcMar>
          </w:tcPr>
          <w:p w:rsidR="009124B0" w:rsidRPr="00332758" w:rsidRDefault="009124B0" w:rsidP="00730F86">
            <w:pPr>
              <w:spacing w:after="80"/>
              <w:rPr>
                <w:rFonts w:cs="Arial"/>
                <w:sz w:val="16"/>
                <w:szCs w:val="16"/>
                <w:lang w:val="es-ES_tradnl"/>
              </w:rPr>
            </w:pPr>
            <w:r w:rsidRPr="00332758">
              <w:rPr>
                <w:sz w:val="16"/>
                <w:lang w:val="es-ES_tradnl"/>
              </w:rPr>
              <w:t>Prestación óptima de servicios:                          56%</w:t>
            </w:r>
            <w:r w:rsidRPr="00332758">
              <w:rPr>
                <w:rStyle w:val="FootnoteReference"/>
                <w:sz w:val="16"/>
                <w:lang w:val="es-ES_tradnl"/>
              </w:rPr>
              <w:footnoteReference w:customMarkFollows="1" w:id="39"/>
              <w:t>[1]</w:t>
            </w:r>
          </w:p>
          <w:p w:rsidR="009124B0" w:rsidRPr="00A34388" w:rsidRDefault="009124B0" w:rsidP="00730F86">
            <w:pPr>
              <w:spacing w:after="80"/>
              <w:rPr>
                <w:rFonts w:cs="Arial"/>
                <w:sz w:val="16"/>
                <w:szCs w:val="16"/>
                <w:lang w:val="es-ES_tradnl"/>
              </w:rPr>
            </w:pPr>
            <w:r w:rsidRPr="00332758">
              <w:rPr>
                <w:sz w:val="16"/>
                <w:lang w:val="es-ES_tradnl"/>
              </w:rPr>
              <w:t>Mancomunar esfuerzos:       55%</w:t>
            </w:r>
          </w:p>
          <w:p w:rsidR="009124B0" w:rsidRPr="00332758" w:rsidRDefault="009124B0" w:rsidP="00730F86">
            <w:pPr>
              <w:spacing w:after="80"/>
              <w:rPr>
                <w:rFonts w:cs="Arial"/>
                <w:sz w:val="16"/>
                <w:szCs w:val="16"/>
                <w:lang w:val="es-ES_tradnl"/>
              </w:rPr>
            </w:pPr>
            <w:r w:rsidRPr="00332758">
              <w:rPr>
                <w:sz w:val="16"/>
                <w:lang w:val="es-ES_tradnl"/>
              </w:rPr>
              <w:t>Responsabilidad por los</w:t>
            </w:r>
          </w:p>
          <w:p w:rsidR="009124B0" w:rsidRPr="00800175" w:rsidRDefault="009124B0" w:rsidP="00730F86">
            <w:pPr>
              <w:spacing w:after="80"/>
              <w:rPr>
                <w:rFonts w:cs="Arial"/>
                <w:sz w:val="16"/>
                <w:szCs w:val="16"/>
                <w:lang w:val="es-ES_tradnl"/>
              </w:rPr>
            </w:pPr>
            <w:r w:rsidRPr="00332758">
              <w:rPr>
                <w:sz w:val="16"/>
                <w:lang w:val="es-ES_tradnl"/>
              </w:rPr>
              <w:t>resultados:                            80%</w:t>
            </w:r>
          </w:p>
          <w:p w:rsidR="009124B0" w:rsidRPr="00A34388" w:rsidRDefault="009124B0" w:rsidP="00730F86">
            <w:pPr>
              <w:rPr>
                <w:rFonts w:cs="Arial"/>
                <w:sz w:val="16"/>
                <w:szCs w:val="16"/>
                <w:lang w:val="es-ES_tradnl"/>
              </w:rPr>
            </w:pPr>
            <w:r w:rsidRPr="00A34388">
              <w:rPr>
                <w:sz w:val="16"/>
                <w:lang w:val="es-ES_tradnl"/>
              </w:rPr>
              <w:t xml:space="preserve">Responsabilidad medioambiental, social y </w:t>
            </w:r>
          </w:p>
          <w:p w:rsidR="009124B0" w:rsidRPr="00A34388" w:rsidRDefault="009124B0" w:rsidP="00730F86">
            <w:pPr>
              <w:rPr>
                <w:rFonts w:cs="Arial"/>
                <w:sz w:val="16"/>
                <w:szCs w:val="16"/>
                <w:lang w:val="es-ES_tradnl"/>
              </w:rPr>
            </w:pPr>
            <w:r w:rsidRPr="00A34388">
              <w:rPr>
                <w:sz w:val="16"/>
                <w:lang w:val="es-ES_tradnl"/>
              </w:rPr>
              <w:t>de buen gobierno:  70%</w:t>
            </w:r>
          </w:p>
        </w:tc>
        <w:tc>
          <w:tcPr>
            <w:tcW w:w="648" w:type="pct"/>
            <w:shd w:val="clear" w:color="auto" w:fill="auto"/>
            <w:tcMar>
              <w:top w:w="110" w:type="dxa"/>
            </w:tcMar>
          </w:tcPr>
          <w:p w:rsidR="009124B0" w:rsidRPr="00A34388" w:rsidRDefault="009124B0" w:rsidP="00730F86">
            <w:pPr>
              <w:keepNext/>
              <w:keepLines/>
              <w:jc w:val="center"/>
              <w:rPr>
                <w:rStyle w:val="Style5"/>
                <w:rFonts w:cs="Arial"/>
                <w:sz w:val="16"/>
                <w:szCs w:val="16"/>
                <w:lang w:val="es-ES_tradnl"/>
              </w:rPr>
            </w:pPr>
            <w:r w:rsidRPr="00A34388">
              <w:rPr>
                <w:color w:val="008000"/>
                <w:sz w:val="16"/>
                <w:lang w:val="es-ES_tradnl"/>
              </w:rPr>
              <w:footnoteReference w:customMarkFollows="1" w:id="40"/>
              <w:t>Plenamente logrado</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peticiones de asesoramiento jurídico que reciben respuestas rápidas, independientes y fiables de la Oficina del Consejero Jurídico.</w:t>
            </w:r>
          </w:p>
        </w:tc>
        <w:tc>
          <w:tcPr>
            <w:tcW w:w="914" w:type="pct"/>
            <w:shd w:val="clear" w:color="auto" w:fill="auto"/>
          </w:tcPr>
          <w:p w:rsidR="009124B0" w:rsidRPr="00A34388" w:rsidRDefault="009124B0" w:rsidP="00730F86">
            <w:pPr>
              <w:rPr>
                <w:rFonts w:cs="Arial"/>
                <w:sz w:val="16"/>
                <w:szCs w:val="16"/>
                <w:lang w:val="es-ES_tradnl"/>
              </w:rPr>
            </w:pPr>
            <w:r w:rsidRPr="00A34388">
              <w:rPr>
                <w:sz w:val="16"/>
                <w:lang w:val="es-ES_tradnl"/>
              </w:rPr>
              <w:t>100%</w:t>
            </w:r>
          </w:p>
        </w:tc>
        <w:tc>
          <w:tcPr>
            <w:tcW w:w="834" w:type="pct"/>
            <w:shd w:val="clear" w:color="auto" w:fill="auto"/>
            <w:tcMar>
              <w:top w:w="110" w:type="dxa"/>
            </w:tcMar>
          </w:tcPr>
          <w:p w:rsidR="009124B0" w:rsidRPr="00A34388" w:rsidRDefault="009124B0" w:rsidP="00730F86">
            <w:pPr>
              <w:rPr>
                <w:rFonts w:eastAsia="SimSun" w:cs="Arial"/>
                <w:sz w:val="16"/>
                <w:szCs w:val="16"/>
                <w:lang w:val="es-ES_tradnl"/>
              </w:rPr>
            </w:pPr>
            <w:r w:rsidRPr="00A34388">
              <w:rPr>
                <w:rFonts w:ascii="ArialMT" w:hAnsi="ArialMT"/>
                <w:sz w:val="16"/>
                <w:lang w:val="es-ES_tradnl"/>
              </w:rPr>
              <w:t>95%</w:t>
            </w:r>
          </w:p>
        </w:tc>
        <w:tc>
          <w:tcPr>
            <w:tcW w:w="1815" w:type="pct"/>
            <w:shd w:val="clear" w:color="auto" w:fill="FFFFFF"/>
            <w:tcMar>
              <w:top w:w="110" w:type="dxa"/>
            </w:tcMar>
          </w:tcPr>
          <w:p w:rsidR="009124B0" w:rsidRPr="00332758" w:rsidRDefault="009124B0" w:rsidP="00730F86">
            <w:pPr>
              <w:rPr>
                <w:rFonts w:cs="Arial"/>
                <w:sz w:val="16"/>
                <w:szCs w:val="16"/>
                <w:lang w:val="es-ES_tradnl"/>
              </w:rPr>
            </w:pPr>
            <w:r w:rsidRPr="00332758">
              <w:rPr>
                <w:sz w:val="16"/>
                <w:lang w:val="es-ES_tradnl"/>
              </w:rPr>
              <w:t>A pesar de un aumento del número de peticiones de asesoramiento, así como de las materias tratadas, el 98% de esas peticiones recibió respuestas rápidas y fiables de la Oficina del Consejero Jurídico.</w:t>
            </w:r>
          </w:p>
        </w:tc>
        <w:tc>
          <w:tcPr>
            <w:tcW w:w="648" w:type="pct"/>
            <w:shd w:val="clear" w:color="auto" w:fill="auto"/>
            <w:tcMar>
              <w:top w:w="110" w:type="dxa"/>
            </w:tcMar>
          </w:tcPr>
          <w:p w:rsidR="009124B0" w:rsidRPr="00A34388" w:rsidRDefault="009124B0" w:rsidP="00730F86">
            <w:pPr>
              <w:keepNext/>
              <w:keepLines/>
              <w:jc w:val="center"/>
              <w:rPr>
                <w:rStyle w:val="Style5"/>
                <w:rFonts w:cs="Arial"/>
                <w:sz w:val="16"/>
                <w:szCs w:val="16"/>
                <w:lang w:val="es-ES_tradnl"/>
              </w:rPr>
            </w:pPr>
            <w:r w:rsidRPr="00A34388">
              <w:rPr>
                <w:color w:val="008000"/>
                <w:sz w:val="16"/>
                <w:lang w:val="es-ES_tradnl"/>
              </w:rPr>
              <w:t>Plenamente logrado</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notificaciones de adhesión tramitadas en los plazos previstos.</w:t>
            </w:r>
          </w:p>
        </w:tc>
        <w:tc>
          <w:tcPr>
            <w:tcW w:w="914" w:type="pct"/>
            <w:shd w:val="clear" w:color="auto" w:fill="auto"/>
          </w:tcPr>
          <w:p w:rsidR="009124B0" w:rsidRPr="00A34388" w:rsidRDefault="009124B0" w:rsidP="00730F86">
            <w:pPr>
              <w:rPr>
                <w:rFonts w:cs="Arial"/>
                <w:sz w:val="16"/>
                <w:szCs w:val="16"/>
                <w:lang w:val="es-ES_tradnl"/>
              </w:rPr>
            </w:pPr>
            <w:r w:rsidRPr="00332758">
              <w:rPr>
                <w:sz w:val="16"/>
                <w:lang w:val="es-ES_tradnl"/>
              </w:rPr>
              <w:t>100% tramitadas en un plazo máximo de tres días.</w:t>
            </w:r>
          </w:p>
        </w:tc>
        <w:tc>
          <w:tcPr>
            <w:tcW w:w="834"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 xml:space="preserve">95% </w:t>
            </w:r>
            <w:r w:rsidR="00A113F0" w:rsidRPr="00A34388">
              <w:rPr>
                <w:rFonts w:ascii="ArialMT" w:hAnsi="ArialMT"/>
                <w:sz w:val="16"/>
                <w:lang w:val="es-ES_tradnl"/>
              </w:rPr>
              <w:t>tramitadas</w:t>
            </w:r>
          </w:p>
          <w:p w:rsidR="009124B0" w:rsidRPr="00A34388" w:rsidRDefault="009124B0" w:rsidP="00A113F0">
            <w:pPr>
              <w:rPr>
                <w:rFonts w:cs="Arial"/>
                <w:sz w:val="16"/>
                <w:szCs w:val="16"/>
                <w:lang w:val="es-ES_tradnl"/>
              </w:rPr>
            </w:pPr>
            <w:r w:rsidRPr="00A34388">
              <w:rPr>
                <w:rFonts w:ascii="ArialMT" w:hAnsi="ArialMT"/>
                <w:sz w:val="16"/>
                <w:lang w:val="es-ES_tradnl"/>
              </w:rPr>
              <w:t xml:space="preserve">en </w:t>
            </w:r>
            <w:r w:rsidR="00A113F0" w:rsidRPr="00A34388">
              <w:rPr>
                <w:rFonts w:ascii="ArialMT" w:hAnsi="ArialMT"/>
                <w:sz w:val="16"/>
                <w:lang w:val="es-ES_tradnl"/>
              </w:rPr>
              <w:t xml:space="preserve">un </w:t>
            </w:r>
            <w:r w:rsidRPr="00A34388">
              <w:rPr>
                <w:rFonts w:ascii="ArialMT" w:hAnsi="ArialMT"/>
                <w:sz w:val="16"/>
                <w:lang w:val="es-ES_tradnl"/>
              </w:rPr>
              <w:t xml:space="preserve">plazo </w:t>
            </w:r>
            <w:r w:rsidR="00A113F0" w:rsidRPr="00A34388">
              <w:rPr>
                <w:rFonts w:ascii="ArialMT" w:hAnsi="ArialMT"/>
                <w:sz w:val="16"/>
                <w:lang w:val="es-ES_tradnl"/>
              </w:rPr>
              <w:t xml:space="preserve">máximo de </w:t>
            </w:r>
            <w:r w:rsidRPr="00A34388">
              <w:rPr>
                <w:rFonts w:ascii="ArialMT" w:hAnsi="ArialMT"/>
                <w:sz w:val="16"/>
                <w:lang w:val="es-ES_tradnl"/>
              </w:rPr>
              <w:t>tres días</w:t>
            </w:r>
          </w:p>
        </w:tc>
        <w:tc>
          <w:tcPr>
            <w:tcW w:w="1815" w:type="pct"/>
            <w:shd w:val="clear" w:color="auto" w:fill="FFFFFF"/>
            <w:tcMar>
              <w:top w:w="110" w:type="dxa"/>
            </w:tcMar>
          </w:tcPr>
          <w:p w:rsidR="009124B0" w:rsidRPr="00A34388" w:rsidRDefault="00A113F0" w:rsidP="00A113F0">
            <w:pPr>
              <w:rPr>
                <w:rFonts w:cs="Arial"/>
                <w:sz w:val="16"/>
                <w:szCs w:val="16"/>
                <w:lang w:val="es-ES_tradnl"/>
              </w:rPr>
            </w:pPr>
            <w:r w:rsidRPr="00A34388">
              <w:rPr>
                <w:sz w:val="16"/>
                <w:lang w:val="es-ES_tradnl"/>
              </w:rPr>
              <w:t xml:space="preserve">El </w:t>
            </w:r>
            <w:r w:rsidR="009124B0" w:rsidRPr="00A34388">
              <w:rPr>
                <w:sz w:val="16"/>
                <w:lang w:val="es-ES_tradnl"/>
              </w:rPr>
              <w:t xml:space="preserve">98% de las notificaciones de adhesión y otras medidas relacionadas con los tratados se tramitaron en </w:t>
            </w:r>
            <w:r w:rsidRPr="00A34388">
              <w:rPr>
                <w:sz w:val="16"/>
                <w:lang w:val="es-ES_tradnl"/>
              </w:rPr>
              <w:t xml:space="preserve">un </w:t>
            </w:r>
            <w:r w:rsidR="009124B0" w:rsidRPr="00A34388">
              <w:rPr>
                <w:sz w:val="16"/>
                <w:lang w:val="es-ES_tradnl"/>
              </w:rPr>
              <w:t xml:space="preserve">plazo </w:t>
            </w:r>
            <w:r w:rsidRPr="00A34388">
              <w:rPr>
                <w:sz w:val="16"/>
                <w:lang w:val="es-ES_tradnl"/>
              </w:rPr>
              <w:t xml:space="preserve">máximo de </w:t>
            </w:r>
            <w:r w:rsidR="009124B0" w:rsidRPr="00A34388">
              <w:rPr>
                <w:sz w:val="16"/>
                <w:lang w:val="es-ES_tradnl"/>
              </w:rPr>
              <w:t>tres días</w:t>
            </w:r>
          </w:p>
        </w:tc>
        <w:tc>
          <w:tcPr>
            <w:tcW w:w="648" w:type="pct"/>
            <w:shd w:val="clear" w:color="auto" w:fill="auto"/>
            <w:tcMar>
              <w:top w:w="110" w:type="dxa"/>
            </w:tcMar>
          </w:tcPr>
          <w:p w:rsidR="009124B0" w:rsidRPr="00A34388" w:rsidRDefault="009124B0" w:rsidP="00730F86">
            <w:pPr>
              <w:keepNext/>
              <w:keepLines/>
              <w:jc w:val="center"/>
              <w:rPr>
                <w:rStyle w:val="Style5"/>
                <w:rFonts w:cs="Arial"/>
                <w:sz w:val="16"/>
                <w:szCs w:val="16"/>
                <w:lang w:val="es-ES_tradnl"/>
              </w:rPr>
            </w:pPr>
            <w:r w:rsidRPr="00A34388">
              <w:rPr>
                <w:color w:val="008000"/>
                <w:sz w:val="16"/>
                <w:lang w:val="es-ES_tradnl"/>
              </w:rPr>
              <w:t>Plenamente logrado</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lastRenderedPageBreak/>
              <w:t>Porcentaje de usuarios satisfechos con el nivel de servicios que han recibido de la Oficina del Mediador.</w:t>
            </w:r>
          </w:p>
        </w:tc>
        <w:tc>
          <w:tcPr>
            <w:tcW w:w="914"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 xml:space="preserve">Referencia actualizada a fines de 2011  </w:t>
            </w:r>
            <w:r w:rsidRPr="00A34388">
              <w:rPr>
                <w:color w:val="002060"/>
                <w:sz w:val="16"/>
                <w:lang w:val="es-ES_tradnl"/>
              </w:rPr>
              <w:t>76%</w:t>
            </w:r>
          </w:p>
          <w:p w:rsidR="009124B0" w:rsidRPr="00A34388" w:rsidRDefault="009124B0" w:rsidP="00730F86">
            <w:pPr>
              <w:rPr>
                <w:rFonts w:cs="Arial"/>
                <w:i/>
                <w:color w:val="00000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rFonts w:cs="Arial"/>
                <w:i/>
                <w:color w:val="000000"/>
                <w:sz w:val="16"/>
                <w:szCs w:val="16"/>
                <w:lang w:val="es-ES_tradnl"/>
              </w:rPr>
              <w:br/>
            </w:r>
            <w:r w:rsidRPr="00A34388">
              <w:rPr>
                <w:color w:val="000000"/>
                <w:sz w:val="16"/>
                <w:lang w:val="es-ES_tradnl"/>
              </w:rPr>
              <w:t>No se dispone de datos.</w:t>
            </w:r>
          </w:p>
          <w:p w:rsidR="009124B0" w:rsidRPr="00A34388" w:rsidRDefault="009124B0" w:rsidP="00730F86">
            <w:pPr>
              <w:rPr>
                <w:rFonts w:ascii="ArialMT" w:hAnsi="ArialMT" w:cs="ArialMT"/>
                <w:sz w:val="16"/>
                <w:szCs w:val="16"/>
                <w:lang w:val="es-ES_tradnl"/>
              </w:rPr>
            </w:pPr>
          </w:p>
        </w:tc>
        <w:tc>
          <w:tcPr>
            <w:tcW w:w="834" w:type="pct"/>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70%</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El 77%, según la encuesta de evaluación de los usuarios de 2012 (realizada en marzo de 2013).</w:t>
            </w:r>
          </w:p>
        </w:tc>
        <w:tc>
          <w:tcPr>
            <w:tcW w:w="648" w:type="pct"/>
            <w:shd w:val="clear" w:color="auto" w:fill="auto"/>
            <w:tcMar>
              <w:top w:w="110" w:type="dxa"/>
            </w:tcMar>
          </w:tcPr>
          <w:p w:rsidR="009124B0" w:rsidRPr="00A34388" w:rsidRDefault="009124B0" w:rsidP="00730F86">
            <w:pPr>
              <w:keepNext/>
              <w:keepLines/>
              <w:jc w:val="center"/>
              <w:rPr>
                <w:rStyle w:val="Style5"/>
                <w:rFonts w:cs="Arial"/>
                <w:sz w:val="16"/>
                <w:szCs w:val="16"/>
                <w:lang w:val="es-ES_tradnl"/>
              </w:rPr>
            </w:pPr>
            <w:r w:rsidRPr="00A34388">
              <w:rPr>
                <w:color w:val="008000"/>
                <w:sz w:val="16"/>
                <w:lang w:val="es-ES_tradnl"/>
              </w:rPr>
              <w:t>Plenamente logrado</w:t>
            </w:r>
            <w:r w:rsidRPr="00A34388">
              <w:rPr>
                <w:rStyle w:val="Style5"/>
                <w:sz w:val="16"/>
                <w:lang w:val="es-ES_tradnl"/>
              </w:rPr>
              <w:t xml:space="preserve"> </w:t>
            </w:r>
          </w:p>
        </w:tc>
      </w:tr>
      <w:tr w:rsidR="009124B0" w:rsidRPr="00A9508D"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701" w:hanging="1701"/>
              <w:rPr>
                <w:rFonts w:cs="Arial"/>
                <w:b/>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Mejor entorno de trabajo basado en un marco regulador coadyuvante y medios eficaces para atender las preocupaciones del personal.</w:t>
            </w:r>
          </w:p>
        </w:tc>
      </w:tr>
      <w:tr w:rsidR="009124B0" w:rsidRPr="00A34388" w:rsidTr="00730F86">
        <w:trPr>
          <w:cantSplit/>
        </w:trPr>
        <w:tc>
          <w:tcPr>
            <w:tcW w:w="789" w:type="pct"/>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914" w:type="pct"/>
            <w:shd w:val="clear" w:color="auto" w:fill="auto"/>
            <w:vAlign w:val="center"/>
          </w:tcPr>
          <w:p w:rsidR="009124B0" w:rsidRPr="00A34388" w:rsidRDefault="009124B0" w:rsidP="00730F86">
            <w:pPr>
              <w:rPr>
                <w:rFonts w:cs="Arial"/>
                <w:i/>
                <w:color w:val="808080"/>
                <w:sz w:val="16"/>
                <w:szCs w:val="16"/>
                <w:lang w:val="es-ES_tradnl"/>
              </w:rPr>
            </w:pPr>
            <w:r w:rsidRPr="00332758">
              <w:rPr>
                <w:b/>
                <w:sz w:val="16"/>
                <w:lang w:val="es-ES_tradnl"/>
              </w:rPr>
              <w:t>Referencia</w:t>
            </w:r>
          </w:p>
        </w:tc>
        <w:tc>
          <w:tcPr>
            <w:tcW w:w="834" w:type="pct"/>
            <w:shd w:val="clear" w:color="auto" w:fill="auto"/>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Objetivos</w:t>
            </w:r>
          </w:p>
        </w:tc>
        <w:tc>
          <w:tcPr>
            <w:tcW w:w="1815" w:type="pct"/>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48" w:type="pct"/>
            <w:shd w:val="clear" w:color="auto" w:fill="auto"/>
            <w:tcMar>
              <w:top w:w="110" w:type="dxa"/>
            </w:tcMar>
            <w:vAlign w:val="center"/>
          </w:tcPr>
          <w:p w:rsidR="009124B0" w:rsidRPr="00332758" w:rsidRDefault="009124B0" w:rsidP="00730F86">
            <w:pPr>
              <w:keepNext/>
              <w:keepLines/>
              <w:jc w:val="center"/>
              <w:rPr>
                <w:rFonts w:cs="Arial"/>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Porcentaje de miembros del personal conscientes de los principios y políticas éticas de la OMPI.</w:t>
            </w:r>
          </w:p>
        </w:tc>
        <w:tc>
          <w:tcPr>
            <w:tcW w:w="914"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A113F0"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74%</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color w:val="000000"/>
                <w:sz w:val="16"/>
                <w:lang w:val="es-ES_tradnl"/>
              </w:rPr>
              <w:t>64%</w:t>
            </w:r>
          </w:p>
          <w:p w:rsidR="009124B0" w:rsidRPr="00A34388" w:rsidRDefault="009124B0" w:rsidP="00730F86">
            <w:pPr>
              <w:rPr>
                <w:rFonts w:cs="Arial"/>
                <w:color w:val="000000"/>
                <w:sz w:val="16"/>
                <w:szCs w:val="16"/>
                <w:lang w:val="es-ES_tradnl"/>
              </w:rPr>
            </w:pPr>
          </w:p>
        </w:tc>
        <w:tc>
          <w:tcPr>
            <w:tcW w:w="834" w:type="pct"/>
            <w:shd w:val="clear" w:color="auto" w:fill="auto"/>
            <w:tcMar>
              <w:top w:w="110" w:type="dxa"/>
            </w:tcMar>
          </w:tcPr>
          <w:p w:rsidR="009124B0" w:rsidRPr="00A34388" w:rsidRDefault="009124B0" w:rsidP="00730F86">
            <w:pPr>
              <w:rPr>
                <w:rFonts w:ascii="ArialMT" w:hAnsi="ArialMT" w:cs="ArialMT"/>
                <w:sz w:val="16"/>
                <w:szCs w:val="16"/>
                <w:lang w:val="es-ES_tradnl"/>
              </w:rPr>
            </w:pPr>
            <w:r w:rsidRPr="00A34388">
              <w:rPr>
                <w:rFonts w:ascii="ArialMT" w:hAnsi="ArialMT"/>
                <w:sz w:val="16"/>
                <w:lang w:val="es-ES_tradnl"/>
              </w:rPr>
              <w:t>+ del 10%</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 xml:space="preserve">El 98%, según la encuesta sobre las prioridades centrales del </w:t>
            </w:r>
            <w:r w:rsidR="009B1238">
              <w:rPr>
                <w:sz w:val="16"/>
                <w:lang w:val="es-ES_tradnl"/>
              </w:rPr>
              <w:t>Programa de Alineación Estratégica</w:t>
            </w:r>
            <w:r w:rsidRPr="00A34388">
              <w:rPr>
                <w:sz w:val="16"/>
                <w:lang w:val="es-ES_tradnl"/>
              </w:rPr>
              <w:t xml:space="preserve"> (realizada entre enero y febrero de 2013).</w:t>
            </w:r>
          </w:p>
        </w:tc>
        <w:tc>
          <w:tcPr>
            <w:tcW w:w="648" w:type="pct"/>
            <w:shd w:val="clear" w:color="auto" w:fill="auto"/>
            <w:tcMar>
              <w:top w:w="110" w:type="dxa"/>
            </w:tcMar>
          </w:tcPr>
          <w:p w:rsidR="009124B0" w:rsidRPr="00A34388" w:rsidRDefault="009124B0" w:rsidP="00730F86">
            <w:pPr>
              <w:keepNext/>
              <w:keepLines/>
              <w:jc w:val="center"/>
              <w:rPr>
                <w:rFonts w:cs="Arial"/>
                <w:bCs/>
                <w:color w:val="008000"/>
                <w:sz w:val="16"/>
                <w:szCs w:val="16"/>
                <w:lang w:val="es-ES_tradnl"/>
              </w:rPr>
            </w:pPr>
            <w:r w:rsidRPr="00A34388">
              <w:rPr>
                <w:color w:val="008000"/>
                <w:sz w:val="16"/>
                <w:lang w:val="es-ES_tradnl"/>
              </w:rPr>
              <w:t xml:space="preserve">Plenamente logrado </w:t>
            </w:r>
          </w:p>
        </w:tc>
      </w:tr>
      <w:tr w:rsidR="009124B0" w:rsidRPr="00A9508D"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332758">
              <w:rPr>
                <w:sz w:val="16"/>
                <w:lang w:val="es-ES_tradnl"/>
              </w:rPr>
              <w:t xml:space="preserve">  La OMPI participa y colabora eficazmente en los procesos y negociaciones de las NN.UU. y otras OIG.</w:t>
            </w:r>
          </w:p>
        </w:tc>
      </w:tr>
      <w:tr w:rsidR="009124B0" w:rsidRPr="00A34388" w:rsidTr="00730F86">
        <w:trPr>
          <w:cantSplit/>
        </w:trPr>
        <w:tc>
          <w:tcPr>
            <w:tcW w:w="789" w:type="pct"/>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914" w:type="pct"/>
            <w:shd w:val="clear" w:color="auto" w:fill="auto"/>
            <w:vAlign w:val="center"/>
          </w:tcPr>
          <w:p w:rsidR="009124B0" w:rsidRPr="00A34388" w:rsidRDefault="009124B0" w:rsidP="00730F86">
            <w:pPr>
              <w:rPr>
                <w:rFonts w:cs="Arial"/>
                <w:i/>
                <w:color w:val="808080"/>
                <w:sz w:val="16"/>
                <w:szCs w:val="16"/>
                <w:lang w:val="es-ES_tradnl"/>
              </w:rPr>
            </w:pPr>
            <w:r w:rsidRPr="00332758">
              <w:rPr>
                <w:b/>
                <w:sz w:val="16"/>
                <w:lang w:val="es-ES_tradnl"/>
              </w:rPr>
              <w:t>Referencia</w:t>
            </w:r>
          </w:p>
        </w:tc>
        <w:tc>
          <w:tcPr>
            <w:tcW w:w="834" w:type="pct"/>
            <w:shd w:val="clear" w:color="auto" w:fill="auto"/>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Objetivos</w:t>
            </w:r>
          </w:p>
        </w:tc>
        <w:tc>
          <w:tcPr>
            <w:tcW w:w="1815" w:type="pct"/>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48" w:type="pct"/>
            <w:shd w:val="clear" w:color="auto" w:fill="auto"/>
            <w:tcMar>
              <w:top w:w="110" w:type="dxa"/>
            </w:tcMar>
            <w:vAlign w:val="center"/>
          </w:tcPr>
          <w:p w:rsidR="009124B0" w:rsidRPr="00332758" w:rsidRDefault="009124B0" w:rsidP="00730F86">
            <w:pPr>
              <w:keepNext/>
              <w:keepLines/>
              <w:jc w:val="center"/>
              <w:rPr>
                <w:rFonts w:cs="Arial"/>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Nuevas iniciativas conjuntas con otros organismos de las NN.UU.</w:t>
            </w:r>
          </w:p>
        </w:tc>
        <w:tc>
          <w:tcPr>
            <w:tcW w:w="914" w:type="pct"/>
            <w:shd w:val="clear" w:color="auto" w:fill="auto"/>
          </w:tcPr>
          <w:p w:rsidR="009124B0" w:rsidRPr="00A34388" w:rsidRDefault="009124B0" w:rsidP="00730F86">
            <w:pPr>
              <w:pStyle w:val="Default"/>
              <w:rPr>
                <w:color w:val="002060"/>
                <w:sz w:val="16"/>
                <w:szCs w:val="16"/>
                <w:lang w:val="es-ES_tradnl"/>
              </w:rPr>
            </w:pPr>
            <w:r w:rsidRPr="00A34388">
              <w:rPr>
                <w:i/>
                <w:color w:val="002060"/>
                <w:sz w:val="16"/>
                <w:lang w:val="es-ES_tradnl"/>
              </w:rPr>
              <w:t>Referencia actualizada a fines de 2011</w:t>
            </w:r>
            <w:r w:rsidR="00A113F0"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 xml:space="preserve">Dos en el bienio 2012/13. </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color w:val="000000"/>
                <w:sz w:val="16"/>
                <w:szCs w:val="16"/>
                <w:lang w:val="es-ES_tradnl"/>
              </w:rPr>
            </w:pPr>
            <w:r w:rsidRPr="00A34388">
              <w:rPr>
                <w:i/>
                <w:color w:val="000000"/>
                <w:sz w:val="16"/>
                <w:lang w:val="es-ES_tradnl"/>
              </w:rPr>
              <w:t xml:space="preserve">Referencia original Presup. por prog. 2012/12:  </w:t>
            </w:r>
            <w:r w:rsidRPr="00A34388">
              <w:rPr>
                <w:color w:val="000000"/>
                <w:sz w:val="16"/>
                <w:lang w:val="es-ES_tradnl"/>
              </w:rPr>
              <w:t>n.d.</w:t>
            </w:r>
          </w:p>
          <w:p w:rsidR="009124B0" w:rsidRPr="00A34388" w:rsidRDefault="009124B0" w:rsidP="00730F86">
            <w:pPr>
              <w:rPr>
                <w:rFonts w:cs="Arial"/>
                <w:i/>
                <w:color w:val="000000"/>
                <w:sz w:val="16"/>
                <w:szCs w:val="16"/>
                <w:lang w:val="es-ES_tradnl"/>
              </w:rPr>
            </w:pPr>
          </w:p>
        </w:tc>
        <w:tc>
          <w:tcPr>
            <w:tcW w:w="834" w:type="pct"/>
            <w:shd w:val="clear" w:color="auto" w:fill="auto"/>
            <w:tcMar>
              <w:top w:w="110" w:type="dxa"/>
            </w:tcMar>
          </w:tcPr>
          <w:p w:rsidR="009124B0" w:rsidRPr="00A34388" w:rsidRDefault="009124B0" w:rsidP="00730F86">
            <w:pPr>
              <w:rPr>
                <w:rFonts w:ascii="ArialMT" w:hAnsi="ArialMT" w:cs="ArialMT"/>
                <w:sz w:val="16"/>
                <w:szCs w:val="16"/>
                <w:lang w:val="es-ES_tradnl"/>
              </w:rPr>
            </w:pPr>
            <w:r w:rsidRPr="00A34388">
              <w:rPr>
                <w:rFonts w:ascii="ArialMT" w:hAnsi="ArialMT"/>
                <w:sz w:val="16"/>
                <w:lang w:val="es-ES_tradnl"/>
              </w:rPr>
              <w:t>Dos</w:t>
            </w:r>
          </w:p>
        </w:tc>
        <w:tc>
          <w:tcPr>
            <w:tcW w:w="1815" w:type="pct"/>
            <w:shd w:val="clear" w:color="auto" w:fill="FFFFFF"/>
            <w:tcMar>
              <w:top w:w="110" w:type="dxa"/>
            </w:tcMar>
          </w:tcPr>
          <w:p w:rsidR="009124B0" w:rsidRPr="00A34388" w:rsidRDefault="009124B0" w:rsidP="007958FB">
            <w:pPr>
              <w:rPr>
                <w:rFonts w:cs="Arial"/>
                <w:sz w:val="16"/>
                <w:szCs w:val="16"/>
                <w:lang w:val="es-ES_tradnl"/>
              </w:rPr>
            </w:pPr>
            <w:r w:rsidRPr="00A34388">
              <w:rPr>
                <w:sz w:val="16"/>
                <w:lang w:val="es-ES_tradnl"/>
              </w:rPr>
              <w:t xml:space="preserve">Dos nuevas iniciativas </w:t>
            </w:r>
            <w:r w:rsidR="007958FB" w:rsidRPr="00A34388">
              <w:rPr>
                <w:sz w:val="16"/>
                <w:lang w:val="es-ES_tradnl"/>
              </w:rPr>
              <w:t xml:space="preserve">a cargo del </w:t>
            </w:r>
            <w:r w:rsidRPr="00A34388">
              <w:rPr>
                <w:sz w:val="16"/>
                <w:lang w:val="es-ES_tradnl"/>
              </w:rPr>
              <w:t>Director General (</w:t>
            </w:r>
            <w:r w:rsidR="007958FB" w:rsidRPr="00A34388">
              <w:rPr>
                <w:sz w:val="16"/>
                <w:lang w:val="es-ES_tradnl"/>
              </w:rPr>
              <w:t xml:space="preserve">presidió </w:t>
            </w:r>
            <w:r w:rsidRPr="00A34388">
              <w:rPr>
                <w:sz w:val="16"/>
                <w:lang w:val="es-ES_tradnl"/>
              </w:rPr>
              <w:t xml:space="preserve">el HLCP en 2012 </w:t>
            </w:r>
            <w:r w:rsidR="007958FB" w:rsidRPr="00A34388">
              <w:rPr>
                <w:sz w:val="16"/>
                <w:lang w:val="es-ES_tradnl"/>
              </w:rPr>
              <w:t xml:space="preserve">y asistió al </w:t>
            </w:r>
            <w:r w:rsidRPr="00A34388">
              <w:rPr>
                <w:sz w:val="16"/>
                <w:lang w:val="es-ES_tradnl"/>
              </w:rPr>
              <w:t>lanz</w:t>
            </w:r>
            <w:r w:rsidR="00A113F0" w:rsidRPr="00A34388">
              <w:rPr>
                <w:sz w:val="16"/>
                <w:lang w:val="es-ES_tradnl"/>
              </w:rPr>
              <w:t xml:space="preserve">amiento </w:t>
            </w:r>
            <w:r w:rsidRPr="00A34388">
              <w:rPr>
                <w:sz w:val="16"/>
                <w:lang w:val="es-ES_tradnl"/>
              </w:rPr>
              <w:t xml:space="preserve">en 2013 </w:t>
            </w:r>
            <w:r w:rsidR="00A113F0" w:rsidRPr="00A34388">
              <w:rPr>
                <w:sz w:val="16"/>
                <w:lang w:val="es-ES_tradnl"/>
              </w:rPr>
              <w:t>d</w:t>
            </w:r>
            <w:r w:rsidRPr="00A34388">
              <w:rPr>
                <w:sz w:val="16"/>
                <w:lang w:val="es-ES_tradnl"/>
              </w:rPr>
              <w:t>el Índice Mundial de Innovación en el ECOSOC en Ginebra).</w:t>
            </w:r>
          </w:p>
        </w:tc>
        <w:tc>
          <w:tcPr>
            <w:tcW w:w="648" w:type="pct"/>
            <w:shd w:val="clear" w:color="auto" w:fill="auto"/>
            <w:tcMar>
              <w:top w:w="110" w:type="dxa"/>
            </w:tcMar>
          </w:tcPr>
          <w:p w:rsidR="009124B0" w:rsidRPr="00A34388" w:rsidRDefault="009124B0" w:rsidP="00730F86">
            <w:pPr>
              <w:keepNext/>
              <w:keepLines/>
              <w:jc w:val="center"/>
              <w:rPr>
                <w:rFonts w:cs="Arial"/>
                <w:bCs/>
                <w:color w:val="008000"/>
                <w:sz w:val="16"/>
                <w:szCs w:val="16"/>
                <w:lang w:val="es-ES_tradnl"/>
              </w:rPr>
            </w:pPr>
            <w:r w:rsidRPr="00A34388">
              <w:rPr>
                <w:color w:val="008000"/>
                <w:sz w:val="16"/>
                <w:lang w:val="es-ES_tradnl"/>
              </w:rPr>
              <w:t>Plenamente logrado</w:t>
            </w:r>
          </w:p>
        </w:tc>
      </w:tr>
      <w:tr w:rsidR="009124B0" w:rsidRPr="00A9508D" w:rsidTr="00730F86">
        <w:trPr>
          <w:cantSplit/>
        </w:trPr>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keepNext/>
              <w:keepLines/>
              <w:tabs>
                <w:tab w:val="left" w:pos="1452"/>
              </w:tabs>
              <w:spacing w:before="120" w:after="120"/>
              <w:ind w:left="1452" w:hanging="1452"/>
              <w:rPr>
                <w:rFonts w:cs="Arial"/>
                <w:b/>
                <w:bCs/>
                <w:sz w:val="16"/>
                <w:szCs w:val="16"/>
                <w:lang w:val="es-ES_tradnl"/>
              </w:rPr>
            </w:pPr>
            <w:r w:rsidRPr="00332758">
              <w:rPr>
                <w:b/>
                <w:sz w:val="16"/>
                <w:lang w:val="es-ES_tradnl"/>
              </w:rPr>
              <w:t>Resultado previsto:</w:t>
            </w:r>
            <w:r w:rsidRPr="00332758">
              <w:rPr>
                <w:sz w:val="16"/>
                <w:lang w:val="es-ES_tradnl"/>
              </w:rPr>
              <w:t xml:space="preserve">  Fomento del acceso a la información jurídica relativa a la P.I. y de su uso.</w:t>
            </w:r>
          </w:p>
        </w:tc>
      </w:tr>
      <w:tr w:rsidR="009124B0" w:rsidRPr="00A34388" w:rsidTr="00730F86">
        <w:trPr>
          <w:cantSplit/>
        </w:trPr>
        <w:tc>
          <w:tcPr>
            <w:tcW w:w="789" w:type="pct"/>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914" w:type="pct"/>
            <w:shd w:val="clear" w:color="auto" w:fill="auto"/>
            <w:vAlign w:val="center"/>
          </w:tcPr>
          <w:p w:rsidR="009124B0" w:rsidRPr="00A34388" w:rsidRDefault="009124B0" w:rsidP="00730F86">
            <w:pPr>
              <w:rPr>
                <w:rFonts w:cs="Arial"/>
                <w:i/>
                <w:color w:val="808080"/>
                <w:sz w:val="16"/>
                <w:szCs w:val="16"/>
                <w:lang w:val="es-ES_tradnl"/>
              </w:rPr>
            </w:pPr>
            <w:r w:rsidRPr="00332758">
              <w:rPr>
                <w:b/>
                <w:sz w:val="16"/>
                <w:lang w:val="es-ES_tradnl"/>
              </w:rPr>
              <w:t>Referencia</w:t>
            </w:r>
          </w:p>
        </w:tc>
        <w:tc>
          <w:tcPr>
            <w:tcW w:w="834" w:type="pct"/>
            <w:shd w:val="clear" w:color="auto" w:fill="auto"/>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Objetivos</w:t>
            </w:r>
          </w:p>
        </w:tc>
        <w:tc>
          <w:tcPr>
            <w:tcW w:w="1815" w:type="pct"/>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48" w:type="pct"/>
            <w:shd w:val="clear" w:color="auto" w:fill="auto"/>
            <w:tcMar>
              <w:top w:w="110" w:type="dxa"/>
            </w:tcMar>
            <w:vAlign w:val="center"/>
          </w:tcPr>
          <w:p w:rsidR="009124B0" w:rsidRPr="00332758" w:rsidRDefault="009124B0" w:rsidP="00730F86">
            <w:pPr>
              <w:keepNext/>
              <w:keepLines/>
              <w:jc w:val="center"/>
              <w:rPr>
                <w:rFonts w:cs="Arial"/>
                <w:bCs/>
                <w:sz w:val="16"/>
                <w:szCs w:val="16"/>
                <w:lang w:val="es-ES_tradnl"/>
              </w:rPr>
            </w:pPr>
            <w:r w:rsidRPr="00332758">
              <w:rPr>
                <w:b/>
                <w:sz w:val="16"/>
                <w:lang w:val="es-ES_tradnl"/>
              </w:rPr>
              <w:t>Clave de colores</w:t>
            </w:r>
          </w:p>
        </w:tc>
      </w:tr>
      <w:tr w:rsidR="009124B0" w:rsidRPr="00A34388" w:rsidTr="00730F86">
        <w:trPr>
          <w:cantSplit/>
        </w:trPr>
        <w:tc>
          <w:tcPr>
            <w:tcW w:w="789" w:type="pct"/>
            <w:shd w:val="clear" w:color="auto" w:fill="auto"/>
          </w:tcPr>
          <w:p w:rsidR="009124B0" w:rsidRPr="00A34388" w:rsidRDefault="009124B0" w:rsidP="00730F86">
            <w:pPr>
              <w:rPr>
                <w:rFonts w:cs="Arial"/>
                <w:color w:val="000000"/>
                <w:sz w:val="16"/>
                <w:szCs w:val="16"/>
                <w:lang w:val="es-ES_tradnl"/>
              </w:rPr>
            </w:pPr>
            <w:r w:rsidRPr="00332758">
              <w:rPr>
                <w:sz w:val="16"/>
                <w:lang w:val="es-ES_tradnl"/>
              </w:rPr>
              <w:t>Mejor cobertura de la información jurídica relativa a la P.I. almacenada en la base de datos WIPO Lex.</w:t>
            </w:r>
          </w:p>
        </w:tc>
        <w:tc>
          <w:tcPr>
            <w:tcW w:w="914" w:type="pct"/>
            <w:shd w:val="clear" w:color="auto" w:fill="auto"/>
          </w:tcPr>
          <w:p w:rsidR="009124B0" w:rsidRPr="00A34388" w:rsidRDefault="009124B0" w:rsidP="00730F86">
            <w:pPr>
              <w:rPr>
                <w:rFonts w:cs="Arial"/>
                <w:sz w:val="16"/>
                <w:szCs w:val="16"/>
                <w:lang w:val="es-ES_tradnl"/>
              </w:rPr>
            </w:pPr>
            <w:r w:rsidRPr="00332758">
              <w:rPr>
                <w:sz w:val="16"/>
                <w:lang w:val="es-ES_tradnl"/>
              </w:rPr>
              <w:t>Cobertura limitada de los tratados regionales de integración económica (23, de los cuales 13 han sido notificados a la OMC) y de los tratados bilaterales que contienen disposiciones relacionadas con la P.I. (actualmente 90, de los cuales 40 han sido notificados a la OMC).</w:t>
            </w:r>
          </w:p>
        </w:tc>
        <w:tc>
          <w:tcPr>
            <w:tcW w:w="834"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Cobertura sustancial de más de 200 tratados regionales de integración económica y tratados bilaterales en la base de datos de la OMC. Cobertura parcial de algunos tratados no incluidos en la base de datos.</w:t>
            </w:r>
          </w:p>
        </w:tc>
        <w:tc>
          <w:tcPr>
            <w:tcW w:w="181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La base de datos incluye 735 tratados internacionales relativos a la P.I.:</w:t>
            </w:r>
          </w:p>
          <w:p w:rsidR="009124B0" w:rsidRPr="00A34388" w:rsidRDefault="009124B0" w:rsidP="009124B0">
            <w:pPr>
              <w:pStyle w:val="ListParagraph"/>
              <w:numPr>
                <w:ilvl w:val="0"/>
                <w:numId w:val="55"/>
              </w:numPr>
              <w:ind w:left="248" w:hanging="248"/>
              <w:rPr>
                <w:rFonts w:cs="Arial"/>
                <w:sz w:val="16"/>
                <w:szCs w:val="16"/>
                <w:lang w:val="es-ES_tradnl"/>
              </w:rPr>
            </w:pPr>
            <w:r w:rsidRPr="00A34388">
              <w:rPr>
                <w:sz w:val="16"/>
                <w:lang w:val="es-ES_tradnl"/>
              </w:rPr>
              <w:t>623 tratados regionales de integración económica y bilaterales (56 tratados regionales de integración económica y 567 tratados bilaterales);</w:t>
            </w:r>
          </w:p>
          <w:p w:rsidR="009124B0" w:rsidRPr="00A34388" w:rsidRDefault="009124B0" w:rsidP="009124B0">
            <w:pPr>
              <w:pStyle w:val="ListParagraph"/>
              <w:numPr>
                <w:ilvl w:val="0"/>
                <w:numId w:val="55"/>
              </w:numPr>
              <w:ind w:left="248" w:hanging="248"/>
              <w:rPr>
                <w:rFonts w:cs="Arial"/>
                <w:sz w:val="16"/>
                <w:szCs w:val="16"/>
                <w:lang w:val="es-ES_tradnl"/>
              </w:rPr>
            </w:pPr>
            <w:r w:rsidRPr="00A34388">
              <w:rPr>
                <w:sz w:val="16"/>
                <w:lang w:val="es-ES_tradnl"/>
              </w:rPr>
              <w:t xml:space="preserve">26 tratados administrados por la OMPI; </w:t>
            </w:r>
          </w:p>
          <w:p w:rsidR="009124B0" w:rsidRPr="00A34388" w:rsidRDefault="009124B0" w:rsidP="009124B0">
            <w:pPr>
              <w:pStyle w:val="ListParagraph"/>
              <w:numPr>
                <w:ilvl w:val="0"/>
                <w:numId w:val="55"/>
              </w:numPr>
              <w:ind w:left="248" w:hanging="248"/>
              <w:rPr>
                <w:rFonts w:cs="Arial"/>
                <w:sz w:val="16"/>
                <w:szCs w:val="16"/>
                <w:lang w:val="es-ES_tradnl"/>
              </w:rPr>
            </w:pPr>
            <w:r w:rsidRPr="00A34388">
              <w:rPr>
                <w:sz w:val="16"/>
                <w:lang w:val="es-ES_tradnl"/>
              </w:rPr>
              <w:t xml:space="preserve">59 tratados multilaterales;  y </w:t>
            </w:r>
          </w:p>
          <w:p w:rsidR="009124B0" w:rsidRPr="00A34388" w:rsidRDefault="009124B0" w:rsidP="009124B0">
            <w:pPr>
              <w:pStyle w:val="ListParagraph"/>
              <w:numPr>
                <w:ilvl w:val="0"/>
                <w:numId w:val="55"/>
              </w:numPr>
              <w:ind w:left="248" w:hanging="248"/>
              <w:rPr>
                <w:rFonts w:cs="Arial"/>
                <w:sz w:val="16"/>
                <w:szCs w:val="16"/>
                <w:lang w:val="es-ES_tradnl"/>
              </w:rPr>
            </w:pPr>
            <w:r w:rsidRPr="00A34388">
              <w:rPr>
                <w:sz w:val="16"/>
                <w:lang w:val="es-ES_tradnl"/>
              </w:rPr>
              <w:t>27 tratados regionales relativos a la P.I.</w:t>
            </w:r>
          </w:p>
          <w:p w:rsidR="009124B0" w:rsidRPr="00A34388" w:rsidRDefault="009124B0" w:rsidP="00730F86">
            <w:pPr>
              <w:rPr>
                <w:rFonts w:cs="Arial"/>
                <w:sz w:val="16"/>
                <w:szCs w:val="16"/>
                <w:lang w:val="es-ES_tradnl"/>
              </w:rPr>
            </w:pPr>
          </w:p>
          <w:p w:rsidR="009124B0" w:rsidRPr="00A34388" w:rsidRDefault="009124B0" w:rsidP="00730F86">
            <w:pPr>
              <w:rPr>
                <w:rFonts w:cs="Arial"/>
                <w:sz w:val="16"/>
                <w:szCs w:val="16"/>
                <w:lang w:val="es-ES_tradnl"/>
              </w:rPr>
            </w:pPr>
            <w:r w:rsidRPr="00A34388">
              <w:rPr>
                <w:sz w:val="16"/>
                <w:lang w:val="es-ES_tradnl"/>
              </w:rPr>
              <w:t>El apartado de leyes contiene más de 12.000 textos jurídicos.</w:t>
            </w:r>
          </w:p>
          <w:p w:rsidR="009124B0" w:rsidRPr="00A34388" w:rsidRDefault="009124B0" w:rsidP="00730F86">
            <w:pPr>
              <w:rPr>
                <w:rFonts w:cs="Arial"/>
                <w:sz w:val="16"/>
                <w:szCs w:val="16"/>
                <w:lang w:val="es-ES_tradnl"/>
              </w:rPr>
            </w:pPr>
          </w:p>
          <w:p w:rsidR="009124B0" w:rsidRPr="00A34388" w:rsidRDefault="009124B0" w:rsidP="00730F86">
            <w:pPr>
              <w:rPr>
                <w:rFonts w:cs="Arial"/>
                <w:sz w:val="16"/>
                <w:szCs w:val="16"/>
                <w:lang w:val="es-ES_tradnl"/>
              </w:rPr>
            </w:pPr>
            <w:r w:rsidRPr="00A34388">
              <w:rPr>
                <w:sz w:val="16"/>
                <w:lang w:val="es-ES_tradnl"/>
              </w:rPr>
              <w:t xml:space="preserve">El número de visitantes ascendió a 2.013.651 en 2013, frente a los 1.128.969 de 2012.  </w:t>
            </w:r>
          </w:p>
          <w:p w:rsidR="009124B0" w:rsidRPr="00A34388" w:rsidRDefault="009124B0" w:rsidP="00730F86">
            <w:pPr>
              <w:rPr>
                <w:rFonts w:cs="Arial"/>
                <w:sz w:val="16"/>
                <w:szCs w:val="16"/>
                <w:lang w:val="es-ES_tradnl"/>
              </w:rPr>
            </w:pPr>
          </w:p>
          <w:p w:rsidR="009124B0" w:rsidRPr="00A34388" w:rsidRDefault="009124B0" w:rsidP="00730F86">
            <w:pPr>
              <w:rPr>
                <w:rFonts w:cs="Arial"/>
                <w:sz w:val="16"/>
                <w:szCs w:val="16"/>
                <w:lang w:val="es-ES_tradnl"/>
              </w:rPr>
            </w:pPr>
            <w:r w:rsidRPr="00A34388">
              <w:rPr>
                <w:sz w:val="16"/>
                <w:lang w:val="es-ES_tradnl"/>
              </w:rPr>
              <w:t>El número de páginas vistas fue de 4.315.030 en 2013, frente a los 2.880.905 de 2012.</w:t>
            </w:r>
          </w:p>
          <w:p w:rsidR="009124B0" w:rsidRPr="00A34388" w:rsidRDefault="009124B0" w:rsidP="00730F86">
            <w:pPr>
              <w:rPr>
                <w:rFonts w:cs="Arial"/>
                <w:sz w:val="16"/>
                <w:szCs w:val="16"/>
                <w:lang w:val="es-ES_tradnl"/>
              </w:rPr>
            </w:pPr>
          </w:p>
        </w:tc>
        <w:tc>
          <w:tcPr>
            <w:tcW w:w="648" w:type="pct"/>
            <w:shd w:val="clear" w:color="auto" w:fill="auto"/>
            <w:tcMar>
              <w:top w:w="110" w:type="dxa"/>
            </w:tcMar>
          </w:tcPr>
          <w:p w:rsidR="009124B0" w:rsidRPr="00A34388" w:rsidRDefault="009124B0" w:rsidP="00730F86">
            <w:pPr>
              <w:keepNext/>
              <w:keepLines/>
              <w:jc w:val="center"/>
              <w:rPr>
                <w:rFonts w:cs="Arial"/>
                <w:bCs/>
                <w:color w:val="008000"/>
                <w:sz w:val="16"/>
                <w:szCs w:val="16"/>
                <w:lang w:val="es-ES_tradnl"/>
              </w:rPr>
            </w:pPr>
            <w:r w:rsidRPr="00A34388">
              <w:rPr>
                <w:color w:val="008000"/>
                <w:sz w:val="16"/>
                <w:lang w:val="es-ES_tradnl"/>
              </w:rPr>
              <w:t>Plenamente logrado</w:t>
            </w:r>
          </w:p>
        </w:tc>
      </w:tr>
    </w:tbl>
    <w:p w:rsidR="009124B0" w:rsidRPr="00A34388" w:rsidRDefault="009124B0" w:rsidP="009124B0">
      <w:pPr>
        <w:rPr>
          <w:rFonts w:cs="Arial"/>
          <w:lang w:val="es-ES_tradnl"/>
        </w:rPr>
      </w:pPr>
    </w:p>
    <w:p w:rsidR="009124B0" w:rsidRPr="00A34388" w:rsidRDefault="009124B0" w:rsidP="009124B0">
      <w:pPr>
        <w:rPr>
          <w:rFonts w:cs="Arial"/>
          <w:sz w:val="22"/>
          <w:szCs w:val="22"/>
          <w:lang w:val="es-ES_tradnl"/>
        </w:rPr>
      </w:pPr>
    </w:p>
    <w:p w:rsidR="004C0FD5" w:rsidRPr="00332758" w:rsidRDefault="004C0FD5">
      <w:pPr>
        <w:rPr>
          <w:sz w:val="22"/>
          <w:lang w:val="es-ES_tradnl"/>
        </w:rPr>
      </w:pPr>
      <w:r w:rsidRPr="00332758">
        <w:rPr>
          <w:sz w:val="22"/>
          <w:lang w:val="es-ES_tradnl"/>
        </w:rPr>
        <w:br w:type="page"/>
      </w:r>
    </w:p>
    <w:p w:rsidR="009124B0" w:rsidRPr="00A34388" w:rsidRDefault="009124B0" w:rsidP="009124B0">
      <w:pPr>
        <w:rPr>
          <w:rFonts w:cs="Arial"/>
          <w:sz w:val="22"/>
          <w:szCs w:val="22"/>
          <w:lang w:val="es-ES_tradnl"/>
        </w:rPr>
      </w:pPr>
      <w:r w:rsidRPr="00332758">
        <w:rPr>
          <w:sz w:val="22"/>
          <w:lang w:val="es-ES_tradnl"/>
        </w:rPr>
        <w:lastRenderedPageBreak/>
        <w:t>PRESUPUESTO Y GASTOS REALES</w:t>
      </w:r>
    </w:p>
    <w:p w:rsidR="009124B0" w:rsidRPr="00A34388" w:rsidRDefault="009124B0" w:rsidP="009124B0">
      <w:pPr>
        <w:rPr>
          <w:rFonts w:cs="Arial"/>
          <w:szCs w:val="20"/>
          <w:lang w:val="es-ES_tradnl"/>
        </w:rPr>
      </w:pP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(por resultado)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9124B0" w:rsidRPr="00A34388" w:rsidRDefault="009124B0" w:rsidP="009124B0">
      <w:pPr>
        <w:rPr>
          <w:rFonts w:cs="Arial"/>
          <w:szCs w:val="20"/>
          <w:lang w:val="es-ES_tradnl"/>
        </w:rPr>
      </w:pPr>
    </w:p>
    <w:tbl>
      <w:tblPr>
        <w:tblW w:w="0" w:type="auto"/>
        <w:tblInd w:w="108" w:type="dxa"/>
        <w:tblLook w:val="04A0" w:firstRow="1" w:lastRow="0" w:firstColumn="1" w:lastColumn="0" w:noHBand="0" w:noVBand="1"/>
      </w:tblPr>
      <w:tblGrid>
        <w:gridCol w:w="590"/>
        <w:gridCol w:w="4291"/>
        <w:gridCol w:w="1512"/>
        <w:gridCol w:w="1512"/>
        <w:gridCol w:w="1512"/>
      </w:tblGrid>
      <w:tr w:rsidR="009124B0" w:rsidRPr="00A34388" w:rsidTr="00730F86">
        <w:tc>
          <w:tcPr>
            <w:tcW w:w="48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A34388">
              <w:rPr>
                <w:color w:val="000000"/>
                <w:sz w:val="16"/>
                <w:lang w:val="es-ES_tradnl"/>
              </w:rPr>
              <w:t>Gastos 2012/13</w:t>
            </w:r>
          </w:p>
        </w:tc>
      </w:tr>
      <w:tr w:rsidR="009124B0" w:rsidRPr="00A34388" w:rsidTr="00730F86">
        <w:tc>
          <w:tcPr>
            <w:tcW w:w="529"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V.3</w:t>
            </w:r>
          </w:p>
        </w:tc>
        <w:tc>
          <w:tcPr>
            <w:tcW w:w="4291"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Fomento del acceso a la información jurídica relativa a la P.I. y de su uso.</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2</w:t>
            </w:r>
            <w:r w:rsidR="00D02C7F">
              <w:rPr>
                <w:sz w:val="16"/>
                <w:lang w:val="es-ES_tradnl"/>
              </w:rPr>
              <w:t>.</w:t>
            </w:r>
            <w:r w:rsidRPr="00332758">
              <w:rPr>
                <w:sz w:val="16"/>
                <w:lang w:val="es-ES_tradnl"/>
              </w:rPr>
              <w:t xml:space="preserve">244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2</w:t>
            </w:r>
            <w:r w:rsidR="00D02C7F">
              <w:rPr>
                <w:sz w:val="16"/>
                <w:lang w:val="es-ES_tradnl"/>
              </w:rPr>
              <w:t>.</w:t>
            </w:r>
            <w:r w:rsidRPr="00332758">
              <w:rPr>
                <w:sz w:val="16"/>
                <w:lang w:val="es-ES_tradnl"/>
              </w:rPr>
              <w:t xml:space="preserve">042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1</w:t>
            </w:r>
            <w:r w:rsidR="00D02C7F">
              <w:rPr>
                <w:sz w:val="16"/>
                <w:lang w:val="es-ES_tradnl"/>
              </w:rPr>
              <w:t>.</w:t>
            </w:r>
            <w:r w:rsidRPr="00332758">
              <w:rPr>
                <w:sz w:val="16"/>
                <w:lang w:val="es-ES_tradnl"/>
              </w:rPr>
              <w:t>992</w:t>
            </w:r>
          </w:p>
        </w:tc>
      </w:tr>
      <w:tr w:rsidR="009124B0" w:rsidRPr="00A34388" w:rsidTr="00730F86">
        <w:tc>
          <w:tcPr>
            <w:tcW w:w="529"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VIII.3</w:t>
            </w:r>
          </w:p>
        </w:tc>
        <w:tc>
          <w:tcPr>
            <w:tcW w:w="4291"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La OMPI participa y colabora eficazmente en los procesos y negociaciones de las NN.UU. y otras OIG.</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 xml:space="preserve">100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 xml:space="preserve">90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 xml:space="preserve">61 </w:t>
            </w:r>
          </w:p>
        </w:tc>
      </w:tr>
      <w:tr w:rsidR="009124B0" w:rsidRPr="00A34388" w:rsidTr="00730F86">
        <w:tc>
          <w:tcPr>
            <w:tcW w:w="529"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VIII.5</w:t>
            </w:r>
          </w:p>
        </w:tc>
        <w:tc>
          <w:tcPr>
            <w:tcW w:w="4291"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Atención eficaz a los Estados miembros.</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5</w:t>
            </w:r>
            <w:r w:rsidR="00D02C7F">
              <w:rPr>
                <w:sz w:val="16"/>
                <w:lang w:val="es-ES_tradnl"/>
              </w:rPr>
              <w:t>.</w:t>
            </w:r>
            <w:r w:rsidRPr="00332758">
              <w:rPr>
                <w:sz w:val="16"/>
                <w:lang w:val="es-ES_tradnl"/>
              </w:rPr>
              <w:t xml:space="preserve">311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4</w:t>
            </w:r>
            <w:r w:rsidR="00D02C7F">
              <w:rPr>
                <w:sz w:val="16"/>
                <w:lang w:val="es-ES_tradnl"/>
              </w:rPr>
              <w:t>.</w:t>
            </w:r>
            <w:r w:rsidRPr="00332758">
              <w:rPr>
                <w:sz w:val="16"/>
                <w:lang w:val="es-ES_tradnl"/>
              </w:rPr>
              <w:t xml:space="preserve">531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4</w:t>
            </w:r>
            <w:r w:rsidR="00D02C7F">
              <w:rPr>
                <w:sz w:val="16"/>
                <w:lang w:val="es-ES_tradnl"/>
              </w:rPr>
              <w:t>.</w:t>
            </w:r>
            <w:r w:rsidRPr="00332758">
              <w:rPr>
                <w:sz w:val="16"/>
                <w:lang w:val="es-ES_tradnl"/>
              </w:rPr>
              <w:t xml:space="preserve">517 </w:t>
            </w:r>
          </w:p>
        </w:tc>
      </w:tr>
      <w:tr w:rsidR="009124B0" w:rsidRPr="00A34388" w:rsidTr="00730F86">
        <w:tc>
          <w:tcPr>
            <w:tcW w:w="529"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IX.7</w:t>
            </w:r>
          </w:p>
        </w:tc>
        <w:tc>
          <w:tcPr>
            <w:tcW w:w="4291"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Mayor coordinación y coherencia en el seno de la Secretaría.</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10</w:t>
            </w:r>
            <w:r w:rsidR="00D02C7F">
              <w:rPr>
                <w:sz w:val="16"/>
                <w:lang w:val="es-ES_tradnl"/>
              </w:rPr>
              <w:t>.</w:t>
            </w:r>
            <w:r w:rsidRPr="00332758">
              <w:rPr>
                <w:sz w:val="16"/>
                <w:lang w:val="es-ES_tradnl"/>
              </w:rPr>
              <w:t xml:space="preserve">255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11</w:t>
            </w:r>
            <w:r w:rsidR="00D02C7F">
              <w:rPr>
                <w:sz w:val="16"/>
                <w:lang w:val="es-ES_tradnl"/>
              </w:rPr>
              <w:t>.</w:t>
            </w:r>
            <w:r w:rsidRPr="00332758">
              <w:rPr>
                <w:sz w:val="16"/>
                <w:lang w:val="es-ES_tradnl"/>
              </w:rPr>
              <w:t xml:space="preserve">213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10</w:t>
            </w:r>
            <w:r w:rsidR="00D02C7F">
              <w:rPr>
                <w:sz w:val="16"/>
                <w:lang w:val="es-ES_tradnl"/>
              </w:rPr>
              <w:t>.</w:t>
            </w:r>
            <w:r w:rsidRPr="00332758">
              <w:rPr>
                <w:sz w:val="16"/>
                <w:lang w:val="es-ES_tradnl"/>
              </w:rPr>
              <w:t xml:space="preserve">769 </w:t>
            </w:r>
          </w:p>
        </w:tc>
      </w:tr>
      <w:tr w:rsidR="009124B0" w:rsidRPr="00A34388" w:rsidTr="00730F86">
        <w:tc>
          <w:tcPr>
            <w:tcW w:w="529" w:type="dxa"/>
            <w:tcBorders>
              <w:top w:val="nil"/>
              <w:left w:val="single" w:sz="4" w:space="0" w:color="auto"/>
              <w:bottom w:val="single" w:sz="4" w:space="0" w:color="auto"/>
              <w:right w:val="nil"/>
            </w:tcBorders>
            <w:shd w:val="clear" w:color="000000" w:fill="FFFFFF"/>
            <w:noWrap/>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IX.8</w:t>
            </w:r>
          </w:p>
        </w:tc>
        <w:tc>
          <w:tcPr>
            <w:tcW w:w="4291" w:type="dxa"/>
            <w:tcBorders>
              <w:top w:val="nil"/>
              <w:left w:val="nil"/>
              <w:bottom w:val="single" w:sz="4" w:space="0" w:color="auto"/>
              <w:right w:val="nil"/>
            </w:tcBorders>
            <w:shd w:val="clear" w:color="000000" w:fill="FFFFFF"/>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Mejor entorno de trabajo basado en un marco regulador coadyuvante y medios eficaces para atender las preocupaciones del personal.</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after="120"/>
              <w:jc w:val="right"/>
              <w:rPr>
                <w:rFonts w:cs="Arial"/>
                <w:color w:val="808080"/>
                <w:sz w:val="16"/>
                <w:szCs w:val="16"/>
                <w:lang w:val="es-ES_tradnl"/>
              </w:rPr>
            </w:pPr>
            <w:r w:rsidRPr="00332758">
              <w:rPr>
                <w:sz w:val="16"/>
                <w:lang w:val="es-ES_tradnl"/>
              </w:rPr>
              <w:t>1</w:t>
            </w:r>
            <w:r w:rsidR="00D02C7F">
              <w:rPr>
                <w:sz w:val="16"/>
                <w:lang w:val="es-ES_tradnl"/>
              </w:rPr>
              <w:t>.</w:t>
            </w:r>
            <w:r w:rsidRPr="00332758">
              <w:rPr>
                <w:sz w:val="16"/>
                <w:lang w:val="es-ES_tradnl"/>
              </w:rPr>
              <w:t xml:space="preserve">038 </w:t>
            </w:r>
          </w:p>
        </w:tc>
        <w:tc>
          <w:tcPr>
            <w:tcW w:w="1512" w:type="dxa"/>
            <w:tcBorders>
              <w:top w:val="nil"/>
              <w:left w:val="nil"/>
              <w:bottom w:val="nil"/>
              <w:right w:val="nil"/>
            </w:tcBorders>
            <w:shd w:val="clear" w:color="000000" w:fill="FFFFFF"/>
            <w:vAlign w:val="center"/>
            <w:hideMark/>
          </w:tcPr>
          <w:p w:rsidR="009124B0" w:rsidRPr="00A34388" w:rsidRDefault="009124B0" w:rsidP="00730F86">
            <w:pPr>
              <w:spacing w:before="120" w:after="120"/>
              <w:jc w:val="right"/>
              <w:rPr>
                <w:rFonts w:cs="Arial"/>
                <w:color w:val="808080"/>
                <w:sz w:val="16"/>
                <w:szCs w:val="16"/>
                <w:lang w:val="es-ES_tradnl"/>
              </w:rPr>
            </w:pPr>
            <w:r w:rsidRPr="00332758">
              <w:rPr>
                <w:sz w:val="16"/>
                <w:lang w:val="es-ES_tradnl"/>
              </w:rPr>
              <w:t xml:space="preserve">962 </w:t>
            </w:r>
          </w:p>
        </w:tc>
        <w:tc>
          <w:tcPr>
            <w:tcW w:w="1512"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after="120"/>
              <w:jc w:val="right"/>
              <w:rPr>
                <w:rFonts w:cs="Arial"/>
                <w:sz w:val="16"/>
                <w:szCs w:val="16"/>
                <w:lang w:val="es-ES_tradnl"/>
              </w:rPr>
            </w:pPr>
            <w:r w:rsidRPr="00332758">
              <w:rPr>
                <w:sz w:val="16"/>
                <w:lang w:val="es-ES_tradnl"/>
              </w:rPr>
              <w:t xml:space="preserve">918 </w:t>
            </w:r>
          </w:p>
        </w:tc>
      </w:tr>
      <w:tr w:rsidR="009124B0" w:rsidRPr="00A34388" w:rsidTr="00730F86">
        <w:tc>
          <w:tcPr>
            <w:tcW w:w="529" w:type="dxa"/>
            <w:tcBorders>
              <w:top w:val="nil"/>
              <w:left w:val="single" w:sz="4" w:space="0" w:color="auto"/>
              <w:bottom w:val="single" w:sz="4" w:space="0" w:color="auto"/>
              <w:right w:val="nil"/>
            </w:tcBorders>
            <w:shd w:val="clear" w:color="000000" w:fill="CCFFFF"/>
            <w:noWrap/>
            <w:vAlign w:val="bottom"/>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 </w:t>
            </w:r>
          </w:p>
        </w:tc>
        <w:tc>
          <w:tcPr>
            <w:tcW w:w="4291" w:type="dxa"/>
            <w:tcBorders>
              <w:top w:val="nil"/>
              <w:left w:val="nil"/>
              <w:bottom w:val="single" w:sz="4" w:space="0" w:color="auto"/>
              <w:right w:val="nil"/>
            </w:tcBorders>
            <w:shd w:val="clear" w:color="000000" w:fill="CCFFFF"/>
            <w:noWrap/>
            <w:vAlign w:val="center"/>
            <w:hideMark/>
          </w:tcPr>
          <w:p w:rsidR="009124B0" w:rsidRPr="00A34388" w:rsidRDefault="009124B0" w:rsidP="00730F86">
            <w:pPr>
              <w:spacing w:before="120" w:after="120"/>
              <w:rPr>
                <w:rFonts w:cs="Arial"/>
                <w:b/>
                <w:bCs/>
                <w:color w:val="808080"/>
                <w:sz w:val="16"/>
                <w:szCs w:val="16"/>
                <w:lang w:val="es-ES_tradnl"/>
              </w:rPr>
            </w:pPr>
            <w:r w:rsidRPr="00332758">
              <w:rPr>
                <w:b/>
                <w:sz w:val="16"/>
                <w:lang w:val="es-ES_tradnl"/>
              </w:rPr>
              <w:t>TOTAL:</w:t>
            </w:r>
          </w:p>
        </w:tc>
        <w:tc>
          <w:tcPr>
            <w:tcW w:w="151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948</w:t>
            </w:r>
          </w:p>
        </w:tc>
        <w:tc>
          <w:tcPr>
            <w:tcW w:w="1512" w:type="dxa"/>
            <w:tcBorders>
              <w:top w:val="single" w:sz="4" w:space="0" w:color="auto"/>
              <w:left w:val="nil"/>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838</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4B0" w:rsidRPr="00332758" w:rsidRDefault="009124B0" w:rsidP="00730F86">
            <w:pPr>
              <w:spacing w:before="120" w:after="120"/>
              <w:jc w:val="right"/>
              <w:rPr>
                <w:rFonts w:cs="Arial"/>
                <w:b/>
                <w:bCs/>
                <w:sz w:val="16"/>
                <w:szCs w:val="16"/>
                <w:lang w:val="es-ES_tradnl"/>
              </w:rPr>
            </w:pPr>
            <w:r w:rsidRPr="00332758">
              <w:rPr>
                <w:b/>
                <w:sz w:val="16"/>
                <w:lang w:val="es-ES_tradnl"/>
              </w:rPr>
              <w:t>18</w:t>
            </w:r>
            <w:r w:rsidR="00D02C7F">
              <w:rPr>
                <w:b/>
                <w:sz w:val="16"/>
                <w:lang w:val="es-ES_tradnl"/>
              </w:rPr>
              <w:t>.</w:t>
            </w:r>
            <w:r w:rsidRPr="00332758">
              <w:rPr>
                <w:b/>
                <w:sz w:val="16"/>
                <w:lang w:val="es-ES_tradnl"/>
              </w:rPr>
              <w:t>257</w:t>
            </w:r>
          </w:p>
        </w:tc>
      </w:tr>
    </w:tbl>
    <w:p w:rsidR="009124B0" w:rsidRPr="00A34388" w:rsidRDefault="009124B0" w:rsidP="009124B0">
      <w:pPr>
        <w:rPr>
          <w:rFonts w:cs="Arial"/>
          <w:szCs w:val="20"/>
          <w:lang w:val="es-ES_tradnl"/>
        </w:rPr>
      </w:pPr>
    </w:p>
    <w:p w:rsidR="009124B0" w:rsidRPr="00A34388" w:rsidRDefault="009124B0" w:rsidP="009124B0">
      <w:pPr>
        <w:rPr>
          <w:rFonts w:cs="Arial"/>
          <w:szCs w:val="20"/>
          <w:lang w:val="es-ES_tradnl"/>
        </w:rPr>
      </w:pP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t xml:space="preserve">Presupuesto y gastos reales (de personal y no relativos al personal)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9124B0" w:rsidRPr="00A34388" w:rsidRDefault="009124B0" w:rsidP="009124B0">
      <w:pPr>
        <w:rPr>
          <w:rFonts w:cs="Arial"/>
          <w:szCs w:val="20"/>
          <w:lang w:val="es-ES_tradnl"/>
        </w:rPr>
      </w:pPr>
    </w:p>
    <w:tbl>
      <w:tblPr>
        <w:tblpPr w:leftFromText="180" w:rightFromText="180" w:vertAnchor="text" w:horzAnchor="margin" w:tblpX="108" w:tblpY="179"/>
        <w:tblW w:w="0" w:type="auto"/>
        <w:tblLook w:val="04A0" w:firstRow="1" w:lastRow="0" w:firstColumn="1" w:lastColumn="0" w:noHBand="0" w:noVBand="1"/>
      </w:tblPr>
      <w:tblGrid>
        <w:gridCol w:w="2652"/>
        <w:gridCol w:w="1596"/>
        <w:gridCol w:w="1596"/>
        <w:gridCol w:w="1596"/>
        <w:gridCol w:w="1916"/>
      </w:tblGrid>
      <w:tr w:rsidR="009124B0" w:rsidRPr="00A34388" w:rsidTr="00730F86">
        <w:tc>
          <w:tcPr>
            <w:tcW w:w="265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rPr>
                <w:rFonts w:cs="Arial"/>
                <w:color w:val="000000"/>
                <w:sz w:val="16"/>
                <w:szCs w:val="16"/>
                <w:lang w:val="es-ES_tradnl"/>
              </w:rPr>
            </w:pPr>
            <w:r w:rsidRPr="00A34388">
              <w:rPr>
                <w:color w:val="000000"/>
                <w:sz w:val="16"/>
                <w:lang w:val="es-ES_tradnl"/>
              </w:rPr>
              <w:t> </w:t>
            </w:r>
          </w:p>
        </w:tc>
        <w:tc>
          <w:tcPr>
            <w:tcW w:w="1596"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Presupuesto aprobado 2012/13</w:t>
            </w:r>
          </w:p>
        </w:tc>
        <w:tc>
          <w:tcPr>
            <w:tcW w:w="1596"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596"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Gastos en 2012/13</w:t>
            </w:r>
          </w:p>
        </w:tc>
        <w:tc>
          <w:tcPr>
            <w:tcW w:w="1916"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Índice de utilización</w:t>
            </w:r>
          </w:p>
        </w:tc>
      </w:tr>
      <w:tr w:rsidR="009124B0" w:rsidRPr="00A34388" w:rsidTr="00730F8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 Recursos de personal  </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16</w:t>
            </w:r>
            <w:r w:rsidR="00D02C7F">
              <w:rPr>
                <w:sz w:val="16"/>
                <w:lang w:val="es-ES_tradnl"/>
              </w:rPr>
              <w:t>.</w:t>
            </w:r>
            <w:r w:rsidRPr="00332758">
              <w:rPr>
                <w:sz w:val="16"/>
                <w:lang w:val="es-ES_tradnl"/>
              </w:rPr>
              <w:t>420</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15</w:t>
            </w:r>
            <w:r w:rsidR="00D02C7F">
              <w:rPr>
                <w:sz w:val="16"/>
                <w:lang w:val="es-ES_tradnl"/>
              </w:rPr>
              <w:t>.</w:t>
            </w:r>
            <w:r w:rsidRPr="00332758">
              <w:rPr>
                <w:sz w:val="16"/>
                <w:lang w:val="es-ES_tradnl"/>
              </w:rPr>
              <w:t>253</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15</w:t>
            </w:r>
            <w:r w:rsidR="00D02C7F">
              <w:rPr>
                <w:sz w:val="16"/>
                <w:lang w:val="es-ES_tradnl"/>
              </w:rPr>
              <w:t>.</w:t>
            </w:r>
            <w:r w:rsidRPr="00332758">
              <w:rPr>
                <w:sz w:val="16"/>
                <w:lang w:val="es-ES_tradnl"/>
              </w:rPr>
              <w:t>253</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100%</w:t>
            </w:r>
          </w:p>
        </w:tc>
      </w:tr>
      <w:tr w:rsidR="009124B0" w:rsidRPr="00A34388" w:rsidTr="00730F8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 Recursos no relativos al personal </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2</w:t>
            </w:r>
            <w:r w:rsidR="00D02C7F">
              <w:rPr>
                <w:sz w:val="16"/>
                <w:lang w:val="es-ES_tradnl"/>
              </w:rPr>
              <w:t>.</w:t>
            </w:r>
            <w:r w:rsidRPr="00332758">
              <w:rPr>
                <w:sz w:val="16"/>
                <w:lang w:val="es-ES_tradnl"/>
              </w:rPr>
              <w:t>528</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3</w:t>
            </w:r>
            <w:r w:rsidR="00D02C7F">
              <w:rPr>
                <w:sz w:val="16"/>
                <w:lang w:val="es-ES_tradnl"/>
              </w:rPr>
              <w:t>.</w:t>
            </w:r>
            <w:r w:rsidRPr="00332758">
              <w:rPr>
                <w:sz w:val="16"/>
                <w:lang w:val="es-ES_tradnl"/>
              </w:rPr>
              <w:t>585</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3</w:t>
            </w:r>
            <w:r w:rsidR="00D02C7F">
              <w:rPr>
                <w:sz w:val="16"/>
                <w:lang w:val="es-ES_tradnl"/>
              </w:rPr>
              <w:t>.</w:t>
            </w:r>
            <w:r w:rsidRPr="00332758">
              <w:rPr>
                <w:sz w:val="16"/>
                <w:lang w:val="es-ES_tradnl"/>
              </w:rPr>
              <w:t>005</w:t>
            </w:r>
          </w:p>
        </w:tc>
        <w:tc>
          <w:tcPr>
            <w:tcW w:w="1916"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84%</w:t>
            </w:r>
          </w:p>
        </w:tc>
      </w:tr>
      <w:tr w:rsidR="009124B0" w:rsidRPr="00A34388" w:rsidTr="00730F8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 xml:space="preserve"> TOTAL: </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948</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838</w:t>
            </w:r>
          </w:p>
        </w:tc>
        <w:tc>
          <w:tcPr>
            <w:tcW w:w="1596"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18</w:t>
            </w:r>
            <w:r w:rsidR="00D02C7F">
              <w:rPr>
                <w:b/>
                <w:sz w:val="16"/>
                <w:lang w:val="es-ES_tradnl"/>
              </w:rPr>
              <w:t>.</w:t>
            </w:r>
            <w:r w:rsidRPr="00332758">
              <w:rPr>
                <w:b/>
                <w:sz w:val="16"/>
                <w:lang w:val="es-ES_tradnl"/>
              </w:rPr>
              <w:t>257</w:t>
            </w:r>
          </w:p>
        </w:tc>
        <w:tc>
          <w:tcPr>
            <w:tcW w:w="1916"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b/>
                <w:sz w:val="16"/>
                <w:szCs w:val="16"/>
                <w:lang w:val="es-ES_tradnl"/>
              </w:rPr>
            </w:pPr>
            <w:r w:rsidRPr="00332758">
              <w:rPr>
                <w:b/>
                <w:sz w:val="16"/>
                <w:lang w:val="es-ES_tradnl"/>
              </w:rPr>
              <w:t>97%</w:t>
            </w:r>
          </w:p>
        </w:tc>
      </w:tr>
    </w:tbl>
    <w:p w:rsidR="009124B0" w:rsidRPr="00A34388" w:rsidRDefault="009124B0" w:rsidP="009124B0">
      <w:pPr>
        <w:rPr>
          <w:rFonts w:cs="Arial"/>
          <w:lang w:val="es-ES_tradnl"/>
        </w:rPr>
      </w:pPr>
    </w:p>
    <w:p w:rsidR="009124B0" w:rsidRPr="00A34388" w:rsidRDefault="009124B0" w:rsidP="009124B0">
      <w:pPr>
        <w:keepNext/>
        <w:keepLines/>
        <w:autoSpaceDE w:val="0"/>
        <w:autoSpaceDN w:val="0"/>
        <w:adjustRightInd w:val="0"/>
        <w:rPr>
          <w:rFonts w:cs="Arial"/>
          <w:sz w:val="16"/>
          <w:szCs w:val="16"/>
          <w:lang w:val="es-ES_tradnl"/>
        </w:rPr>
      </w:pPr>
      <w:r w:rsidRPr="00332758">
        <w:rPr>
          <w:sz w:val="16"/>
          <w:lang w:val="es-ES_tradnl"/>
        </w:rPr>
        <w:t>NOTAS:</w:t>
      </w:r>
    </w:p>
    <w:p w:rsidR="009124B0" w:rsidRPr="00A34388" w:rsidRDefault="009124B0" w:rsidP="009124B0">
      <w:pPr>
        <w:keepNext/>
        <w:keepLines/>
        <w:autoSpaceDE w:val="0"/>
        <w:autoSpaceDN w:val="0"/>
        <w:adjustRightInd w:val="0"/>
        <w:rPr>
          <w:rFonts w:cs="Arial"/>
          <w:sz w:val="16"/>
          <w:szCs w:val="16"/>
          <w:lang w:val="es-ES_tradnl"/>
        </w:rPr>
      </w:pPr>
    </w:p>
    <w:p w:rsidR="009124B0" w:rsidRPr="00A34388" w:rsidRDefault="009124B0" w:rsidP="009124B0">
      <w:pPr>
        <w:keepNext/>
        <w:keepLines/>
        <w:autoSpaceDE w:val="0"/>
        <w:autoSpaceDN w:val="0"/>
        <w:adjustRightInd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9124B0" w:rsidRPr="00A34388" w:rsidRDefault="009124B0" w:rsidP="009124B0">
      <w:pPr>
        <w:keepNext/>
        <w:keepLines/>
        <w:autoSpaceDE w:val="0"/>
        <w:autoSpaceDN w:val="0"/>
        <w:adjustRightInd w:val="0"/>
        <w:rPr>
          <w:rFonts w:cs="Arial"/>
          <w:sz w:val="16"/>
          <w:szCs w:val="16"/>
          <w:lang w:val="es-ES_tradnl"/>
        </w:rPr>
      </w:pPr>
    </w:p>
    <w:p w:rsidR="009124B0" w:rsidRPr="00A34388" w:rsidRDefault="009124B0" w:rsidP="004C0FD5">
      <w:pPr>
        <w:keepNext/>
        <w:keepLines/>
        <w:autoSpaceDE w:val="0"/>
        <w:autoSpaceDN w:val="0"/>
        <w:adjustRightInd w:val="0"/>
        <w:jc w:val="both"/>
        <w:rPr>
          <w:rFonts w:cs="Arial"/>
          <w:sz w:val="16"/>
          <w:szCs w:val="16"/>
          <w:lang w:val="es-ES_tradnl"/>
        </w:rPr>
      </w:pPr>
      <w:r w:rsidRPr="00A34388">
        <w:rPr>
          <w:sz w:val="16"/>
          <w:lang w:val="es-ES_tradnl"/>
        </w:rPr>
        <w:t xml:space="preserve">2)  La asignación para el personal del presupuesto de 2012/13 después de las transferencias representa los gastos reales efectuados en el bienio.  </w:t>
      </w:r>
    </w:p>
    <w:p w:rsidR="009124B0" w:rsidRPr="00A34388" w:rsidRDefault="009124B0" w:rsidP="009124B0">
      <w:pPr>
        <w:rPr>
          <w:rFonts w:cs="Arial"/>
          <w:lang w:val="es-ES_tradnl"/>
        </w:rPr>
      </w:pPr>
    </w:p>
    <w:p w:rsidR="009124B0" w:rsidRPr="00332758" w:rsidRDefault="009124B0" w:rsidP="009124B0">
      <w:pPr>
        <w:tabs>
          <w:tab w:val="left" w:pos="709"/>
        </w:tabs>
        <w:jc w:val="both"/>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9124B0" w:rsidRPr="00A34388" w:rsidRDefault="009124B0" w:rsidP="009124B0">
      <w:pPr>
        <w:jc w:val="both"/>
        <w:rPr>
          <w:rFonts w:cs="Arial"/>
          <w:szCs w:val="20"/>
          <w:u w:val="single"/>
          <w:lang w:val="es-ES_tradnl"/>
        </w:rPr>
      </w:pPr>
    </w:p>
    <w:p w:rsidR="009124B0" w:rsidRPr="00A34388" w:rsidRDefault="009124B0" w:rsidP="009124B0">
      <w:pPr>
        <w:tabs>
          <w:tab w:val="left" w:pos="709"/>
        </w:tabs>
        <w:jc w:val="both"/>
        <w:rPr>
          <w:rFonts w:cs="Arial"/>
          <w:color w:val="000000"/>
          <w:sz w:val="18"/>
          <w:szCs w:val="18"/>
          <w:lang w:val="es-ES_tradnl"/>
        </w:rPr>
      </w:pPr>
      <w:r w:rsidRPr="00A34388">
        <w:rPr>
          <w:lang w:val="es-ES_tradnl"/>
        </w:rPr>
        <w:t>21.11.</w:t>
      </w:r>
      <w:r w:rsidRPr="00A34388">
        <w:rPr>
          <w:lang w:val="es-ES_tradnl"/>
        </w:rPr>
        <w:tab/>
        <w:t xml:space="preserve">El presupuesto 2012/13 después de las transferencias refleja un incremento neto de los recursos no relativos al personal de 1 millón de francos suizos, asignado a la aplicación del </w:t>
      </w:r>
      <w:r w:rsidR="009B1238">
        <w:rPr>
          <w:lang w:val="es-ES_tradnl"/>
        </w:rPr>
        <w:t>Programa de Alineación Estratégica</w:t>
      </w:r>
      <w:r w:rsidRPr="00A34388">
        <w:rPr>
          <w:lang w:val="es-ES_tradnl"/>
        </w:rPr>
        <w:t xml:space="preserve"> </w:t>
      </w:r>
      <w:r w:rsidR="007958FB" w:rsidRPr="00A34388">
        <w:rPr>
          <w:lang w:val="es-ES_tradnl"/>
        </w:rPr>
        <w:t xml:space="preserve">en el marco del </w:t>
      </w:r>
      <w:r w:rsidRPr="00A34388">
        <w:rPr>
          <w:lang w:val="es-ES_tradnl"/>
        </w:rPr>
        <w:t xml:space="preserve">resultado IX.7 (Mayor coordinación y coherencia en el seno de la Secretaría).  Esto obedeció, </w:t>
      </w:r>
      <w:r w:rsidR="004E328E" w:rsidRPr="00A34388">
        <w:rPr>
          <w:lang w:val="es-ES_tradnl"/>
        </w:rPr>
        <w:t xml:space="preserve">de </w:t>
      </w:r>
      <w:r w:rsidRPr="00A34388">
        <w:rPr>
          <w:lang w:val="es-ES_tradnl"/>
        </w:rPr>
        <w:t xml:space="preserve">una parte, al aplazamiento de ciertas actividades del bienio 2010/11 al 2012/13 y, </w:t>
      </w:r>
      <w:r w:rsidR="004E328E" w:rsidRPr="00A34388">
        <w:rPr>
          <w:lang w:val="es-ES_tradnl"/>
        </w:rPr>
        <w:t xml:space="preserve">de </w:t>
      </w:r>
      <w:r w:rsidRPr="00A34388">
        <w:rPr>
          <w:lang w:val="es-ES_tradnl"/>
        </w:rPr>
        <w:t xml:space="preserve">otra, a </w:t>
      </w:r>
      <w:r w:rsidR="004E328E" w:rsidRPr="00A34388">
        <w:rPr>
          <w:lang w:val="es-ES_tradnl"/>
        </w:rPr>
        <w:t xml:space="preserve">un </w:t>
      </w:r>
      <w:r w:rsidRPr="00A34388">
        <w:rPr>
          <w:lang w:val="es-ES_tradnl"/>
        </w:rPr>
        <w:t xml:space="preserve">incremento </w:t>
      </w:r>
      <w:r w:rsidR="004E328E" w:rsidRPr="00A34388">
        <w:rPr>
          <w:lang w:val="es-ES_tradnl"/>
        </w:rPr>
        <w:t>d</w:t>
      </w:r>
      <w:r w:rsidRPr="00A34388">
        <w:rPr>
          <w:lang w:val="es-ES_tradnl"/>
        </w:rPr>
        <w:t xml:space="preserve">el alcance de determinadas actividades, principalmente el fortalecimiento de los controles internos y del diseño orgánico.  El presupuesto 2012/13 después de las transferencias también </w:t>
      </w:r>
      <w:r w:rsidR="004E328E" w:rsidRPr="00A34388">
        <w:rPr>
          <w:lang w:val="es-ES_tradnl"/>
        </w:rPr>
        <w:t xml:space="preserve">refleja </w:t>
      </w:r>
      <w:r w:rsidRPr="00A34388">
        <w:rPr>
          <w:lang w:val="es-ES_tradnl"/>
        </w:rPr>
        <w:t xml:space="preserve">una reducción de los recursos de personal </w:t>
      </w:r>
      <w:r w:rsidR="007958FB" w:rsidRPr="00A34388">
        <w:rPr>
          <w:lang w:val="es-ES_tradnl"/>
        </w:rPr>
        <w:t xml:space="preserve">de </w:t>
      </w:r>
      <w:r w:rsidRPr="00A34388">
        <w:rPr>
          <w:lang w:val="es-ES_tradnl"/>
        </w:rPr>
        <w:t xml:space="preserve">alrededor de 1,2 millones de francos suizos, principalmente </w:t>
      </w:r>
      <w:r w:rsidR="004E328E" w:rsidRPr="00A34388">
        <w:rPr>
          <w:lang w:val="es-ES_tradnl"/>
        </w:rPr>
        <w:t xml:space="preserve">imputable a </w:t>
      </w:r>
      <w:r w:rsidR="007958FB" w:rsidRPr="00A34388">
        <w:rPr>
          <w:lang w:val="es-ES_tradnl"/>
        </w:rPr>
        <w:t xml:space="preserve">la existencia de </w:t>
      </w:r>
      <w:r w:rsidRPr="00A34388">
        <w:rPr>
          <w:lang w:val="es-ES_tradnl"/>
        </w:rPr>
        <w:t>una serie de puestos vacantes en la Oficina del Director General.</w:t>
      </w:r>
    </w:p>
    <w:p w:rsidR="009124B0" w:rsidRPr="00A34388" w:rsidRDefault="009124B0" w:rsidP="009124B0">
      <w:pPr>
        <w:jc w:val="both"/>
        <w:rPr>
          <w:rFonts w:cs="Arial"/>
          <w:szCs w:val="20"/>
          <w:lang w:val="es-ES_tradnl"/>
        </w:rPr>
      </w:pPr>
    </w:p>
    <w:p w:rsidR="00011C5F" w:rsidRDefault="00011C5F">
      <w:pPr>
        <w:rPr>
          <w:lang w:val="es-ES_tradnl"/>
        </w:rPr>
      </w:pPr>
      <w:r>
        <w:rPr>
          <w:lang w:val="es-ES_tradnl"/>
        </w:rPr>
        <w:br w:type="page"/>
      </w:r>
    </w:p>
    <w:p w:rsidR="004C0FD5" w:rsidRPr="00A34388" w:rsidRDefault="004C0FD5">
      <w:pPr>
        <w:rPr>
          <w:lang w:val="es-ES_tradnl"/>
        </w:rPr>
      </w:pPr>
    </w:p>
    <w:p w:rsidR="009124B0" w:rsidRPr="00A34388" w:rsidRDefault="009124B0" w:rsidP="009124B0">
      <w:pPr>
        <w:tabs>
          <w:tab w:val="left" w:pos="709"/>
        </w:tabs>
        <w:jc w:val="both"/>
        <w:rPr>
          <w:rFonts w:cs="Arial"/>
          <w:szCs w:val="20"/>
          <w:u w:val="single"/>
          <w:lang w:val="es-ES_tradnl"/>
        </w:rPr>
      </w:pPr>
      <w:r w:rsidRPr="00A34388">
        <w:rPr>
          <w:lang w:val="es-ES_tradnl"/>
        </w:rPr>
        <w:t>B.</w:t>
      </w:r>
      <w:r w:rsidR="007C4A03" w:rsidRPr="00A34388">
        <w:rPr>
          <w:lang w:val="es-ES_tradnl"/>
        </w:rPr>
        <w:t xml:space="preserve"> </w:t>
      </w:r>
      <w:r w:rsidR="007C4A03" w:rsidRPr="00A34388">
        <w:rPr>
          <w:lang w:val="es-ES_tradnl"/>
        </w:rPr>
        <w:tab/>
      </w:r>
      <w:r w:rsidRPr="00A34388">
        <w:rPr>
          <w:u w:val="single"/>
          <w:lang w:val="es-ES_tradnl"/>
        </w:rPr>
        <w:t>Utilización del presupuesto</w:t>
      </w:r>
      <w:r w:rsidR="004E328E" w:rsidRPr="00A34388">
        <w:rPr>
          <w:u w:val="single"/>
          <w:lang w:val="es-ES_tradnl"/>
        </w:rPr>
        <w:t xml:space="preserve"> en 2012</w:t>
      </w:r>
      <w:r w:rsidRPr="00A34388">
        <w:rPr>
          <w:u w:val="single"/>
          <w:lang w:val="es-ES_tradnl"/>
        </w:rPr>
        <w:t>/13</w:t>
      </w:r>
    </w:p>
    <w:p w:rsidR="009124B0" w:rsidRPr="00A34388" w:rsidRDefault="009124B0" w:rsidP="009124B0">
      <w:pPr>
        <w:jc w:val="both"/>
        <w:rPr>
          <w:rFonts w:cs="Arial"/>
          <w:szCs w:val="20"/>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t>21.12.</w:t>
      </w:r>
      <w:r w:rsidRPr="00A34388">
        <w:rPr>
          <w:lang w:val="es-ES_tradnl"/>
        </w:rPr>
        <w:tab/>
        <w:t xml:space="preserve">La utilización del presupuesto fue del 84%, debido primordialmente a los ahorros </w:t>
      </w:r>
      <w:r w:rsidR="007958FB" w:rsidRPr="00A34388">
        <w:rPr>
          <w:lang w:val="es-ES_tradnl"/>
        </w:rPr>
        <w:t xml:space="preserve">logrados </w:t>
      </w:r>
      <w:r w:rsidRPr="00A34388">
        <w:rPr>
          <w:lang w:val="es-ES_tradnl"/>
        </w:rPr>
        <w:t xml:space="preserve">mediante los programas de alineación estratégica </w:t>
      </w:r>
      <w:r w:rsidR="007958FB" w:rsidRPr="00A34388">
        <w:rPr>
          <w:lang w:val="es-ES_tradnl"/>
        </w:rPr>
        <w:t xml:space="preserve">en el marco del </w:t>
      </w:r>
      <w:r w:rsidRPr="00A34388">
        <w:rPr>
          <w:lang w:val="es-ES_tradnl"/>
        </w:rPr>
        <w:t xml:space="preserve">resultado IX.7 (Mayor coordinación y coherencia en el seno de la Secretaría). </w:t>
      </w:r>
    </w:p>
    <w:p w:rsidR="009124B0" w:rsidRPr="00A34388" w:rsidRDefault="009124B0" w:rsidP="009124B0">
      <w:pPr>
        <w:rPr>
          <w:rFonts w:eastAsia="SimSun"/>
          <w:color w:val="000000"/>
          <w:szCs w:val="20"/>
          <w:lang w:val="es-ES_tradnl"/>
        </w:rPr>
      </w:pPr>
      <w:r w:rsidRPr="00A34388">
        <w:rPr>
          <w:lang w:val="es-ES_tradnl"/>
        </w:rPr>
        <w:br w:type="page"/>
      </w:r>
    </w:p>
    <w:p w:rsidR="00F90BD6" w:rsidRPr="003934C8" w:rsidRDefault="00F90BD6" w:rsidP="00F90BD6">
      <w:pPr>
        <w:pStyle w:val="Heading3"/>
        <w:rPr>
          <w:rFonts w:hint="eastAsia"/>
          <w:lang w:val="es-ES"/>
        </w:rPr>
      </w:pPr>
      <w:bookmarkStart w:id="88" w:name="_Toc395279683"/>
      <w:r w:rsidRPr="003934C8">
        <w:rPr>
          <w:lang w:val="es-ES"/>
        </w:rPr>
        <w:lastRenderedPageBreak/>
        <w:t>Programa 22</w:t>
      </w:r>
      <w:r w:rsidRPr="003934C8">
        <w:rPr>
          <w:lang w:val="es-ES"/>
        </w:rPr>
        <w:tab/>
        <w:t>Gestión de programas y recursos</w:t>
      </w:r>
      <w:bookmarkEnd w:id="88"/>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89" w:name="_Toc394914530"/>
      <w:r w:rsidRPr="00D42A38">
        <w:rPr>
          <w:b/>
          <w:sz w:val="22"/>
          <w:szCs w:val="22"/>
          <w:lang w:val="es-ES_tradnl"/>
        </w:rPr>
        <w:t>Director del Programa</w:t>
      </w:r>
      <w:r w:rsidRPr="00D42A38">
        <w:rPr>
          <w:b/>
          <w:sz w:val="22"/>
          <w:szCs w:val="22"/>
          <w:lang w:val="es-ES_tradnl"/>
        </w:rPr>
        <w:tab/>
        <w:t>Mr. A. Sundaram</w:t>
      </w:r>
      <w:bookmarkEnd w:id="89"/>
    </w:p>
    <w:p w:rsidR="009124B0" w:rsidRPr="00A34388" w:rsidRDefault="009124B0" w:rsidP="009124B0">
      <w:pPr>
        <w:rPr>
          <w:rFonts w:cs="Arial"/>
          <w:szCs w:val="20"/>
          <w:lang w:val="es-ES_tradnl"/>
        </w:rPr>
      </w:pPr>
    </w:p>
    <w:p w:rsidR="009124B0" w:rsidRPr="00A34388" w:rsidRDefault="009124B0" w:rsidP="009124B0">
      <w:pPr>
        <w:rPr>
          <w:rFonts w:cs="Arial"/>
          <w:bCs/>
          <w:szCs w:val="20"/>
          <w:lang w:val="es-ES_tradnl"/>
        </w:rPr>
      </w:pPr>
    </w:p>
    <w:p w:rsidR="009124B0" w:rsidRPr="00A34388" w:rsidRDefault="009124B0" w:rsidP="009124B0">
      <w:pPr>
        <w:rPr>
          <w:rFonts w:cs="Arial"/>
          <w:sz w:val="22"/>
          <w:szCs w:val="22"/>
          <w:lang w:val="es-ES_tradnl"/>
        </w:rPr>
      </w:pPr>
      <w:r w:rsidRPr="00A34388">
        <w:rPr>
          <w:sz w:val="22"/>
          <w:lang w:val="es-ES_tradnl"/>
        </w:rPr>
        <w:t>AVANCES LOGRADOS EN EL BIENIO 2012/13</w:t>
      </w:r>
    </w:p>
    <w:p w:rsidR="009124B0" w:rsidRPr="00A34388" w:rsidRDefault="009124B0" w:rsidP="009124B0">
      <w:pPr>
        <w:rPr>
          <w:rFonts w:cs="Arial"/>
          <w:sz w:val="16"/>
          <w:szCs w:val="16"/>
          <w:lang w:val="es-ES_tradnl"/>
        </w:rPr>
      </w:pPr>
    </w:p>
    <w:p w:rsidR="009124B0" w:rsidRPr="00A34388" w:rsidRDefault="009124B0" w:rsidP="009124B0">
      <w:pPr>
        <w:tabs>
          <w:tab w:val="left" w:pos="709"/>
        </w:tabs>
        <w:autoSpaceDE w:val="0"/>
        <w:autoSpaceDN w:val="0"/>
        <w:adjustRightInd w:val="0"/>
        <w:jc w:val="both"/>
        <w:rPr>
          <w:rFonts w:cs="Arial"/>
          <w:szCs w:val="20"/>
          <w:lang w:val="es-ES_tradnl"/>
        </w:rPr>
      </w:pPr>
      <w:r w:rsidRPr="00332758">
        <w:rPr>
          <w:lang w:val="es-ES_tradnl"/>
        </w:rPr>
        <w:t>22.1.</w:t>
      </w:r>
      <w:r w:rsidRPr="00A34388">
        <w:rPr>
          <w:lang w:val="es-ES_tradnl"/>
        </w:rPr>
        <w:tab/>
      </w:r>
      <w:r w:rsidRPr="00332758">
        <w:rPr>
          <w:lang w:val="es-ES_tradnl"/>
        </w:rPr>
        <w:t>La plataforma de planificación perfeccionada instituida en el presupuesto por programas de 2012/13 sirvió de base a las sucesivas mejoras de la gestión de los programas y de la gestión financiera que se introdujeron en el bienio.</w:t>
      </w:r>
      <w:r w:rsidRPr="00A34388">
        <w:rPr>
          <w:lang w:val="es-ES_tradnl"/>
        </w:rPr>
        <w:t xml:space="preserve"> </w:t>
      </w:r>
    </w:p>
    <w:p w:rsidR="009124B0" w:rsidRPr="00A34388" w:rsidRDefault="009124B0" w:rsidP="009124B0">
      <w:pPr>
        <w:tabs>
          <w:tab w:val="left" w:pos="709"/>
        </w:tabs>
        <w:autoSpaceDE w:val="0"/>
        <w:autoSpaceDN w:val="0"/>
        <w:adjustRightInd w:val="0"/>
        <w:jc w:val="both"/>
        <w:rPr>
          <w:rFonts w:cs="Arial"/>
          <w:sz w:val="16"/>
          <w:szCs w:val="16"/>
          <w:lang w:val="es-ES_tradnl"/>
        </w:rPr>
      </w:pPr>
    </w:p>
    <w:p w:rsidR="009124B0" w:rsidRPr="00A34388" w:rsidRDefault="009124B0" w:rsidP="009124B0">
      <w:pPr>
        <w:tabs>
          <w:tab w:val="left" w:pos="709"/>
        </w:tabs>
        <w:autoSpaceDE w:val="0"/>
        <w:autoSpaceDN w:val="0"/>
        <w:adjustRightInd w:val="0"/>
        <w:jc w:val="both"/>
        <w:rPr>
          <w:rFonts w:cs="Arial"/>
          <w:szCs w:val="20"/>
          <w:lang w:val="es-ES_tradnl"/>
        </w:rPr>
      </w:pPr>
      <w:r w:rsidRPr="00A34388">
        <w:rPr>
          <w:lang w:val="es-ES_tradnl"/>
        </w:rPr>
        <w:t>22.2.</w:t>
      </w:r>
      <w:r w:rsidRPr="00A34388">
        <w:rPr>
          <w:lang w:val="es-ES_tradnl"/>
        </w:rPr>
        <w:tab/>
        <w:t xml:space="preserve">Los ejercicios de planificación anual de 2012 y 2013 fueron objeto de ulteriores perfeccionamientos contando con el apoyo de una herramienta de primera y segunda generación para la planificación del trabajo, proporcionada por el proyecto de planificación de los recursos institucionales (PRI) y gestión del rendimiento institucional, que ajusta rigurosamente los recursos a los resultados previstos a través de las actividades del plan de trabajo.  Ello permitió por vez primera a la Secretaría llevar a cabo </w:t>
      </w:r>
      <w:r w:rsidR="009B1238">
        <w:rPr>
          <w:lang w:val="es-ES_tradnl"/>
        </w:rPr>
        <w:t xml:space="preserve">en toda la Organización </w:t>
      </w:r>
      <w:r w:rsidRPr="00A34388">
        <w:rPr>
          <w:lang w:val="es-ES_tradnl"/>
        </w:rPr>
        <w:t xml:space="preserve">análisis de las actividades del plan de trabajo en varias dimensiones (por ejemplo resultados y países), contribuyendo a una mejor coordinación entre las entidades ejecutoras y a una mayor coherencia en la prestación de los servicios de la OMPI.  </w:t>
      </w:r>
      <w:r w:rsidRPr="00332758">
        <w:rPr>
          <w:lang w:val="es-ES_tradnl"/>
        </w:rPr>
        <w:t>Este sistema permitió asimismo a</w:t>
      </w:r>
      <w:r w:rsidR="00054EC8" w:rsidRPr="00332758">
        <w:rPr>
          <w:lang w:val="es-ES_tradnl"/>
        </w:rPr>
        <w:t xml:space="preserve"> </w:t>
      </w:r>
      <w:r w:rsidRPr="00332758">
        <w:rPr>
          <w:lang w:val="es-ES_tradnl"/>
        </w:rPr>
        <w:t>l</w:t>
      </w:r>
      <w:r w:rsidR="00054EC8" w:rsidRPr="00332758">
        <w:rPr>
          <w:lang w:val="es-ES_tradnl"/>
        </w:rPr>
        <w:t>os directivos</w:t>
      </w:r>
      <w:r w:rsidRPr="00332758">
        <w:rPr>
          <w:lang w:val="es-ES_tradnl"/>
        </w:rPr>
        <w:t xml:space="preserve"> contrastar por vez primera los gastos reales con su plan de trabajo durante la ejecución.</w:t>
      </w:r>
      <w:r w:rsidRPr="00A34388">
        <w:rPr>
          <w:lang w:val="es-ES_tradnl"/>
        </w:rPr>
        <w:t xml:space="preserve">  </w:t>
      </w:r>
    </w:p>
    <w:p w:rsidR="009124B0" w:rsidRPr="00A34388" w:rsidRDefault="009124B0" w:rsidP="009124B0">
      <w:pPr>
        <w:tabs>
          <w:tab w:val="left" w:pos="709"/>
        </w:tabs>
        <w:autoSpaceDE w:val="0"/>
        <w:autoSpaceDN w:val="0"/>
        <w:adjustRightInd w:val="0"/>
        <w:jc w:val="both"/>
        <w:rPr>
          <w:rFonts w:cs="Arial"/>
          <w:sz w:val="16"/>
          <w:szCs w:val="16"/>
          <w:lang w:val="es-ES_tradnl"/>
        </w:rPr>
      </w:pPr>
    </w:p>
    <w:p w:rsidR="009124B0" w:rsidRPr="00A34388" w:rsidRDefault="009124B0" w:rsidP="009124B0">
      <w:pPr>
        <w:tabs>
          <w:tab w:val="left" w:pos="709"/>
        </w:tabs>
        <w:autoSpaceDE w:val="0"/>
        <w:autoSpaceDN w:val="0"/>
        <w:adjustRightInd w:val="0"/>
        <w:jc w:val="both"/>
        <w:rPr>
          <w:rFonts w:cs="Arial"/>
          <w:szCs w:val="20"/>
          <w:lang w:val="es-ES_tradnl"/>
        </w:rPr>
      </w:pPr>
      <w:r w:rsidRPr="00A34388">
        <w:rPr>
          <w:lang w:val="es-ES_tradnl"/>
        </w:rPr>
        <w:t>22.3.</w:t>
      </w:r>
      <w:r w:rsidRPr="00A34388">
        <w:rPr>
          <w:lang w:val="es-ES_tradnl"/>
        </w:rPr>
        <w:tab/>
        <w:t>Asimismo, se completó la herramienta de gestión del rendimiento institucional para apoyar el proceso de planificación del bienio 2014/15, que fue puesta a disposición de</w:t>
      </w:r>
      <w:r w:rsidR="00054EC8">
        <w:rPr>
          <w:lang w:val="es-ES_tradnl"/>
        </w:rPr>
        <w:t xml:space="preserve"> </w:t>
      </w:r>
      <w:r w:rsidRPr="00A34388">
        <w:rPr>
          <w:lang w:val="es-ES_tradnl"/>
        </w:rPr>
        <w:t>l</w:t>
      </w:r>
      <w:r w:rsidR="00054EC8">
        <w:rPr>
          <w:lang w:val="es-ES_tradnl"/>
        </w:rPr>
        <w:t>os directivos</w:t>
      </w:r>
      <w:r w:rsidRPr="00A34388">
        <w:rPr>
          <w:lang w:val="es-ES_tradnl"/>
        </w:rPr>
        <w:t xml:space="preserve"> a comienzos de 2013.  La herramienta incrementó la eficiencia del proceso de planificación y mejoró de forma considerable la capacidad de analizar los documentos producidos por los directores de programa. </w:t>
      </w:r>
    </w:p>
    <w:p w:rsidR="009124B0" w:rsidRPr="00A34388" w:rsidRDefault="009124B0" w:rsidP="009124B0">
      <w:pPr>
        <w:tabs>
          <w:tab w:val="left" w:pos="709"/>
        </w:tabs>
        <w:autoSpaceDE w:val="0"/>
        <w:autoSpaceDN w:val="0"/>
        <w:adjustRightInd w:val="0"/>
        <w:rPr>
          <w:rFonts w:cs="Arial"/>
          <w:sz w:val="16"/>
          <w:szCs w:val="16"/>
          <w:lang w:val="es-ES_tradnl"/>
        </w:rPr>
      </w:pPr>
    </w:p>
    <w:p w:rsidR="009124B0" w:rsidRPr="00332758" w:rsidRDefault="009124B0" w:rsidP="009124B0">
      <w:pPr>
        <w:tabs>
          <w:tab w:val="left" w:pos="709"/>
        </w:tabs>
        <w:autoSpaceDE w:val="0"/>
        <w:autoSpaceDN w:val="0"/>
        <w:adjustRightInd w:val="0"/>
        <w:rPr>
          <w:rFonts w:cs="Arial"/>
          <w:szCs w:val="20"/>
          <w:lang w:val="es-ES_tradnl"/>
        </w:rPr>
      </w:pPr>
      <w:r w:rsidRPr="00332758">
        <w:rPr>
          <w:lang w:val="es-ES_tradnl"/>
        </w:rPr>
        <w:t>22.4.</w:t>
      </w:r>
      <w:r w:rsidRPr="00A34388">
        <w:rPr>
          <w:lang w:val="es-ES_tradnl"/>
        </w:rPr>
        <w:tab/>
      </w:r>
      <w:r w:rsidRPr="00332758">
        <w:rPr>
          <w:lang w:val="es-ES_tradnl"/>
        </w:rPr>
        <w:t xml:space="preserve">En el bienio se avanzó también considerablemente con respecto a algunas de las prioridades centrales establecidas para 2012/13, como son las siguientes: </w:t>
      </w:r>
    </w:p>
    <w:p w:rsidR="009124B0" w:rsidRPr="00A34388" w:rsidRDefault="009124B0" w:rsidP="009124B0">
      <w:pPr>
        <w:autoSpaceDE w:val="0"/>
        <w:autoSpaceDN w:val="0"/>
        <w:adjustRightInd w:val="0"/>
        <w:rPr>
          <w:rFonts w:cs="Arial"/>
          <w:sz w:val="8"/>
          <w:szCs w:val="8"/>
          <w:lang w:val="es-ES_tradnl"/>
        </w:rPr>
      </w:pPr>
    </w:p>
    <w:p w:rsidR="009124B0" w:rsidRPr="00A34388" w:rsidRDefault="009124B0" w:rsidP="0053316D">
      <w:pPr>
        <w:numPr>
          <w:ilvl w:val="0"/>
          <w:numId w:val="67"/>
        </w:numPr>
        <w:tabs>
          <w:tab w:val="clear" w:pos="1080"/>
          <w:tab w:val="num" w:pos="1276"/>
        </w:tabs>
        <w:autoSpaceDE w:val="0"/>
        <w:autoSpaceDN w:val="0"/>
        <w:adjustRightInd w:val="0"/>
        <w:ind w:left="1276" w:hanging="567"/>
        <w:rPr>
          <w:rFonts w:cs="Arial"/>
          <w:szCs w:val="20"/>
          <w:lang w:val="es-ES_tradnl"/>
        </w:rPr>
      </w:pPr>
      <w:r w:rsidRPr="00332758">
        <w:rPr>
          <w:lang w:val="es-ES_tradnl"/>
        </w:rPr>
        <w:t>la revisión de los procesos relativos a la gestión y previsión de los ingresos de la OMPI, como preparación a la elaboración del presupuesto por programas 2014/15;</w:t>
      </w:r>
      <w:r w:rsidRPr="00A34388">
        <w:rPr>
          <w:lang w:val="es-ES_tradnl"/>
        </w:rPr>
        <w:t xml:space="preserve"> </w:t>
      </w:r>
    </w:p>
    <w:p w:rsidR="009124B0" w:rsidRPr="00A34388" w:rsidRDefault="009124B0" w:rsidP="009124B0">
      <w:pPr>
        <w:tabs>
          <w:tab w:val="num" w:pos="1276"/>
        </w:tabs>
        <w:autoSpaceDE w:val="0"/>
        <w:autoSpaceDN w:val="0"/>
        <w:adjustRightInd w:val="0"/>
        <w:ind w:left="1276" w:hanging="567"/>
        <w:rPr>
          <w:rFonts w:cs="Arial"/>
          <w:sz w:val="8"/>
          <w:szCs w:val="8"/>
          <w:lang w:val="es-ES_tradnl"/>
        </w:rPr>
      </w:pPr>
    </w:p>
    <w:p w:rsidR="009124B0" w:rsidRPr="00A34388" w:rsidRDefault="009124B0" w:rsidP="004C0FD5">
      <w:pPr>
        <w:numPr>
          <w:ilvl w:val="0"/>
          <w:numId w:val="67"/>
        </w:numPr>
        <w:tabs>
          <w:tab w:val="clear" w:pos="1080"/>
          <w:tab w:val="num" w:pos="1276"/>
        </w:tabs>
        <w:autoSpaceDE w:val="0"/>
        <w:autoSpaceDN w:val="0"/>
        <w:adjustRightInd w:val="0"/>
        <w:ind w:left="1276" w:hanging="567"/>
        <w:jc w:val="both"/>
        <w:rPr>
          <w:rFonts w:cs="Arial"/>
          <w:szCs w:val="20"/>
          <w:lang w:val="es-ES_tradnl"/>
        </w:rPr>
      </w:pPr>
      <w:r w:rsidRPr="00A34388">
        <w:rPr>
          <w:lang w:val="es-ES_tradnl"/>
        </w:rPr>
        <w:t xml:space="preserve">la institucionalización de una cultura de gasto responsable, siendo revisadas algunas órdenes de servicio y publicadas otras nuevas para reflejar las medidas </w:t>
      </w:r>
      <w:r w:rsidR="00987449" w:rsidRPr="00A34388">
        <w:rPr>
          <w:lang w:val="es-ES_tradnl"/>
        </w:rPr>
        <w:t xml:space="preserve">destinadas a fomentar </w:t>
      </w:r>
      <w:r w:rsidRPr="00A34388">
        <w:rPr>
          <w:lang w:val="es-ES_tradnl"/>
        </w:rPr>
        <w:t xml:space="preserve">la </w:t>
      </w:r>
      <w:r w:rsidR="007958FB" w:rsidRPr="00A34388">
        <w:rPr>
          <w:lang w:val="es-ES_tradnl"/>
        </w:rPr>
        <w:t xml:space="preserve">eficacia en función de los </w:t>
      </w:r>
      <w:r w:rsidRPr="00A34388">
        <w:rPr>
          <w:lang w:val="es-ES_tradnl"/>
        </w:rPr>
        <w:t xml:space="preserve">costos, incluidas </w:t>
      </w:r>
      <w:r w:rsidR="007958FB" w:rsidRPr="00A34388">
        <w:rPr>
          <w:lang w:val="es-ES_tradnl"/>
        </w:rPr>
        <w:t xml:space="preserve">las relativas a </w:t>
      </w:r>
      <w:r w:rsidRPr="00A34388">
        <w:rPr>
          <w:lang w:val="es-ES_tradnl"/>
        </w:rPr>
        <w:t xml:space="preserve">pasantes, atenciones sociales, honorarios y tasas estimadas de los oradores y los titulares de </w:t>
      </w:r>
      <w:r w:rsidR="009B1238">
        <w:rPr>
          <w:lang w:val="es-ES_tradnl"/>
        </w:rPr>
        <w:t>acuerdos</w:t>
      </w:r>
      <w:r w:rsidRPr="00A34388">
        <w:rPr>
          <w:lang w:val="es-ES_tradnl"/>
        </w:rPr>
        <w:t xml:space="preserve"> de servicios especiales, gastos de viaje, etcétera;  La aplicación de estas medidas generó ahorros significativos y no tuvo efecto adverso alguno sobre la ejecución, los resultados </w:t>
      </w:r>
      <w:r w:rsidR="00987449" w:rsidRPr="00A34388">
        <w:rPr>
          <w:lang w:val="es-ES_tradnl"/>
        </w:rPr>
        <w:t xml:space="preserve">o </w:t>
      </w:r>
      <w:r w:rsidRPr="00A34388">
        <w:rPr>
          <w:lang w:val="es-ES_tradnl"/>
        </w:rPr>
        <w:t xml:space="preserve">los objetivos del programa;  </w:t>
      </w:r>
    </w:p>
    <w:p w:rsidR="009124B0" w:rsidRPr="00A34388" w:rsidRDefault="009124B0" w:rsidP="009124B0">
      <w:pPr>
        <w:tabs>
          <w:tab w:val="num" w:pos="1276"/>
        </w:tabs>
        <w:autoSpaceDE w:val="0"/>
        <w:autoSpaceDN w:val="0"/>
        <w:adjustRightInd w:val="0"/>
        <w:ind w:left="1276" w:hanging="567"/>
        <w:rPr>
          <w:rFonts w:cs="Arial"/>
          <w:sz w:val="8"/>
          <w:szCs w:val="8"/>
          <w:lang w:val="es-ES_tradnl"/>
        </w:rPr>
      </w:pPr>
    </w:p>
    <w:p w:rsidR="009124B0" w:rsidRPr="00A34388" w:rsidRDefault="009124B0" w:rsidP="0053316D">
      <w:pPr>
        <w:numPr>
          <w:ilvl w:val="0"/>
          <w:numId w:val="67"/>
        </w:numPr>
        <w:tabs>
          <w:tab w:val="clear" w:pos="1080"/>
          <w:tab w:val="num" w:pos="1276"/>
        </w:tabs>
        <w:autoSpaceDE w:val="0"/>
        <w:autoSpaceDN w:val="0"/>
        <w:adjustRightInd w:val="0"/>
        <w:ind w:left="1276" w:hanging="567"/>
        <w:rPr>
          <w:rFonts w:cs="Arial"/>
          <w:szCs w:val="20"/>
          <w:lang w:val="es-ES_tradnl"/>
        </w:rPr>
      </w:pPr>
      <w:r w:rsidRPr="00332758">
        <w:rPr>
          <w:lang w:val="es-ES_tradnl"/>
        </w:rPr>
        <w:t>la mejora de la capacidad de la Organización para realizar un seguimiento de los gastos destinados a fomentar el desarrollo;</w:t>
      </w:r>
      <w:r w:rsidRPr="00A34388">
        <w:rPr>
          <w:lang w:val="es-ES_tradnl"/>
        </w:rPr>
        <w:t xml:space="preserve"> </w:t>
      </w:r>
    </w:p>
    <w:p w:rsidR="009124B0" w:rsidRPr="00A34388" w:rsidRDefault="009124B0" w:rsidP="009124B0">
      <w:pPr>
        <w:tabs>
          <w:tab w:val="num" w:pos="1276"/>
        </w:tabs>
        <w:autoSpaceDE w:val="0"/>
        <w:autoSpaceDN w:val="0"/>
        <w:adjustRightInd w:val="0"/>
        <w:ind w:left="1276" w:hanging="567"/>
        <w:rPr>
          <w:rFonts w:cs="Arial"/>
          <w:sz w:val="8"/>
          <w:szCs w:val="8"/>
          <w:lang w:val="es-ES_tradnl"/>
        </w:rPr>
      </w:pPr>
    </w:p>
    <w:p w:rsidR="009124B0" w:rsidRPr="00332758" w:rsidRDefault="009124B0" w:rsidP="0053316D">
      <w:pPr>
        <w:numPr>
          <w:ilvl w:val="0"/>
          <w:numId w:val="67"/>
        </w:numPr>
        <w:tabs>
          <w:tab w:val="clear" w:pos="1080"/>
          <w:tab w:val="num" w:pos="1276"/>
        </w:tabs>
        <w:autoSpaceDE w:val="0"/>
        <w:autoSpaceDN w:val="0"/>
        <w:adjustRightInd w:val="0"/>
        <w:ind w:left="1276" w:hanging="567"/>
        <w:rPr>
          <w:rFonts w:cs="Arial"/>
          <w:szCs w:val="20"/>
          <w:lang w:val="es-ES_tradnl"/>
        </w:rPr>
      </w:pPr>
      <w:r w:rsidRPr="00332758">
        <w:rPr>
          <w:lang w:val="es-ES_tradnl"/>
        </w:rPr>
        <w:t>la determinación de los ámbitos en que podían introducirse controles más severos para garantizar el respeto de la gestión programática y de la gestión de recursos por igual; y</w:t>
      </w:r>
    </w:p>
    <w:p w:rsidR="009124B0" w:rsidRPr="00A34388" w:rsidRDefault="009124B0" w:rsidP="009124B0">
      <w:pPr>
        <w:tabs>
          <w:tab w:val="num" w:pos="1276"/>
        </w:tabs>
        <w:autoSpaceDE w:val="0"/>
        <w:autoSpaceDN w:val="0"/>
        <w:adjustRightInd w:val="0"/>
        <w:ind w:left="1276" w:hanging="567"/>
        <w:rPr>
          <w:rFonts w:cs="Arial"/>
          <w:sz w:val="8"/>
          <w:szCs w:val="8"/>
          <w:lang w:val="es-ES_tradnl"/>
        </w:rPr>
      </w:pPr>
    </w:p>
    <w:p w:rsidR="004C0FD5" w:rsidRPr="00A34388" w:rsidRDefault="009124B0" w:rsidP="004C0FD5">
      <w:pPr>
        <w:numPr>
          <w:ilvl w:val="0"/>
          <w:numId w:val="67"/>
        </w:numPr>
        <w:tabs>
          <w:tab w:val="clear" w:pos="1080"/>
          <w:tab w:val="num" w:pos="1276"/>
        </w:tabs>
        <w:autoSpaceDE w:val="0"/>
        <w:autoSpaceDN w:val="0"/>
        <w:adjustRightInd w:val="0"/>
        <w:ind w:left="1276" w:hanging="567"/>
        <w:jc w:val="both"/>
        <w:rPr>
          <w:rFonts w:cs="Arial"/>
          <w:szCs w:val="20"/>
          <w:lang w:val="es-ES_tradnl"/>
        </w:rPr>
      </w:pPr>
      <w:r w:rsidRPr="00A34388">
        <w:rPr>
          <w:lang w:val="es-ES_tradnl"/>
        </w:rPr>
        <w:t xml:space="preserve">la implantación del módulo de recursos humanos y de nómina en el marco del PRI, que entró en servicio en enero de 2014. </w:t>
      </w:r>
    </w:p>
    <w:p w:rsidR="004C0FD5" w:rsidRPr="00A34388" w:rsidRDefault="004C0FD5" w:rsidP="004C0FD5">
      <w:pPr>
        <w:pStyle w:val="ListParagraph"/>
        <w:rPr>
          <w:lang w:val="es-ES_tradnl"/>
        </w:rPr>
      </w:pPr>
    </w:p>
    <w:p w:rsidR="009124B0" w:rsidRPr="00A34388" w:rsidRDefault="009124B0" w:rsidP="009124B0">
      <w:pPr>
        <w:tabs>
          <w:tab w:val="left" w:pos="709"/>
        </w:tabs>
        <w:autoSpaceDE w:val="0"/>
        <w:autoSpaceDN w:val="0"/>
        <w:adjustRightInd w:val="0"/>
        <w:jc w:val="both"/>
        <w:rPr>
          <w:rFonts w:cs="Arial"/>
          <w:bCs/>
          <w:szCs w:val="20"/>
          <w:lang w:val="es-ES_tradnl"/>
        </w:rPr>
      </w:pPr>
      <w:r w:rsidRPr="00332758">
        <w:rPr>
          <w:lang w:val="es-ES_tradnl"/>
        </w:rPr>
        <w:t>22.5.</w:t>
      </w:r>
      <w:r w:rsidRPr="00A34388">
        <w:rPr>
          <w:lang w:val="es-ES_tradnl"/>
        </w:rPr>
        <w:tab/>
      </w:r>
      <w:r w:rsidRPr="00332758">
        <w:rPr>
          <w:lang w:val="es-ES_tradnl"/>
        </w:rPr>
        <w:t xml:space="preserve">Tras la aprobación y publicación del nuevo Estatuto y Reglamento del Personal revisado, este programa contribuyó a su aplicación, incluida la revisión y actualización de los procedimientos y documentos de política conexos.  </w:t>
      </w:r>
      <w:r w:rsidRPr="00A34388">
        <w:rPr>
          <w:lang w:val="es-ES_tradnl"/>
        </w:rPr>
        <w:t xml:space="preserve">Esto dio lugar a importantes avances en la aclaración de los procesos, las funciones y los cometidos, así como a la redacción de órdenes de servicio a fin de abordarlos (pasantes, becas y servicios contractuales individuales). </w:t>
      </w:r>
    </w:p>
    <w:p w:rsidR="009124B0" w:rsidRPr="00A34388" w:rsidRDefault="009124B0" w:rsidP="009124B0">
      <w:pPr>
        <w:jc w:val="both"/>
        <w:rPr>
          <w:rFonts w:cs="Arial"/>
          <w:bCs/>
          <w:sz w:val="16"/>
          <w:szCs w:val="16"/>
          <w:lang w:val="es-ES_tradnl"/>
        </w:rPr>
      </w:pPr>
    </w:p>
    <w:p w:rsidR="009124B0" w:rsidRPr="00A34388" w:rsidRDefault="009124B0" w:rsidP="009124B0">
      <w:pPr>
        <w:tabs>
          <w:tab w:val="left" w:pos="709"/>
        </w:tabs>
        <w:autoSpaceDE w:val="0"/>
        <w:autoSpaceDN w:val="0"/>
        <w:adjustRightInd w:val="0"/>
        <w:jc w:val="both"/>
        <w:rPr>
          <w:rFonts w:cs="Arial"/>
          <w:bCs/>
          <w:szCs w:val="20"/>
          <w:lang w:val="es-ES_tradnl"/>
        </w:rPr>
      </w:pPr>
      <w:r w:rsidRPr="00A34388">
        <w:rPr>
          <w:lang w:val="es-ES_tradnl"/>
        </w:rPr>
        <w:t>22.6.</w:t>
      </w:r>
      <w:r w:rsidRPr="00A34388">
        <w:rPr>
          <w:lang w:val="es-ES_tradnl"/>
        </w:rPr>
        <w:tab/>
        <w:t xml:space="preserve">Se puso en marcha un exhaustivo estudio sobre las prácticas y riesgos de tesorería de la OMPI, que planteará recomendaciones </w:t>
      </w:r>
      <w:r w:rsidR="004B3E68" w:rsidRPr="00A34388">
        <w:rPr>
          <w:lang w:val="es-ES_tradnl"/>
        </w:rPr>
        <w:t xml:space="preserve">acerca del futuro desenvolvimiento </w:t>
      </w:r>
      <w:r w:rsidRPr="00A34388">
        <w:rPr>
          <w:lang w:val="es-ES_tradnl"/>
        </w:rPr>
        <w:t>de la tesorería de la Organización.  Las labores de estudio comenzaron en noviembre de 2013, y está previsto que el informe final se reciba en marzo de 2014.  Entre las demás iniciativas que se han adoptado en el ámbito de la tesorería se incluyen las siguientes:  (a) el establecimiento de una unidad de pagos centralizada</w:t>
      </w:r>
      <w:r w:rsidR="004B3E68" w:rsidRPr="00A34388">
        <w:rPr>
          <w:lang w:val="es-ES_tradnl"/>
        </w:rPr>
        <w:t>, que ha puesto el acento en la separación de funciones,</w:t>
      </w:r>
      <w:r w:rsidRPr="00A34388">
        <w:rPr>
          <w:lang w:val="es-ES_tradnl"/>
        </w:rPr>
        <w:t xml:space="preserve"> reforzando así los controles internos;  (b) la mejora de la seguridad de las transmisiones de archivos de pago a los bancos y diversas modificaciones de los métodos de pago, que han propiciado, en el primer caso, una reducción del riesgo cambiario y, en el segundo, de los costos bancarios;  (c) la ampliación de la automatización de las conciliaciones bancarias a las cuentas bancarias de los fondos fiduciarios y el análisis de las pautas de pago de las oficinas </w:t>
      </w:r>
      <w:r w:rsidRPr="00A34388">
        <w:rPr>
          <w:lang w:val="es-ES_tradnl"/>
        </w:rPr>
        <w:lastRenderedPageBreak/>
        <w:t xml:space="preserve">receptoras </w:t>
      </w:r>
      <w:r w:rsidR="00987449" w:rsidRPr="00A34388">
        <w:rPr>
          <w:lang w:val="es-ES_tradnl"/>
        </w:rPr>
        <w:t xml:space="preserve">como parte del ejercicio orientado a fortalecer </w:t>
      </w:r>
      <w:r w:rsidRPr="00A34388">
        <w:rPr>
          <w:lang w:val="es-ES_tradnl"/>
        </w:rPr>
        <w:t xml:space="preserve">el modelo </w:t>
      </w:r>
      <w:r w:rsidR="00987449" w:rsidRPr="00A34388">
        <w:rPr>
          <w:lang w:val="es-ES_tradnl"/>
        </w:rPr>
        <w:t xml:space="preserve">utilizado </w:t>
      </w:r>
      <w:r w:rsidRPr="00A34388">
        <w:rPr>
          <w:lang w:val="es-ES_tradnl"/>
        </w:rPr>
        <w:t xml:space="preserve">para calcular el </w:t>
      </w:r>
      <w:r w:rsidR="004B3E68" w:rsidRPr="00A34388">
        <w:rPr>
          <w:lang w:val="es-ES_tradnl"/>
        </w:rPr>
        <w:t xml:space="preserve">aplazamiento </w:t>
      </w:r>
      <w:r w:rsidRPr="00A34388">
        <w:rPr>
          <w:lang w:val="es-ES_tradnl"/>
        </w:rPr>
        <w:t xml:space="preserve">de ingresos del PCT, de conformidad con las Normas Internacionales de Contabilidad del Sector Público (IPSAS). </w:t>
      </w:r>
    </w:p>
    <w:p w:rsidR="009124B0" w:rsidRPr="00A34388" w:rsidRDefault="009124B0" w:rsidP="009124B0">
      <w:pPr>
        <w:pStyle w:val="ListParagraph"/>
        <w:rPr>
          <w:rFonts w:cs="Arial"/>
          <w:sz w:val="16"/>
          <w:szCs w:val="16"/>
          <w:lang w:val="es-ES_tradnl"/>
        </w:rPr>
      </w:pPr>
    </w:p>
    <w:p w:rsidR="00C82DCA" w:rsidRPr="00A34388" w:rsidRDefault="009124B0" w:rsidP="00C82DCA">
      <w:pPr>
        <w:jc w:val="both"/>
        <w:rPr>
          <w:lang w:val="es-ES_tradnl"/>
        </w:rPr>
      </w:pPr>
      <w:r w:rsidRPr="00A34388">
        <w:rPr>
          <w:lang w:val="es-ES_tradnl"/>
        </w:rPr>
        <w:t>22.7.</w:t>
      </w:r>
      <w:r w:rsidRPr="00A34388">
        <w:rPr>
          <w:lang w:val="es-ES_tradnl"/>
        </w:rPr>
        <w:tab/>
      </w:r>
      <w:r w:rsidR="00C82DCA" w:rsidRPr="00A34388">
        <w:rPr>
          <w:lang w:val="es-ES_tradnl"/>
        </w:rPr>
        <w:t xml:space="preserve">En el marco del </w:t>
      </w:r>
      <w:r w:rsidR="009B1238">
        <w:rPr>
          <w:lang w:val="es-ES_tradnl"/>
        </w:rPr>
        <w:t>Programa de Alineación Estratégica</w:t>
      </w:r>
      <w:r w:rsidR="00C82DCA" w:rsidRPr="00A34388">
        <w:rPr>
          <w:lang w:val="es-ES_tradnl"/>
        </w:rPr>
        <w:t xml:space="preserve"> (PAE), se continuó reforzando los sistemas de gestión de riesgos y control interno de la OMPI.  Se lograron varios hitos importantes, entre ellos, la integración de la gestión de riesgos en el ciclo de planificación anual del trabajo y la identificación de riesgos y sus medidas de mitigación en el presupuesto por programas de 2014/15.  Se designaron coordinadores de gestión de riesgos para todos los sectores, y se establecieron registros de riesgos para todos los programas, en los que se </w:t>
      </w:r>
      <w:r w:rsidR="00987449" w:rsidRPr="00A34388">
        <w:rPr>
          <w:lang w:val="es-ES_tradnl"/>
        </w:rPr>
        <w:t xml:space="preserve">especifican </w:t>
      </w:r>
      <w:r w:rsidR="00C82DCA" w:rsidRPr="00A34388">
        <w:rPr>
          <w:lang w:val="es-ES_tradnl"/>
        </w:rPr>
        <w:t xml:space="preserve">claramente los eventos que podrían repercutir negativamente en la consecución de los resultados previstos y/o las metas estratégicas de la Organización.  </w:t>
      </w:r>
    </w:p>
    <w:p w:rsidR="009124B0" w:rsidRPr="00A34388" w:rsidRDefault="009124B0" w:rsidP="009124B0">
      <w:pPr>
        <w:tabs>
          <w:tab w:val="left" w:pos="709"/>
        </w:tabs>
        <w:autoSpaceDE w:val="0"/>
        <w:autoSpaceDN w:val="0"/>
        <w:adjustRightInd w:val="0"/>
        <w:jc w:val="both"/>
        <w:rPr>
          <w:rFonts w:cs="Arial"/>
          <w:bCs/>
          <w:szCs w:val="20"/>
          <w:lang w:val="es-ES_tradnl"/>
        </w:rPr>
      </w:pPr>
    </w:p>
    <w:p w:rsidR="009124B0" w:rsidRPr="00A34388" w:rsidRDefault="009124B0" w:rsidP="009124B0">
      <w:pPr>
        <w:pStyle w:val="Style1"/>
        <w:numPr>
          <w:ilvl w:val="0"/>
          <w:numId w:val="0"/>
        </w:numPr>
        <w:tabs>
          <w:tab w:val="left" w:pos="709"/>
        </w:tabs>
        <w:jc w:val="both"/>
        <w:rPr>
          <w:rFonts w:cs="Arial"/>
          <w:szCs w:val="20"/>
          <w:lang w:val="es-ES_tradnl"/>
        </w:rPr>
      </w:pPr>
      <w:r w:rsidRPr="00A34388">
        <w:rPr>
          <w:lang w:val="es-ES_tradnl"/>
        </w:rPr>
        <w:t>22.8.</w:t>
      </w:r>
      <w:r w:rsidRPr="00A34388">
        <w:rPr>
          <w:lang w:val="es-ES_tradnl"/>
        </w:rPr>
        <w:tab/>
        <w:t>También prosiguieron las actuaciones en el ámbito de los controles internos, con un esfuerzo continuado por documentar los controles y riesgos de la División de Finanzas.  Asimismo, se han armonizado los procedimientos operativos ordinarios de la División de Finanzas y el PCT, lo que ha facilitado la conciliación periódica entre los sistemas gestionados por estas dos áreas (AIMS y Bibadmin, respectivamente).</w:t>
      </w:r>
    </w:p>
    <w:p w:rsidR="009124B0" w:rsidRPr="00A34388" w:rsidRDefault="009124B0" w:rsidP="009124B0">
      <w:pPr>
        <w:pStyle w:val="ListParagraph"/>
        <w:ind w:left="0"/>
        <w:jc w:val="both"/>
        <w:rPr>
          <w:rFonts w:cs="Arial"/>
          <w:lang w:val="es-ES_tradnl"/>
        </w:rPr>
      </w:pPr>
    </w:p>
    <w:p w:rsidR="009124B0" w:rsidRPr="00A34388" w:rsidRDefault="009124B0" w:rsidP="009124B0">
      <w:pPr>
        <w:tabs>
          <w:tab w:val="left" w:pos="709"/>
        </w:tabs>
        <w:autoSpaceDE w:val="0"/>
        <w:autoSpaceDN w:val="0"/>
        <w:adjustRightInd w:val="0"/>
        <w:jc w:val="both"/>
        <w:rPr>
          <w:rFonts w:cs="Arial"/>
          <w:bCs/>
          <w:szCs w:val="20"/>
          <w:lang w:val="es-ES_tradnl"/>
        </w:rPr>
      </w:pPr>
      <w:r w:rsidRPr="00A34388">
        <w:rPr>
          <w:lang w:val="es-ES_tradnl"/>
        </w:rPr>
        <w:t>22.9.</w:t>
      </w:r>
      <w:r w:rsidRPr="00A34388">
        <w:rPr>
          <w:lang w:val="es-ES_tradnl"/>
        </w:rPr>
        <w:tab/>
        <w:t xml:space="preserve">Se ha </w:t>
      </w:r>
      <w:r w:rsidR="001B6AC7" w:rsidRPr="00A34388">
        <w:rPr>
          <w:lang w:val="es-ES_tradnl"/>
        </w:rPr>
        <w:t xml:space="preserve">aplicado </w:t>
      </w:r>
      <w:r w:rsidRPr="00A34388">
        <w:rPr>
          <w:lang w:val="es-ES_tradnl"/>
        </w:rPr>
        <w:t xml:space="preserve">con éxito </w:t>
      </w:r>
      <w:r w:rsidR="00987449" w:rsidRPr="00A34388">
        <w:rPr>
          <w:lang w:val="es-ES_tradnl"/>
        </w:rPr>
        <w:t xml:space="preserve">el texto dispositivo </w:t>
      </w:r>
      <w:r w:rsidRPr="00A34388">
        <w:rPr>
          <w:lang w:val="es-ES_tradnl"/>
        </w:rPr>
        <w:t>de un memorando de entendimiento negociado durante el bienio por la USPTO, la OEP y la Oficina Internacional.</w:t>
      </w:r>
      <w:r w:rsidR="00537926" w:rsidRPr="00A34388">
        <w:rPr>
          <w:lang w:val="es-ES_tradnl"/>
        </w:rPr>
        <w:t xml:space="preserve"> </w:t>
      </w:r>
      <w:r w:rsidRPr="00A34388">
        <w:rPr>
          <w:lang w:val="es-ES_tradnl"/>
        </w:rPr>
        <w:t xml:space="preserve"> </w:t>
      </w:r>
      <w:r w:rsidR="001B6AC7" w:rsidRPr="00A34388">
        <w:rPr>
          <w:lang w:val="es-ES_tradnl"/>
        </w:rPr>
        <w:t xml:space="preserve">Dicho </w:t>
      </w:r>
      <w:r w:rsidRPr="00A34388">
        <w:rPr>
          <w:lang w:val="es-ES_tradnl"/>
        </w:rPr>
        <w:t xml:space="preserve">memorando de entendimiento entró en vigor en enero de 2014.  El memorando de entendimiento </w:t>
      </w:r>
      <w:r w:rsidR="004B3E68" w:rsidRPr="00A34388">
        <w:rPr>
          <w:lang w:val="es-ES_tradnl"/>
        </w:rPr>
        <w:t xml:space="preserve">estipula </w:t>
      </w:r>
      <w:r w:rsidRPr="00A34388">
        <w:rPr>
          <w:lang w:val="es-ES_tradnl"/>
        </w:rPr>
        <w:t xml:space="preserve">un año </w:t>
      </w:r>
      <w:r w:rsidR="004B3E68" w:rsidRPr="00A34388">
        <w:rPr>
          <w:lang w:val="es-ES_tradnl"/>
        </w:rPr>
        <w:t xml:space="preserve">de prueba </w:t>
      </w:r>
      <w:r w:rsidRPr="00A34388">
        <w:rPr>
          <w:lang w:val="es-ES_tradnl"/>
        </w:rPr>
        <w:t xml:space="preserve">con vistas a determinar si </w:t>
      </w:r>
      <w:r w:rsidR="001B6AC7" w:rsidRPr="00A34388">
        <w:rPr>
          <w:lang w:val="es-ES_tradnl"/>
        </w:rPr>
        <w:t>la gestión de los riesgos cambiarios asociados al pago de tasas de búsqueda es susceptible de mejora</w:t>
      </w:r>
      <w:r w:rsidRPr="00A34388">
        <w:rPr>
          <w:lang w:val="es-ES_tradnl"/>
        </w:rPr>
        <w:t xml:space="preserve">.  </w:t>
      </w:r>
    </w:p>
    <w:p w:rsidR="009124B0" w:rsidRPr="00A34388" w:rsidRDefault="009124B0" w:rsidP="009124B0">
      <w:pPr>
        <w:pStyle w:val="ListParagraph"/>
        <w:ind w:left="0"/>
        <w:rPr>
          <w:rFonts w:cs="Arial"/>
          <w:sz w:val="22"/>
          <w:szCs w:val="22"/>
          <w:lang w:val="es-ES_tradnl"/>
        </w:rPr>
      </w:pPr>
    </w:p>
    <w:p w:rsidR="009124B0" w:rsidRPr="00A34388" w:rsidRDefault="009124B0" w:rsidP="009124B0">
      <w:pPr>
        <w:pStyle w:val="ListParagraph"/>
        <w:ind w:left="0"/>
        <w:rPr>
          <w:rFonts w:cs="Arial"/>
          <w:sz w:val="22"/>
          <w:szCs w:val="22"/>
          <w:lang w:val="es-ES_tradnl"/>
        </w:rPr>
      </w:pPr>
    </w:p>
    <w:p w:rsidR="009124B0" w:rsidRPr="00A34388" w:rsidRDefault="009124B0" w:rsidP="009124B0">
      <w:pPr>
        <w:tabs>
          <w:tab w:val="left" w:pos="709"/>
        </w:tabs>
        <w:rPr>
          <w:rFonts w:cs="Arial"/>
          <w:bCs/>
          <w:sz w:val="22"/>
          <w:szCs w:val="22"/>
          <w:lang w:val="es-ES_tradnl"/>
        </w:rPr>
      </w:pPr>
      <w:r w:rsidRPr="00332758">
        <w:rPr>
          <w:sz w:val="22"/>
          <w:lang w:val="es-ES_tradnl"/>
        </w:rPr>
        <w:t>APLICACIÓN DE LA AGENDA PARA EL DESARROLLO</w:t>
      </w:r>
    </w:p>
    <w:p w:rsidR="009124B0" w:rsidRPr="00A34388" w:rsidRDefault="009124B0" w:rsidP="009124B0">
      <w:pPr>
        <w:tabs>
          <w:tab w:val="left" w:pos="709"/>
        </w:tabs>
        <w:rPr>
          <w:rFonts w:cs="Arial"/>
          <w:bCs/>
          <w:szCs w:val="22"/>
          <w:lang w:val="es-ES_tradnl"/>
        </w:rPr>
      </w:pPr>
    </w:p>
    <w:p w:rsidR="009124B0" w:rsidRPr="00A34388" w:rsidRDefault="009124B0" w:rsidP="009124B0">
      <w:pPr>
        <w:rPr>
          <w:rFonts w:cs="Arial"/>
          <w:lang w:val="es-ES_tradnl"/>
        </w:rPr>
      </w:pPr>
      <w:r w:rsidRPr="00A34388">
        <w:rPr>
          <w:lang w:val="es-ES_tradnl"/>
        </w:rPr>
        <w:t>22.10.</w:t>
      </w:r>
      <w:r w:rsidRPr="00A34388">
        <w:rPr>
          <w:lang w:val="es-ES_tradnl"/>
        </w:rPr>
        <w:tab/>
        <w:t xml:space="preserve">El proyecto de gestión por resultados del CDIP, finalizado en 2013, se centró en fortalecer los marcos de resultados y los parámetros de medición bienales, brindando con ello una base más sólida para supervisar y evaluar las actividades de la OMPI, incluida el área de la cooperación para el desarrollo.  El desarrollo se ha integrado en el conjunto de las metas estratégicas fundamentales, de acuerdo con las recomendaciones de la Agenda para el Desarrollo. </w:t>
      </w:r>
    </w:p>
    <w:p w:rsidR="009124B0" w:rsidRPr="00A34388" w:rsidRDefault="009124B0" w:rsidP="009124B0">
      <w:pPr>
        <w:jc w:val="both"/>
        <w:rPr>
          <w:rFonts w:cs="Arial"/>
          <w:szCs w:val="20"/>
          <w:lang w:val="es-ES_tradnl"/>
        </w:rPr>
      </w:pPr>
    </w:p>
    <w:p w:rsidR="009124B0" w:rsidRPr="00A34388" w:rsidRDefault="009124B0" w:rsidP="009124B0">
      <w:pPr>
        <w:jc w:val="both"/>
        <w:rPr>
          <w:rFonts w:cs="Arial"/>
          <w:szCs w:val="20"/>
          <w:lang w:val="es-ES_tradnl"/>
        </w:rPr>
      </w:pPr>
      <w:r w:rsidRPr="00A34388">
        <w:rPr>
          <w:lang w:val="es-ES_tradnl"/>
        </w:rPr>
        <w:t>22.11.</w:t>
      </w:r>
      <w:r w:rsidRPr="00A34388">
        <w:rPr>
          <w:lang w:val="es-ES_tradnl"/>
        </w:rPr>
        <w:tab/>
        <w:t xml:space="preserve">El proyecto también respalda el programa 8 en la institucionalización de un mecanismo de evaluación independiente para todos los proyectos de la Agenda para el Desarrollo </w:t>
      </w:r>
      <w:r w:rsidR="004B47EB" w:rsidRPr="00A34388">
        <w:rPr>
          <w:lang w:val="es-ES_tradnl"/>
        </w:rPr>
        <w:t>finalizados</w:t>
      </w:r>
      <w:r w:rsidRPr="00A34388">
        <w:rPr>
          <w:lang w:val="es-ES_tradnl"/>
        </w:rPr>
        <w:t>.  Se presentaron informes de evaluación que posteriormente fueron debatidos en el CDIP con el fin de apoyar la toma de decisiones.</w:t>
      </w:r>
    </w:p>
    <w:p w:rsidR="009124B0" w:rsidRPr="00A34388" w:rsidRDefault="009124B0" w:rsidP="009124B0">
      <w:pPr>
        <w:jc w:val="both"/>
        <w:rPr>
          <w:rFonts w:cs="Arial"/>
          <w:sz w:val="22"/>
          <w:szCs w:val="22"/>
          <w:lang w:val="es-ES_tradnl"/>
        </w:rPr>
      </w:pPr>
    </w:p>
    <w:p w:rsidR="009124B0" w:rsidRPr="00A34388" w:rsidRDefault="009124B0" w:rsidP="009124B0">
      <w:pPr>
        <w:rPr>
          <w:rFonts w:cs="Arial"/>
          <w:sz w:val="22"/>
          <w:szCs w:val="22"/>
          <w:lang w:val="es-ES_tradnl"/>
        </w:rPr>
      </w:pPr>
    </w:p>
    <w:p w:rsidR="009124B0" w:rsidRPr="00A34388" w:rsidRDefault="009124B0" w:rsidP="009124B0">
      <w:pPr>
        <w:rPr>
          <w:rFonts w:cs="Arial"/>
          <w:sz w:val="22"/>
          <w:szCs w:val="22"/>
          <w:lang w:val="es-ES_tradnl"/>
        </w:rPr>
      </w:pPr>
      <w:r w:rsidRPr="00332758">
        <w:rPr>
          <w:sz w:val="22"/>
          <w:lang w:val="es-ES_tradnl"/>
        </w:rPr>
        <w:t>DATOS SOBRE EL RENDIMIENTO</w:t>
      </w:r>
    </w:p>
    <w:p w:rsidR="009124B0" w:rsidRPr="00A34388" w:rsidRDefault="009124B0" w:rsidP="009124B0">
      <w:pPr>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1"/>
        <w:gridCol w:w="2321"/>
        <w:gridCol w:w="1239"/>
        <w:gridCol w:w="2848"/>
        <w:gridCol w:w="1278"/>
      </w:tblGrid>
      <w:tr w:rsidR="009124B0" w:rsidRPr="00A9508D" w:rsidTr="00730F86">
        <w:trPr>
          <w:cantSplit/>
        </w:trPr>
        <w:tc>
          <w:tcPr>
            <w:tcW w:w="5000" w:type="pct"/>
            <w:gridSpan w:val="5"/>
            <w:tcBorders>
              <w:top w:val="single" w:sz="4" w:space="0" w:color="auto"/>
              <w:bottom w:val="single" w:sz="4" w:space="0" w:color="auto"/>
            </w:tcBorders>
            <w:shd w:val="clear" w:color="auto" w:fill="CCFFFF"/>
            <w:vAlign w:val="center"/>
            <w:hideMark/>
          </w:tcPr>
          <w:p w:rsidR="009124B0" w:rsidRPr="00332758" w:rsidRDefault="009124B0" w:rsidP="00730F86">
            <w:pPr>
              <w:keepNext/>
              <w:keepLines/>
              <w:tabs>
                <w:tab w:val="left" w:pos="1452"/>
              </w:tabs>
              <w:spacing w:before="120" w:after="120"/>
              <w:ind w:left="1701" w:hanging="1701"/>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Mayor eficacia y eficiencia en la planificación, el procesamiento, la ejecución, la evaluación y la presentación de informes basados en los resultados en los ámbitos financiero y programático.</w:t>
            </w:r>
          </w:p>
        </w:tc>
      </w:tr>
      <w:tr w:rsidR="009124B0" w:rsidRPr="00A34388" w:rsidTr="00730F86">
        <w:trPr>
          <w:cantSplit/>
        </w:trPr>
        <w:tc>
          <w:tcPr>
            <w:tcW w:w="893" w:type="pct"/>
            <w:tcBorders>
              <w:top w:val="single" w:sz="4" w:space="0" w:color="auto"/>
            </w:tcBorders>
            <w:vAlign w:val="center"/>
            <w:hideMark/>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1240" w:type="pct"/>
            <w:tcBorders>
              <w:top w:val="single" w:sz="4" w:space="0" w:color="auto"/>
            </w:tcBorders>
            <w:vAlign w:val="center"/>
            <w:hideMark/>
          </w:tcPr>
          <w:p w:rsidR="009124B0" w:rsidRPr="00A34388" w:rsidRDefault="009124B0" w:rsidP="00730F86">
            <w:pPr>
              <w:rPr>
                <w:rFonts w:cs="Arial"/>
                <w:b/>
                <w:bCs/>
                <w:color w:val="808080"/>
                <w:sz w:val="16"/>
                <w:szCs w:val="16"/>
                <w:lang w:val="es-ES_tradnl"/>
              </w:rPr>
            </w:pPr>
            <w:r w:rsidRPr="00332758">
              <w:rPr>
                <w:b/>
                <w:sz w:val="16"/>
                <w:lang w:val="es-ES_tradnl"/>
              </w:rPr>
              <w:t>Referencia</w:t>
            </w:r>
          </w:p>
        </w:tc>
        <w:tc>
          <w:tcPr>
            <w:tcW w:w="662" w:type="pct"/>
            <w:tcBorders>
              <w:top w:val="single" w:sz="4" w:space="0" w:color="auto"/>
            </w:tcBorders>
            <w:tcMar>
              <w:top w:w="110" w:type="dxa"/>
              <w:left w:w="108" w:type="dxa"/>
              <w:bottom w:w="0" w:type="dxa"/>
              <w:right w:w="108" w:type="dxa"/>
            </w:tcMar>
            <w:vAlign w:val="center"/>
            <w:hideMark/>
          </w:tcPr>
          <w:p w:rsidR="009124B0" w:rsidRPr="00A34388" w:rsidRDefault="009124B0" w:rsidP="00730F86">
            <w:pPr>
              <w:rPr>
                <w:rFonts w:cs="Arial"/>
                <w:b/>
                <w:color w:val="808080"/>
                <w:sz w:val="16"/>
                <w:szCs w:val="16"/>
                <w:lang w:val="es-ES_tradnl"/>
              </w:rPr>
            </w:pPr>
            <w:r w:rsidRPr="00332758">
              <w:rPr>
                <w:b/>
                <w:sz w:val="16"/>
                <w:lang w:val="es-ES_tradnl"/>
              </w:rPr>
              <w:t>Objetivos</w:t>
            </w:r>
          </w:p>
        </w:tc>
        <w:tc>
          <w:tcPr>
            <w:tcW w:w="1522" w:type="pct"/>
            <w:tcBorders>
              <w:top w:val="single" w:sz="4" w:space="0" w:color="auto"/>
            </w:tcBorders>
            <w:shd w:val="clear" w:color="auto" w:fill="FFFFFF"/>
            <w:tcMar>
              <w:top w:w="110" w:type="dxa"/>
              <w:left w:w="108" w:type="dxa"/>
              <w:bottom w:w="0" w:type="dxa"/>
              <w:right w:w="108" w:type="dxa"/>
            </w:tcMar>
            <w:vAlign w:val="center"/>
            <w:hideMark/>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82" w:type="pct"/>
            <w:tcBorders>
              <w:top w:val="single" w:sz="4" w:space="0" w:color="auto"/>
            </w:tcBorders>
            <w:tcMar>
              <w:top w:w="110" w:type="dxa"/>
              <w:left w:w="108" w:type="dxa"/>
              <w:bottom w:w="0" w:type="dxa"/>
              <w:right w:w="108" w:type="dxa"/>
            </w:tcMar>
            <w:vAlign w:val="center"/>
            <w:hideMark/>
          </w:tcPr>
          <w:p w:rsidR="009124B0" w:rsidRPr="00332758" w:rsidRDefault="009124B0" w:rsidP="00730F86">
            <w:pPr>
              <w:keepNext/>
              <w:keepLines/>
              <w:jc w:val="center"/>
              <w:rPr>
                <w:rFonts w:cs="Arial"/>
                <w:b/>
                <w:bCs/>
                <w:sz w:val="16"/>
                <w:szCs w:val="16"/>
                <w:lang w:val="es-ES_tradnl"/>
              </w:rPr>
            </w:pPr>
            <w:r w:rsidRPr="00332758">
              <w:rPr>
                <w:b/>
                <w:sz w:val="16"/>
                <w:lang w:val="es-ES_tradnl"/>
              </w:rPr>
              <w:t>Clave de colores</w:t>
            </w:r>
          </w:p>
        </w:tc>
      </w:tr>
      <w:tr w:rsidR="009124B0" w:rsidRPr="00A34388" w:rsidTr="00730F86">
        <w:trPr>
          <w:cantSplit/>
        </w:trPr>
        <w:tc>
          <w:tcPr>
            <w:tcW w:w="893" w:type="pct"/>
            <w:hideMark/>
          </w:tcPr>
          <w:p w:rsidR="009124B0" w:rsidRPr="00A34388" w:rsidRDefault="009124B0" w:rsidP="00730F86">
            <w:pPr>
              <w:rPr>
                <w:rFonts w:cs="Arial"/>
                <w:sz w:val="16"/>
                <w:szCs w:val="16"/>
                <w:lang w:val="es-ES_tradnl"/>
              </w:rPr>
            </w:pPr>
            <w:r w:rsidRPr="00332758">
              <w:rPr>
                <w:sz w:val="16"/>
                <w:lang w:val="es-ES_tradnl"/>
              </w:rPr>
              <w:t>Porcentaje de programas de la OMPI que utilizan los datos sobre el rendimiento para gestionar el rendimiento del programa.</w:t>
            </w:r>
          </w:p>
        </w:tc>
        <w:tc>
          <w:tcPr>
            <w:tcW w:w="1240" w:type="pct"/>
            <w:hideMark/>
          </w:tcPr>
          <w:p w:rsidR="009124B0" w:rsidRPr="00A34388" w:rsidRDefault="009124B0" w:rsidP="00730F86">
            <w:pPr>
              <w:rPr>
                <w:rFonts w:cs="Arial"/>
                <w:sz w:val="16"/>
                <w:szCs w:val="16"/>
                <w:lang w:val="es-ES_tradnl"/>
              </w:rPr>
            </w:pPr>
            <w:r w:rsidRPr="00A34388">
              <w:rPr>
                <w:sz w:val="16"/>
                <w:lang w:val="es-ES_tradnl"/>
              </w:rPr>
              <w:t>20%</w:t>
            </w:r>
          </w:p>
        </w:tc>
        <w:tc>
          <w:tcPr>
            <w:tcW w:w="662" w:type="pct"/>
            <w:tcMar>
              <w:top w:w="110" w:type="dxa"/>
              <w:left w:w="108" w:type="dxa"/>
              <w:bottom w:w="0" w:type="dxa"/>
              <w:right w:w="108" w:type="dxa"/>
            </w:tcMar>
            <w:hideMark/>
          </w:tcPr>
          <w:p w:rsidR="009124B0" w:rsidRPr="00A34388" w:rsidRDefault="009124B0" w:rsidP="00730F86">
            <w:pPr>
              <w:rPr>
                <w:rFonts w:cs="Arial"/>
                <w:sz w:val="16"/>
                <w:szCs w:val="16"/>
                <w:lang w:val="es-ES_tradnl"/>
              </w:rPr>
            </w:pPr>
            <w:r w:rsidRPr="00A34388">
              <w:rPr>
                <w:sz w:val="16"/>
                <w:lang w:val="es-ES_tradnl"/>
              </w:rPr>
              <w:t>50%</w:t>
            </w:r>
          </w:p>
        </w:tc>
        <w:tc>
          <w:tcPr>
            <w:tcW w:w="1522" w:type="pct"/>
            <w:shd w:val="clear" w:color="auto" w:fill="FFFFFF"/>
            <w:tcMar>
              <w:top w:w="110" w:type="dxa"/>
              <w:left w:w="108" w:type="dxa"/>
              <w:bottom w:w="0" w:type="dxa"/>
              <w:right w:w="108" w:type="dxa"/>
            </w:tcMar>
            <w:hideMark/>
          </w:tcPr>
          <w:p w:rsidR="009124B0" w:rsidRPr="00A34388" w:rsidRDefault="009124B0" w:rsidP="00730F86">
            <w:pPr>
              <w:rPr>
                <w:rFonts w:cs="Arial"/>
                <w:sz w:val="16"/>
                <w:szCs w:val="16"/>
                <w:lang w:val="es-ES_tradnl"/>
              </w:rPr>
            </w:pPr>
            <w:r w:rsidRPr="00A34388">
              <w:rPr>
                <w:sz w:val="16"/>
                <w:lang w:val="es-ES_tradnl"/>
              </w:rPr>
              <w:t>53%</w:t>
            </w:r>
          </w:p>
        </w:tc>
        <w:tc>
          <w:tcPr>
            <w:tcW w:w="682" w:type="pct"/>
            <w:tcMar>
              <w:top w:w="110" w:type="dxa"/>
              <w:left w:w="108" w:type="dxa"/>
              <w:bottom w:w="0" w:type="dxa"/>
              <w:right w:w="108" w:type="dxa"/>
            </w:tcMar>
            <w:hideMark/>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p>
        </w:tc>
      </w:tr>
      <w:tr w:rsidR="009124B0" w:rsidRPr="00A34388" w:rsidTr="00730F86">
        <w:trPr>
          <w:cantSplit/>
        </w:trPr>
        <w:tc>
          <w:tcPr>
            <w:tcW w:w="893" w:type="pct"/>
            <w:hideMark/>
          </w:tcPr>
          <w:p w:rsidR="009124B0" w:rsidRPr="00A34388" w:rsidRDefault="009124B0" w:rsidP="00730F86">
            <w:pPr>
              <w:rPr>
                <w:rFonts w:cs="Arial"/>
                <w:sz w:val="16"/>
                <w:szCs w:val="16"/>
                <w:lang w:val="es-ES_tradnl"/>
              </w:rPr>
            </w:pPr>
            <w:r w:rsidRPr="00332758">
              <w:rPr>
                <w:sz w:val="16"/>
                <w:lang w:val="es-ES_tradnl"/>
              </w:rPr>
              <w:t>Porcentaje de encuestados (OMPI) que estiman que la OMPI debe rendir cuentas sobre sus resultados.</w:t>
            </w:r>
          </w:p>
        </w:tc>
        <w:tc>
          <w:tcPr>
            <w:tcW w:w="1240" w:type="pct"/>
            <w:hideMark/>
          </w:tcPr>
          <w:p w:rsidR="009124B0" w:rsidRPr="00A34388" w:rsidRDefault="009124B0" w:rsidP="00730F86">
            <w:pPr>
              <w:rPr>
                <w:rFonts w:cs="Arial"/>
                <w:sz w:val="16"/>
                <w:szCs w:val="16"/>
                <w:lang w:val="es-ES_tradnl"/>
              </w:rPr>
            </w:pPr>
            <w:r w:rsidRPr="00A34388">
              <w:rPr>
                <w:sz w:val="16"/>
                <w:lang w:val="es-ES_tradnl"/>
              </w:rPr>
              <w:t>59%</w:t>
            </w:r>
          </w:p>
        </w:tc>
        <w:tc>
          <w:tcPr>
            <w:tcW w:w="662" w:type="pct"/>
            <w:tcMar>
              <w:top w:w="110" w:type="dxa"/>
              <w:left w:w="108" w:type="dxa"/>
              <w:bottom w:w="0" w:type="dxa"/>
              <w:right w:w="108" w:type="dxa"/>
            </w:tcMar>
            <w:hideMark/>
          </w:tcPr>
          <w:p w:rsidR="009124B0" w:rsidRPr="00A34388" w:rsidRDefault="009124B0" w:rsidP="00730F86">
            <w:pPr>
              <w:rPr>
                <w:rFonts w:cs="Arial"/>
                <w:sz w:val="16"/>
                <w:szCs w:val="16"/>
                <w:lang w:val="es-ES_tradnl"/>
              </w:rPr>
            </w:pPr>
            <w:r w:rsidRPr="00A34388">
              <w:rPr>
                <w:sz w:val="16"/>
                <w:lang w:val="es-ES_tradnl"/>
              </w:rPr>
              <w:t>75%</w:t>
            </w:r>
          </w:p>
        </w:tc>
        <w:tc>
          <w:tcPr>
            <w:tcW w:w="1522" w:type="pct"/>
            <w:shd w:val="clear" w:color="auto" w:fill="FFFFFF"/>
            <w:tcMar>
              <w:top w:w="110" w:type="dxa"/>
              <w:left w:w="108" w:type="dxa"/>
              <w:bottom w:w="0" w:type="dxa"/>
              <w:right w:w="108" w:type="dxa"/>
            </w:tcMar>
            <w:hideMark/>
          </w:tcPr>
          <w:p w:rsidR="009124B0" w:rsidRPr="00A34388" w:rsidRDefault="009124B0" w:rsidP="00730F86">
            <w:pPr>
              <w:rPr>
                <w:rFonts w:cs="Arial"/>
                <w:sz w:val="16"/>
                <w:szCs w:val="16"/>
                <w:lang w:val="es-ES_tradnl"/>
              </w:rPr>
            </w:pPr>
            <w:r w:rsidRPr="00332758">
              <w:rPr>
                <w:sz w:val="16"/>
                <w:lang w:val="es-ES_tradnl"/>
              </w:rPr>
              <w:t>80,7%</w:t>
            </w:r>
          </w:p>
        </w:tc>
        <w:tc>
          <w:tcPr>
            <w:tcW w:w="682" w:type="pct"/>
            <w:tcMar>
              <w:top w:w="110" w:type="dxa"/>
              <w:left w:w="108" w:type="dxa"/>
              <w:bottom w:w="0" w:type="dxa"/>
              <w:right w:w="108" w:type="dxa"/>
            </w:tcMar>
            <w:hideMark/>
          </w:tcPr>
          <w:p w:rsidR="009124B0" w:rsidRPr="00A34388" w:rsidRDefault="009124B0" w:rsidP="00730F86">
            <w:pPr>
              <w:keepNext/>
              <w:keepLines/>
              <w:jc w:val="center"/>
              <w:rPr>
                <w:rFonts w:cs="Arial"/>
                <w:bCs/>
                <w:color w:val="008000"/>
                <w:sz w:val="16"/>
                <w:szCs w:val="16"/>
                <w:lang w:val="es-ES_tradnl"/>
              </w:rPr>
            </w:pPr>
            <w:r w:rsidRPr="00A34388">
              <w:rPr>
                <w:color w:val="008000"/>
                <w:sz w:val="16"/>
                <w:lang w:val="es-ES_tradnl"/>
              </w:rPr>
              <w:t>Plenamente logrado</w:t>
            </w:r>
          </w:p>
        </w:tc>
      </w:tr>
      <w:tr w:rsidR="009124B0" w:rsidRPr="00A34388" w:rsidTr="00730F86">
        <w:trPr>
          <w:cantSplit/>
        </w:trPr>
        <w:tc>
          <w:tcPr>
            <w:tcW w:w="893" w:type="pct"/>
            <w:hideMark/>
          </w:tcPr>
          <w:p w:rsidR="009124B0" w:rsidRPr="00A34388" w:rsidRDefault="009124B0" w:rsidP="00730F86">
            <w:pPr>
              <w:rPr>
                <w:rFonts w:cs="Arial"/>
                <w:sz w:val="16"/>
                <w:szCs w:val="16"/>
                <w:lang w:val="es-ES_tradnl"/>
              </w:rPr>
            </w:pPr>
            <w:r w:rsidRPr="00332758">
              <w:rPr>
                <w:sz w:val="16"/>
                <w:lang w:val="es-ES_tradnl"/>
              </w:rPr>
              <w:lastRenderedPageBreak/>
              <w:t>Conformidad de las operaciones financieras y la gestión del presupuesto con las disposiciones pertinentes de los convenios y tratados de la OMPI, el Reglamento Financiero y la Reglamentación Financiera de la OMPI y las normas de contabilidad pertinentes.</w:t>
            </w:r>
          </w:p>
        </w:tc>
        <w:tc>
          <w:tcPr>
            <w:tcW w:w="1240" w:type="pct"/>
          </w:tcPr>
          <w:p w:rsidR="009124B0" w:rsidRPr="00CC013D" w:rsidRDefault="009124B0" w:rsidP="00730F86">
            <w:pPr>
              <w:rPr>
                <w:rFonts w:cs="Arial"/>
                <w:i/>
                <w:color w:val="002060"/>
                <w:sz w:val="16"/>
                <w:szCs w:val="16"/>
                <w:lang w:val="es-ES_tradnl"/>
              </w:rPr>
            </w:pPr>
            <w:r w:rsidRPr="00CC013D">
              <w:rPr>
                <w:i/>
                <w:color w:val="002060"/>
                <w:sz w:val="16"/>
                <w:lang w:val="es-ES_tradnl"/>
              </w:rPr>
              <w:t xml:space="preserve">Referencia actualizada a fines de 2011:  </w:t>
            </w:r>
          </w:p>
          <w:p w:rsidR="009124B0" w:rsidRPr="00CC013D" w:rsidRDefault="009124B0" w:rsidP="00730F86">
            <w:pPr>
              <w:rPr>
                <w:rFonts w:cs="Arial"/>
                <w:i/>
                <w:color w:val="002060"/>
                <w:sz w:val="16"/>
                <w:szCs w:val="16"/>
                <w:lang w:val="es-ES_tradnl"/>
              </w:rPr>
            </w:pPr>
            <w:r w:rsidRPr="00CC013D">
              <w:rPr>
                <w:color w:val="002060"/>
                <w:sz w:val="16"/>
                <w:lang w:val="es-ES_tradnl"/>
              </w:rPr>
              <w:t>En 2010/11 se actualizó la orden de servicio de atenciones sociales oficiales.  Se enviaron las actualizaciones del Reglamento Financiero y la Reglamentación Financiera a las Asambleas de los Estados miembros de la OMPI. Se aprobaron y se promulgaron varias políticas, entre las que se incluyen  el proceso presupuestario aplicado a los proyectos propuestos por el Comité sobre Desarrollo y Propiedad Intelectual (CDIP) para dar aplicación a las recomendaciones de la Agenda para el Desarrollo;  la política sobre fondos de reserva y principios aplicados en relación con el uso de las reservas;  la política de inversiones;  y el marco de gestión y planificación en materia de capital de la OMPI.</w:t>
            </w:r>
          </w:p>
          <w:p w:rsidR="009124B0" w:rsidRPr="00A34388" w:rsidRDefault="009124B0" w:rsidP="00730F86">
            <w:pPr>
              <w:rPr>
                <w:rFonts w:cs="Arial"/>
                <w:i/>
                <w:sz w:val="8"/>
                <w:szCs w:val="8"/>
                <w:lang w:val="es-ES_tradnl"/>
              </w:rPr>
            </w:pPr>
          </w:p>
          <w:p w:rsidR="009124B0" w:rsidRPr="00A34388" w:rsidRDefault="009124B0" w:rsidP="00CC013D">
            <w:pPr>
              <w:rPr>
                <w:rFonts w:cs="Arial"/>
                <w:sz w:val="16"/>
                <w:szCs w:val="16"/>
                <w:lang w:val="es-ES_tradnl"/>
              </w:rPr>
            </w:pPr>
            <w:r w:rsidRPr="00A34388">
              <w:rPr>
                <w:i/>
                <w:sz w:val="16"/>
                <w:lang w:val="es-ES_tradnl"/>
              </w:rPr>
              <w:t>Referencia original Presup. por prog. 2012/1</w:t>
            </w:r>
            <w:r w:rsidR="00CC013D">
              <w:rPr>
                <w:i/>
                <w:sz w:val="16"/>
                <w:lang w:val="es-ES_tradnl"/>
              </w:rPr>
              <w:t>3</w:t>
            </w:r>
            <w:r w:rsidRPr="00A34388">
              <w:rPr>
                <w:i/>
                <w:sz w:val="16"/>
                <w:lang w:val="es-ES_tradnl"/>
              </w:rPr>
              <w:t>:</w:t>
            </w:r>
            <w:r w:rsidR="004B47EB" w:rsidRPr="00A34388">
              <w:rPr>
                <w:sz w:val="16"/>
                <w:lang w:val="es-ES_tradnl"/>
              </w:rPr>
              <w:t xml:space="preserve">  Conjunto </w:t>
            </w:r>
            <w:r w:rsidRPr="00A34388">
              <w:rPr>
                <w:sz w:val="16"/>
                <w:lang w:val="es-ES_tradnl"/>
              </w:rPr>
              <w:t>existente de políticas, reglas y procedimientos documentados.</w:t>
            </w:r>
            <w:r w:rsidRPr="00A34388">
              <w:rPr>
                <w:rFonts w:cs="Arial"/>
                <w:sz w:val="16"/>
                <w:szCs w:val="16"/>
                <w:lang w:val="es-ES_tradnl"/>
              </w:rPr>
              <w:br/>
            </w:r>
          </w:p>
        </w:tc>
        <w:tc>
          <w:tcPr>
            <w:tcW w:w="662" w:type="pct"/>
            <w:tcMar>
              <w:top w:w="110" w:type="dxa"/>
              <w:left w:w="108" w:type="dxa"/>
              <w:bottom w:w="0" w:type="dxa"/>
              <w:right w:w="108" w:type="dxa"/>
            </w:tcMar>
            <w:hideMark/>
          </w:tcPr>
          <w:p w:rsidR="009124B0" w:rsidRPr="00A34388" w:rsidRDefault="009124B0" w:rsidP="00392742">
            <w:pPr>
              <w:autoSpaceDE w:val="0"/>
              <w:autoSpaceDN w:val="0"/>
              <w:adjustRightInd w:val="0"/>
              <w:rPr>
                <w:rFonts w:cs="Arial"/>
                <w:sz w:val="16"/>
                <w:szCs w:val="16"/>
                <w:lang w:val="es-ES_tradnl"/>
              </w:rPr>
            </w:pPr>
            <w:r w:rsidRPr="00A34388">
              <w:rPr>
                <w:sz w:val="16"/>
                <w:lang w:val="es-ES_tradnl"/>
              </w:rPr>
              <w:t xml:space="preserve">La aplicación del sistema </w:t>
            </w:r>
            <w:r w:rsidR="00392742">
              <w:rPr>
                <w:sz w:val="16"/>
                <w:lang w:val="es-ES_tradnl"/>
              </w:rPr>
              <w:t>de PRI</w:t>
            </w:r>
            <w:r w:rsidRPr="00A34388">
              <w:rPr>
                <w:sz w:val="16"/>
                <w:lang w:val="es-ES_tradnl"/>
              </w:rPr>
              <w:t xml:space="preserve"> ha permitido subsanar las lagunas detectadas.</w:t>
            </w:r>
          </w:p>
        </w:tc>
        <w:tc>
          <w:tcPr>
            <w:tcW w:w="1522" w:type="pct"/>
            <w:shd w:val="clear" w:color="auto" w:fill="FFFFFF"/>
            <w:tcMar>
              <w:top w:w="110" w:type="dxa"/>
              <w:left w:w="108" w:type="dxa"/>
              <w:bottom w:w="0" w:type="dxa"/>
              <w:right w:w="108" w:type="dxa"/>
            </w:tcMar>
          </w:tcPr>
          <w:p w:rsidR="009124B0" w:rsidRPr="00A34388" w:rsidRDefault="009124B0" w:rsidP="00730F86">
            <w:pPr>
              <w:rPr>
                <w:rFonts w:cs="Arial"/>
                <w:sz w:val="16"/>
                <w:szCs w:val="16"/>
                <w:lang w:val="es-ES_tradnl"/>
              </w:rPr>
            </w:pPr>
            <w:r w:rsidRPr="00A34388">
              <w:rPr>
                <w:sz w:val="16"/>
                <w:lang w:val="es-ES_tradnl"/>
              </w:rPr>
              <w:t xml:space="preserve">La labor realizada en 2012, consistente en analizar, actualizar y establecer </w:t>
            </w:r>
            <w:r w:rsidR="004B47EB" w:rsidRPr="00A34388">
              <w:rPr>
                <w:sz w:val="16"/>
                <w:lang w:val="es-ES_tradnl"/>
              </w:rPr>
              <w:t xml:space="preserve">todos los </w:t>
            </w:r>
            <w:r w:rsidRPr="00A34388">
              <w:rPr>
                <w:sz w:val="16"/>
                <w:lang w:val="es-ES_tradnl"/>
              </w:rPr>
              <w:t xml:space="preserve">controles necesarios, prosiguió en 2013.  Los manuales, procedimientos y órdenes de servicio fueron analizados, revisados o promulgados, junto con la formación y comunicación necesarias, para garantizar su difusión y comprensión entre las comunidades de usuarios.   </w:t>
            </w:r>
          </w:p>
          <w:p w:rsidR="009124B0" w:rsidRPr="00A34388" w:rsidRDefault="009124B0" w:rsidP="00730F86">
            <w:pPr>
              <w:rPr>
                <w:rFonts w:cs="Arial"/>
                <w:sz w:val="8"/>
                <w:szCs w:val="8"/>
                <w:lang w:val="es-ES_tradnl"/>
              </w:rPr>
            </w:pPr>
          </w:p>
          <w:p w:rsidR="009124B0" w:rsidRPr="00A34388" w:rsidRDefault="009124B0" w:rsidP="00730F86">
            <w:pPr>
              <w:rPr>
                <w:rFonts w:cs="Arial"/>
                <w:sz w:val="16"/>
                <w:szCs w:val="16"/>
                <w:lang w:val="es-ES_tradnl"/>
              </w:rPr>
            </w:pPr>
            <w:r w:rsidRPr="00A34388">
              <w:rPr>
                <w:sz w:val="16"/>
                <w:lang w:val="es-ES_tradnl"/>
              </w:rPr>
              <w:t xml:space="preserve">Entre las órdenes de servicio se incluyen los viajes oficiales y gastos conexos, atenciones sociales oficiales, el pago de honorarios, los servicios contractuales individuales, junto con una contribución a la revisión de las políticas sobre pasantes, becas y otras políticas de RR.HH.  </w:t>
            </w:r>
          </w:p>
        </w:tc>
        <w:tc>
          <w:tcPr>
            <w:tcW w:w="682" w:type="pct"/>
            <w:tcMar>
              <w:top w:w="110" w:type="dxa"/>
              <w:left w:w="108" w:type="dxa"/>
              <w:bottom w:w="0" w:type="dxa"/>
              <w:right w:w="108" w:type="dxa"/>
            </w:tcMar>
            <w:hideMark/>
          </w:tcPr>
          <w:p w:rsidR="009124B0" w:rsidRPr="00A34388" w:rsidRDefault="009124B0" w:rsidP="00730F86">
            <w:pPr>
              <w:keepNext/>
              <w:keepLines/>
              <w:jc w:val="center"/>
              <w:rPr>
                <w:rFonts w:cs="Arial"/>
                <w:bCs/>
                <w:color w:val="E36C0A" w:themeColor="accent6" w:themeShade="BF"/>
                <w:sz w:val="16"/>
                <w:szCs w:val="16"/>
                <w:lang w:val="es-ES_tradnl"/>
              </w:rPr>
            </w:pPr>
            <w:r w:rsidRPr="00A34388">
              <w:rPr>
                <w:color w:val="E36C0A" w:themeColor="accent6" w:themeShade="BF"/>
                <w:sz w:val="16"/>
                <w:lang w:val="es-ES_tradnl"/>
              </w:rPr>
              <w:t>Parcialmente logrado</w:t>
            </w:r>
          </w:p>
        </w:tc>
      </w:tr>
      <w:tr w:rsidR="009124B0" w:rsidRPr="00A34388" w:rsidTr="00730F86">
        <w:trPr>
          <w:cantSplit/>
        </w:trPr>
        <w:tc>
          <w:tcPr>
            <w:tcW w:w="893" w:type="pct"/>
          </w:tcPr>
          <w:p w:rsidR="009124B0" w:rsidRPr="00A34388" w:rsidRDefault="009124B0" w:rsidP="00730F86">
            <w:pPr>
              <w:rPr>
                <w:rFonts w:cs="Arial"/>
                <w:sz w:val="16"/>
                <w:szCs w:val="16"/>
                <w:lang w:val="es-ES_tradnl"/>
              </w:rPr>
            </w:pPr>
            <w:r w:rsidRPr="00332758">
              <w:rPr>
                <w:sz w:val="16"/>
                <w:lang w:val="es-ES_tradnl"/>
              </w:rPr>
              <w:t>La presentación de un informe financiero satisfactorio por parte de los Auditores Externos confirma la conformidad de las operaciones de contabilidad con los reglamentos, las reglas y las normas aplicables</w:t>
            </w:r>
          </w:p>
          <w:p w:rsidR="009124B0" w:rsidRPr="00A34388" w:rsidRDefault="009124B0" w:rsidP="00730F86">
            <w:pPr>
              <w:rPr>
                <w:rFonts w:cs="Arial"/>
                <w:sz w:val="16"/>
                <w:szCs w:val="16"/>
                <w:lang w:val="es-ES_tradnl"/>
              </w:rPr>
            </w:pPr>
          </w:p>
        </w:tc>
        <w:tc>
          <w:tcPr>
            <w:tcW w:w="1240" w:type="pct"/>
            <w:hideMark/>
          </w:tcPr>
          <w:p w:rsidR="009124B0" w:rsidRPr="00A34388" w:rsidRDefault="009124B0" w:rsidP="00730F86">
            <w:pPr>
              <w:rPr>
                <w:rFonts w:cs="Arial"/>
                <w:sz w:val="16"/>
                <w:szCs w:val="16"/>
                <w:lang w:val="es-ES_tradnl"/>
              </w:rPr>
            </w:pPr>
            <w:r w:rsidRPr="00332758">
              <w:rPr>
                <w:sz w:val="16"/>
                <w:lang w:val="es-ES_tradnl"/>
              </w:rPr>
              <w:t>Informe sin reservas del Auditor Externo.</w:t>
            </w:r>
          </w:p>
        </w:tc>
        <w:tc>
          <w:tcPr>
            <w:tcW w:w="662" w:type="pct"/>
            <w:tcMar>
              <w:top w:w="110" w:type="dxa"/>
              <w:left w:w="108" w:type="dxa"/>
              <w:bottom w:w="0" w:type="dxa"/>
              <w:right w:w="108" w:type="dxa"/>
            </w:tcMar>
            <w:hideMark/>
          </w:tcPr>
          <w:p w:rsidR="009124B0" w:rsidRPr="00A34388" w:rsidRDefault="009124B0" w:rsidP="00730F86">
            <w:pPr>
              <w:autoSpaceDE w:val="0"/>
              <w:autoSpaceDN w:val="0"/>
              <w:adjustRightInd w:val="0"/>
              <w:rPr>
                <w:rFonts w:cs="Arial"/>
                <w:sz w:val="16"/>
                <w:szCs w:val="16"/>
                <w:lang w:val="es-ES_tradnl"/>
              </w:rPr>
            </w:pPr>
            <w:r w:rsidRPr="00332758">
              <w:rPr>
                <w:sz w:val="16"/>
                <w:lang w:val="es-ES_tradnl"/>
              </w:rPr>
              <w:t>Informe sin reservas del Auditor Externo.</w:t>
            </w:r>
          </w:p>
        </w:tc>
        <w:tc>
          <w:tcPr>
            <w:tcW w:w="1522" w:type="pct"/>
            <w:shd w:val="clear" w:color="auto" w:fill="FFFFFF"/>
            <w:tcMar>
              <w:top w:w="110" w:type="dxa"/>
              <w:left w:w="108" w:type="dxa"/>
              <w:bottom w:w="0" w:type="dxa"/>
              <w:right w:w="108" w:type="dxa"/>
            </w:tcMar>
            <w:hideMark/>
          </w:tcPr>
          <w:p w:rsidR="009124B0" w:rsidRPr="00A34388" w:rsidRDefault="009124B0" w:rsidP="004B47EB">
            <w:pPr>
              <w:rPr>
                <w:rFonts w:cs="Arial"/>
                <w:sz w:val="16"/>
                <w:szCs w:val="16"/>
                <w:lang w:val="es-ES_tradnl"/>
              </w:rPr>
            </w:pPr>
            <w:r w:rsidRPr="00A34388">
              <w:rPr>
                <w:sz w:val="16"/>
                <w:lang w:val="es-ES_tradnl"/>
              </w:rPr>
              <w:t xml:space="preserve">Se recibió un informe sin reservas del Auditor Externo </w:t>
            </w:r>
            <w:r w:rsidR="004B47EB" w:rsidRPr="00A34388">
              <w:rPr>
                <w:sz w:val="16"/>
                <w:lang w:val="es-ES_tradnl"/>
              </w:rPr>
              <w:t xml:space="preserve">correspondiente a </w:t>
            </w:r>
            <w:r w:rsidRPr="00A34388">
              <w:rPr>
                <w:sz w:val="16"/>
                <w:lang w:val="es-ES_tradnl"/>
              </w:rPr>
              <w:t xml:space="preserve">2012.  En el momento de la publicación, los resultados de auditoría de 2013 todavía no se han divulgado. </w:t>
            </w:r>
          </w:p>
        </w:tc>
        <w:tc>
          <w:tcPr>
            <w:tcW w:w="682" w:type="pct"/>
            <w:tcMar>
              <w:top w:w="110" w:type="dxa"/>
              <w:left w:w="108" w:type="dxa"/>
              <w:bottom w:w="0" w:type="dxa"/>
              <w:right w:w="108" w:type="dxa"/>
            </w:tcMar>
            <w:hideMark/>
          </w:tcPr>
          <w:p w:rsidR="009124B0" w:rsidRPr="00A34388" w:rsidRDefault="009124B0" w:rsidP="00730F86">
            <w:pPr>
              <w:keepNext/>
              <w:keepLines/>
              <w:jc w:val="center"/>
              <w:rPr>
                <w:rFonts w:cs="Arial"/>
                <w:bCs/>
                <w:color w:val="E36C0A" w:themeColor="accent6" w:themeShade="BF"/>
                <w:sz w:val="16"/>
                <w:szCs w:val="16"/>
                <w:lang w:val="es-ES_tradnl"/>
              </w:rPr>
            </w:pPr>
            <w:r w:rsidRPr="00A34388">
              <w:rPr>
                <w:color w:val="404040" w:themeColor="text1" w:themeTint="BF"/>
                <w:sz w:val="16"/>
                <w:lang w:val="es-ES_tradnl"/>
              </w:rPr>
              <w:t>No mensurable</w:t>
            </w:r>
          </w:p>
        </w:tc>
      </w:tr>
    </w:tbl>
    <w:p w:rsidR="009124B0" w:rsidRPr="00A34388" w:rsidRDefault="009124B0" w:rsidP="009124B0">
      <w:pPr>
        <w:rPr>
          <w:rFonts w:cs="Arial"/>
          <w:sz w:val="16"/>
          <w:szCs w:val="16"/>
          <w:lang w:val="es-ES_tradnl"/>
        </w:rPr>
      </w:pPr>
    </w:p>
    <w:p w:rsidR="009124B0" w:rsidRPr="00A34388" w:rsidRDefault="009124B0" w:rsidP="009124B0">
      <w:pPr>
        <w:rPr>
          <w:rFonts w:cs="Arial"/>
          <w:sz w:val="16"/>
          <w:szCs w:val="16"/>
          <w:lang w:val="es-ES_tradnl"/>
        </w:rPr>
      </w:pPr>
    </w:p>
    <w:p w:rsidR="009124B0" w:rsidRPr="00A34388" w:rsidRDefault="009124B0" w:rsidP="009124B0">
      <w:pPr>
        <w:rPr>
          <w:rFonts w:cs="Arial"/>
          <w:sz w:val="22"/>
          <w:szCs w:val="22"/>
          <w:lang w:val="es-ES_tradnl"/>
        </w:rPr>
      </w:pPr>
      <w:r w:rsidRPr="00332758">
        <w:rPr>
          <w:sz w:val="22"/>
          <w:lang w:val="es-ES_tradnl"/>
        </w:rPr>
        <w:t>PRESUPUESTO Y GASTOS REALES</w:t>
      </w:r>
    </w:p>
    <w:p w:rsidR="009124B0" w:rsidRPr="00A34388" w:rsidRDefault="009124B0" w:rsidP="009124B0">
      <w:pPr>
        <w:rPr>
          <w:rFonts w:cs="Arial"/>
          <w:sz w:val="16"/>
          <w:szCs w:val="16"/>
          <w:lang w:val="es-ES_tradnl"/>
        </w:rPr>
      </w:pPr>
    </w:p>
    <w:p w:rsidR="009124B0" w:rsidRPr="00A34388" w:rsidRDefault="009124B0" w:rsidP="009124B0">
      <w:pPr>
        <w:pStyle w:val="NormalWeb"/>
        <w:spacing w:before="0" w:beforeAutospacing="0" w:after="0" w:afterAutospacing="0"/>
        <w:jc w:val="center"/>
        <w:rPr>
          <w:sz w:val="16"/>
          <w:lang w:val="es-ES_tradnl"/>
        </w:rPr>
      </w:pPr>
      <w:r w:rsidRPr="00A34388">
        <w:rPr>
          <w:color w:val="000000"/>
          <w:sz w:val="20"/>
          <w:lang w:val="es-ES_tradnl"/>
        </w:rPr>
        <w:t xml:space="preserve">Presupuesto y gastos reales (por resultado) </w:t>
      </w:r>
    </w:p>
    <w:p w:rsidR="009124B0" w:rsidRPr="00332758" w:rsidRDefault="009124B0" w:rsidP="009124B0">
      <w:pPr>
        <w:pStyle w:val="NormalWeb"/>
        <w:spacing w:before="0" w:beforeAutospacing="0" w:after="0" w:afterAutospacing="0"/>
        <w:jc w:val="center"/>
        <w:rPr>
          <w:i/>
          <w:iCs/>
          <w:sz w:val="20"/>
          <w:szCs w:val="22"/>
          <w:lang w:val="es-ES_tradnl"/>
        </w:rPr>
      </w:pPr>
      <w:r w:rsidRPr="00332758">
        <w:rPr>
          <w:i/>
          <w:sz w:val="20"/>
          <w:lang w:val="es-ES_tradnl"/>
        </w:rPr>
        <w:t>(en miles de francos suizos)</w:t>
      </w:r>
    </w:p>
    <w:p w:rsidR="009124B0" w:rsidRPr="00A34388" w:rsidRDefault="009124B0" w:rsidP="009124B0">
      <w:pPr>
        <w:pStyle w:val="NormalWeb"/>
        <w:spacing w:before="0" w:beforeAutospacing="0" w:after="0" w:afterAutospacing="0"/>
        <w:jc w:val="center"/>
        <w:rPr>
          <w:i/>
          <w:iCs/>
          <w:color w:val="000000"/>
          <w:sz w:val="16"/>
          <w:szCs w:val="16"/>
          <w:lang w:val="es-ES_tradnl"/>
        </w:rPr>
      </w:pPr>
    </w:p>
    <w:tbl>
      <w:tblPr>
        <w:tblW w:w="0" w:type="auto"/>
        <w:tblInd w:w="103" w:type="dxa"/>
        <w:tblLayout w:type="fixed"/>
        <w:tblLook w:val="04A0" w:firstRow="1" w:lastRow="0" w:firstColumn="1" w:lastColumn="0" w:noHBand="0" w:noVBand="1"/>
      </w:tblPr>
      <w:tblGrid>
        <w:gridCol w:w="537"/>
        <w:gridCol w:w="4430"/>
        <w:gridCol w:w="1464"/>
        <w:gridCol w:w="1465"/>
        <w:gridCol w:w="1465"/>
      </w:tblGrid>
      <w:tr w:rsidR="009124B0" w:rsidRPr="00A34388" w:rsidTr="00730F86">
        <w:tc>
          <w:tcPr>
            <w:tcW w:w="496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Número del resultado previsto y descripción</w:t>
            </w:r>
          </w:p>
        </w:tc>
        <w:tc>
          <w:tcPr>
            <w:tcW w:w="1464" w:type="dxa"/>
            <w:tcBorders>
              <w:top w:val="single" w:sz="4" w:space="0" w:color="auto"/>
              <w:left w:val="nil"/>
              <w:bottom w:val="single" w:sz="4" w:space="0" w:color="auto"/>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aprobado 2012/13</w:t>
            </w:r>
          </w:p>
        </w:tc>
        <w:tc>
          <w:tcPr>
            <w:tcW w:w="1465" w:type="dxa"/>
            <w:tcBorders>
              <w:top w:val="single" w:sz="4" w:space="0" w:color="auto"/>
              <w:left w:val="nil"/>
              <w:bottom w:val="single" w:sz="4" w:space="0" w:color="auto"/>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465" w:type="dxa"/>
            <w:tcBorders>
              <w:top w:val="single" w:sz="4" w:space="0" w:color="auto"/>
              <w:left w:val="nil"/>
              <w:bottom w:val="single" w:sz="4" w:space="0" w:color="auto"/>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A34388">
              <w:rPr>
                <w:color w:val="000000"/>
                <w:sz w:val="16"/>
                <w:lang w:val="es-ES_tradnl"/>
              </w:rPr>
              <w:t>Gastos 2012/13</w:t>
            </w:r>
          </w:p>
        </w:tc>
      </w:tr>
      <w:tr w:rsidR="009124B0" w:rsidRPr="00A34388" w:rsidTr="00730F86">
        <w:tc>
          <w:tcPr>
            <w:tcW w:w="537" w:type="dxa"/>
            <w:tcBorders>
              <w:top w:val="nil"/>
              <w:left w:val="single" w:sz="4" w:space="0" w:color="auto"/>
              <w:bottom w:val="single" w:sz="4" w:space="0" w:color="auto"/>
              <w:right w:val="nil"/>
            </w:tcBorders>
            <w:shd w:val="clear" w:color="auto" w:fill="FFFFFF"/>
            <w:noWrap/>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IX.2</w:t>
            </w:r>
          </w:p>
        </w:tc>
        <w:tc>
          <w:tcPr>
            <w:tcW w:w="4430" w:type="dxa"/>
            <w:tcBorders>
              <w:top w:val="nil"/>
              <w:left w:val="nil"/>
              <w:bottom w:val="single" w:sz="4" w:space="0" w:color="auto"/>
              <w:right w:val="nil"/>
            </w:tcBorders>
            <w:shd w:val="clear" w:color="auto" w:fill="FFFFFF"/>
            <w:hideMark/>
          </w:tcPr>
          <w:p w:rsidR="009124B0" w:rsidRPr="00A34388" w:rsidRDefault="009124B0" w:rsidP="00730F86">
            <w:pPr>
              <w:spacing w:before="80" w:after="80"/>
              <w:rPr>
                <w:rFonts w:cs="Arial"/>
                <w:color w:val="808080"/>
                <w:sz w:val="16"/>
                <w:szCs w:val="16"/>
                <w:lang w:val="es-ES_tradnl"/>
              </w:rPr>
            </w:pPr>
            <w:r w:rsidRPr="00332758">
              <w:rPr>
                <w:sz w:val="16"/>
                <w:lang w:val="es-ES_tradnl"/>
              </w:rPr>
              <w:t>Mayor eficacia y eficiencia en la planificación, el procesamiento, la ejecución, la evaluación y la presentación de informes basados en los resultados en los ámbitos financiero y programático.</w:t>
            </w:r>
          </w:p>
        </w:tc>
        <w:tc>
          <w:tcPr>
            <w:tcW w:w="1464" w:type="dxa"/>
            <w:tcBorders>
              <w:top w:val="nil"/>
              <w:left w:val="nil"/>
              <w:bottom w:val="single" w:sz="4" w:space="0" w:color="auto"/>
              <w:right w:val="nil"/>
            </w:tcBorders>
            <w:shd w:val="clear" w:color="auto" w:fill="FFFFFF"/>
            <w:vAlign w:val="center"/>
            <w:hideMark/>
          </w:tcPr>
          <w:p w:rsidR="009124B0" w:rsidRPr="00A34388" w:rsidRDefault="009124B0" w:rsidP="00730F86">
            <w:pPr>
              <w:spacing w:before="80" w:after="80"/>
              <w:jc w:val="right"/>
              <w:rPr>
                <w:rFonts w:cs="Arial"/>
                <w:color w:val="808080"/>
                <w:sz w:val="16"/>
                <w:szCs w:val="16"/>
                <w:lang w:val="es-ES_tradnl"/>
              </w:rPr>
            </w:pPr>
            <w:r w:rsidRPr="00332758">
              <w:rPr>
                <w:sz w:val="16"/>
                <w:lang w:val="es-ES_tradnl"/>
              </w:rPr>
              <w:t>18</w:t>
            </w:r>
            <w:r w:rsidR="00011C5F">
              <w:rPr>
                <w:sz w:val="16"/>
                <w:lang w:val="es-ES_tradnl"/>
              </w:rPr>
              <w:t>.</w:t>
            </w:r>
            <w:r w:rsidRPr="00332758">
              <w:rPr>
                <w:sz w:val="16"/>
                <w:lang w:val="es-ES_tradnl"/>
              </w:rPr>
              <w:t xml:space="preserve">901 </w:t>
            </w:r>
          </w:p>
        </w:tc>
        <w:tc>
          <w:tcPr>
            <w:tcW w:w="1465" w:type="dxa"/>
            <w:tcBorders>
              <w:top w:val="nil"/>
              <w:left w:val="nil"/>
              <w:bottom w:val="single" w:sz="4" w:space="0" w:color="auto"/>
              <w:right w:val="nil"/>
            </w:tcBorders>
            <w:shd w:val="clear" w:color="auto" w:fill="FFFFFF"/>
            <w:vAlign w:val="center"/>
            <w:hideMark/>
          </w:tcPr>
          <w:p w:rsidR="009124B0" w:rsidRPr="00A34388" w:rsidRDefault="009124B0" w:rsidP="00730F86">
            <w:pPr>
              <w:spacing w:before="80" w:after="80"/>
              <w:jc w:val="right"/>
              <w:rPr>
                <w:rFonts w:cs="Arial"/>
                <w:color w:val="808080"/>
                <w:sz w:val="16"/>
                <w:szCs w:val="16"/>
                <w:lang w:val="es-ES_tradnl"/>
              </w:rPr>
            </w:pPr>
            <w:r w:rsidRPr="00332758">
              <w:rPr>
                <w:sz w:val="16"/>
                <w:lang w:val="es-ES_tradnl"/>
              </w:rPr>
              <w:t>19</w:t>
            </w:r>
            <w:r w:rsidR="00011C5F">
              <w:rPr>
                <w:sz w:val="16"/>
                <w:lang w:val="es-ES_tradnl"/>
              </w:rPr>
              <w:t>.</w:t>
            </w:r>
            <w:r w:rsidRPr="00332758">
              <w:rPr>
                <w:sz w:val="16"/>
                <w:lang w:val="es-ES_tradnl"/>
              </w:rPr>
              <w:t xml:space="preserve">794 </w:t>
            </w:r>
          </w:p>
        </w:tc>
        <w:tc>
          <w:tcPr>
            <w:tcW w:w="1465" w:type="dxa"/>
            <w:tcBorders>
              <w:top w:val="nil"/>
              <w:left w:val="nil"/>
              <w:bottom w:val="single" w:sz="4" w:space="0" w:color="auto"/>
              <w:right w:val="single" w:sz="4" w:space="0" w:color="auto"/>
            </w:tcBorders>
            <w:shd w:val="clear" w:color="auto" w:fill="FFFFFF"/>
            <w:vAlign w:val="center"/>
            <w:hideMark/>
          </w:tcPr>
          <w:p w:rsidR="009124B0" w:rsidRPr="00332758" w:rsidRDefault="009124B0" w:rsidP="00730F86">
            <w:pPr>
              <w:spacing w:before="80" w:after="80"/>
              <w:jc w:val="right"/>
              <w:rPr>
                <w:rFonts w:cs="Arial"/>
                <w:sz w:val="16"/>
                <w:szCs w:val="16"/>
                <w:lang w:val="es-ES_tradnl"/>
              </w:rPr>
            </w:pPr>
            <w:r w:rsidRPr="00332758">
              <w:rPr>
                <w:sz w:val="16"/>
                <w:lang w:val="es-ES_tradnl"/>
              </w:rPr>
              <w:t>19</w:t>
            </w:r>
            <w:r w:rsidR="00011C5F">
              <w:rPr>
                <w:sz w:val="16"/>
                <w:lang w:val="es-ES_tradnl"/>
              </w:rPr>
              <w:t>.</w:t>
            </w:r>
            <w:r w:rsidRPr="00332758">
              <w:rPr>
                <w:sz w:val="16"/>
                <w:lang w:val="es-ES_tradnl"/>
              </w:rPr>
              <w:t xml:space="preserve">314 </w:t>
            </w:r>
          </w:p>
        </w:tc>
      </w:tr>
      <w:tr w:rsidR="009124B0" w:rsidRPr="00A34388" w:rsidTr="00730F86">
        <w:tc>
          <w:tcPr>
            <w:tcW w:w="537" w:type="dxa"/>
            <w:tcBorders>
              <w:top w:val="nil"/>
              <w:left w:val="single" w:sz="4" w:space="0" w:color="auto"/>
              <w:bottom w:val="single" w:sz="4" w:space="0" w:color="auto"/>
              <w:right w:val="nil"/>
            </w:tcBorders>
            <w:shd w:val="clear" w:color="auto" w:fill="CCFFFF"/>
            <w:noWrap/>
            <w:vAlign w:val="bottom"/>
            <w:hideMark/>
          </w:tcPr>
          <w:p w:rsidR="009124B0" w:rsidRPr="00A34388" w:rsidRDefault="009124B0" w:rsidP="00730F86">
            <w:pPr>
              <w:spacing w:before="80" w:after="80"/>
              <w:jc w:val="center"/>
              <w:rPr>
                <w:rFonts w:cs="Arial"/>
                <w:b/>
                <w:bCs/>
                <w:color w:val="808080"/>
                <w:sz w:val="16"/>
                <w:szCs w:val="16"/>
                <w:lang w:val="es-ES_tradnl"/>
              </w:rPr>
            </w:pPr>
            <w:r w:rsidRPr="00332758">
              <w:rPr>
                <w:b/>
                <w:sz w:val="16"/>
                <w:lang w:val="es-ES_tradnl"/>
              </w:rPr>
              <w:t> </w:t>
            </w:r>
          </w:p>
        </w:tc>
        <w:tc>
          <w:tcPr>
            <w:tcW w:w="4430" w:type="dxa"/>
            <w:tcBorders>
              <w:top w:val="nil"/>
              <w:left w:val="nil"/>
              <w:bottom w:val="single" w:sz="4" w:space="0" w:color="auto"/>
              <w:right w:val="nil"/>
            </w:tcBorders>
            <w:shd w:val="clear" w:color="auto" w:fill="CCFFFF"/>
            <w:noWrap/>
            <w:vAlign w:val="center"/>
            <w:hideMark/>
          </w:tcPr>
          <w:p w:rsidR="009124B0" w:rsidRPr="00A34388" w:rsidRDefault="009124B0" w:rsidP="00730F86">
            <w:pPr>
              <w:spacing w:before="80" w:after="80"/>
              <w:rPr>
                <w:rFonts w:cs="Arial"/>
                <w:b/>
                <w:bCs/>
                <w:color w:val="808080"/>
                <w:sz w:val="16"/>
                <w:szCs w:val="16"/>
                <w:lang w:val="es-ES_tradnl"/>
              </w:rPr>
            </w:pPr>
            <w:r w:rsidRPr="00332758">
              <w:rPr>
                <w:b/>
                <w:sz w:val="16"/>
                <w:lang w:val="es-ES_tradnl"/>
              </w:rPr>
              <w:t>TOTAL:</w:t>
            </w:r>
          </w:p>
        </w:tc>
        <w:tc>
          <w:tcPr>
            <w:tcW w:w="1464" w:type="dxa"/>
            <w:tcBorders>
              <w:top w:val="nil"/>
              <w:left w:val="single" w:sz="4" w:space="0" w:color="auto"/>
              <w:bottom w:val="single" w:sz="4" w:space="0" w:color="auto"/>
              <w:right w:val="single" w:sz="4" w:space="0" w:color="auto"/>
            </w:tcBorders>
            <w:shd w:val="clear" w:color="auto" w:fill="CCFFFF"/>
            <w:vAlign w:val="center"/>
            <w:hideMark/>
          </w:tcPr>
          <w:p w:rsidR="009124B0" w:rsidRPr="00A34388" w:rsidRDefault="009124B0" w:rsidP="00730F86">
            <w:pPr>
              <w:spacing w:before="80" w:after="80"/>
              <w:jc w:val="right"/>
              <w:rPr>
                <w:rFonts w:cs="Arial"/>
                <w:b/>
                <w:bCs/>
                <w:color w:val="808080"/>
                <w:sz w:val="16"/>
                <w:szCs w:val="16"/>
                <w:lang w:val="es-ES_tradnl"/>
              </w:rPr>
            </w:pPr>
            <w:r w:rsidRPr="00332758">
              <w:rPr>
                <w:b/>
                <w:sz w:val="16"/>
                <w:lang w:val="es-ES_tradnl"/>
              </w:rPr>
              <w:t>18</w:t>
            </w:r>
            <w:r w:rsidR="00011C5F">
              <w:rPr>
                <w:b/>
                <w:sz w:val="16"/>
                <w:lang w:val="es-ES_tradnl"/>
              </w:rPr>
              <w:t>.</w:t>
            </w:r>
            <w:r w:rsidRPr="00332758">
              <w:rPr>
                <w:b/>
                <w:sz w:val="16"/>
                <w:lang w:val="es-ES_tradnl"/>
              </w:rPr>
              <w:t>901</w:t>
            </w:r>
          </w:p>
        </w:tc>
        <w:tc>
          <w:tcPr>
            <w:tcW w:w="1465" w:type="dxa"/>
            <w:tcBorders>
              <w:top w:val="nil"/>
              <w:left w:val="nil"/>
              <w:bottom w:val="single" w:sz="4" w:space="0" w:color="auto"/>
              <w:right w:val="single" w:sz="4" w:space="0" w:color="auto"/>
            </w:tcBorders>
            <w:shd w:val="clear" w:color="auto" w:fill="CCFFFF"/>
            <w:noWrap/>
            <w:vAlign w:val="center"/>
            <w:hideMark/>
          </w:tcPr>
          <w:p w:rsidR="009124B0" w:rsidRPr="00A34388" w:rsidRDefault="009124B0" w:rsidP="00730F86">
            <w:pPr>
              <w:spacing w:before="80" w:after="80"/>
              <w:jc w:val="right"/>
              <w:rPr>
                <w:rFonts w:cs="Arial"/>
                <w:b/>
                <w:bCs/>
                <w:color w:val="808080"/>
                <w:sz w:val="16"/>
                <w:szCs w:val="16"/>
                <w:lang w:val="es-ES_tradnl"/>
              </w:rPr>
            </w:pPr>
            <w:r w:rsidRPr="00332758">
              <w:rPr>
                <w:b/>
                <w:sz w:val="16"/>
                <w:lang w:val="es-ES_tradnl"/>
              </w:rPr>
              <w:t>19</w:t>
            </w:r>
            <w:r w:rsidR="00011C5F">
              <w:rPr>
                <w:b/>
                <w:sz w:val="16"/>
                <w:lang w:val="es-ES_tradnl"/>
              </w:rPr>
              <w:t>.</w:t>
            </w:r>
            <w:r w:rsidRPr="00332758">
              <w:rPr>
                <w:b/>
                <w:sz w:val="16"/>
                <w:lang w:val="es-ES_tradnl"/>
              </w:rPr>
              <w:t>794</w:t>
            </w:r>
          </w:p>
        </w:tc>
        <w:tc>
          <w:tcPr>
            <w:tcW w:w="1465" w:type="dxa"/>
            <w:tcBorders>
              <w:top w:val="nil"/>
              <w:left w:val="nil"/>
              <w:bottom w:val="single" w:sz="4" w:space="0" w:color="auto"/>
              <w:right w:val="single" w:sz="4" w:space="0" w:color="auto"/>
            </w:tcBorders>
            <w:shd w:val="clear" w:color="auto" w:fill="CCFFFF"/>
            <w:vAlign w:val="center"/>
            <w:hideMark/>
          </w:tcPr>
          <w:p w:rsidR="009124B0" w:rsidRPr="00332758" w:rsidRDefault="009124B0" w:rsidP="00730F86">
            <w:pPr>
              <w:spacing w:before="80" w:after="80"/>
              <w:jc w:val="right"/>
              <w:rPr>
                <w:rFonts w:cs="Arial"/>
                <w:b/>
                <w:bCs/>
                <w:sz w:val="16"/>
                <w:szCs w:val="16"/>
                <w:lang w:val="es-ES_tradnl"/>
              </w:rPr>
            </w:pPr>
            <w:r w:rsidRPr="00332758">
              <w:rPr>
                <w:b/>
                <w:sz w:val="16"/>
                <w:lang w:val="es-ES_tradnl"/>
              </w:rPr>
              <w:t>19</w:t>
            </w:r>
            <w:r w:rsidR="00011C5F">
              <w:rPr>
                <w:b/>
                <w:sz w:val="16"/>
                <w:lang w:val="es-ES_tradnl"/>
              </w:rPr>
              <w:t>.</w:t>
            </w:r>
            <w:r w:rsidRPr="00332758">
              <w:rPr>
                <w:b/>
                <w:sz w:val="16"/>
                <w:lang w:val="es-ES_tradnl"/>
              </w:rPr>
              <w:t>314</w:t>
            </w:r>
          </w:p>
        </w:tc>
      </w:tr>
    </w:tbl>
    <w:p w:rsidR="009124B0" w:rsidRPr="00A34388" w:rsidRDefault="009124B0" w:rsidP="009124B0">
      <w:pPr>
        <w:rPr>
          <w:rFonts w:cs="Arial"/>
          <w:sz w:val="22"/>
          <w:szCs w:val="22"/>
          <w:lang w:val="es-ES_tradnl"/>
        </w:rPr>
      </w:pPr>
    </w:p>
    <w:p w:rsidR="009124B0" w:rsidRPr="00A34388" w:rsidRDefault="009124B0" w:rsidP="009124B0">
      <w:pPr>
        <w:rPr>
          <w:rFonts w:cs="Arial"/>
          <w:sz w:val="22"/>
          <w:szCs w:val="22"/>
          <w:lang w:val="es-ES_tradnl"/>
        </w:rPr>
      </w:pPr>
    </w:p>
    <w:p w:rsidR="00011C5F" w:rsidRDefault="00011C5F">
      <w:pPr>
        <w:rPr>
          <w:rFonts w:cs="Arial"/>
          <w:color w:val="000000"/>
          <w:szCs w:val="18"/>
          <w:lang w:val="es-ES_tradnl"/>
        </w:rPr>
      </w:pPr>
      <w:r>
        <w:rPr>
          <w:color w:val="000000"/>
          <w:lang w:val="es-ES_tradnl"/>
        </w:rPr>
        <w:br w:type="page"/>
      </w:r>
    </w:p>
    <w:p w:rsidR="009124B0" w:rsidRPr="00A34388" w:rsidRDefault="009124B0" w:rsidP="009124B0">
      <w:pPr>
        <w:pStyle w:val="NormalWeb"/>
        <w:spacing w:before="0" w:beforeAutospacing="0" w:after="0" w:afterAutospacing="0"/>
        <w:jc w:val="center"/>
        <w:rPr>
          <w:sz w:val="20"/>
          <w:szCs w:val="20"/>
          <w:lang w:val="es-ES_tradnl"/>
        </w:rPr>
      </w:pPr>
      <w:r w:rsidRPr="00A34388">
        <w:rPr>
          <w:color w:val="000000"/>
          <w:sz w:val="20"/>
          <w:lang w:val="es-ES_tradnl"/>
        </w:rPr>
        <w:lastRenderedPageBreak/>
        <w:t xml:space="preserve">Presupuesto y gastos reales (de personal y no relativos al personal) </w:t>
      </w:r>
    </w:p>
    <w:p w:rsidR="009124B0" w:rsidRPr="00332758" w:rsidRDefault="009124B0" w:rsidP="009124B0">
      <w:pPr>
        <w:pStyle w:val="NormalWeb"/>
        <w:spacing w:before="0" w:beforeAutospacing="0" w:after="0" w:afterAutospacing="0"/>
        <w:jc w:val="center"/>
        <w:rPr>
          <w:sz w:val="20"/>
          <w:szCs w:val="20"/>
          <w:lang w:val="es-ES_tradnl"/>
        </w:rPr>
      </w:pPr>
      <w:r w:rsidRPr="00332758">
        <w:rPr>
          <w:i/>
          <w:sz w:val="20"/>
          <w:lang w:val="es-ES_tradnl"/>
        </w:rPr>
        <w:t>(en miles de francos suizos)</w:t>
      </w:r>
    </w:p>
    <w:p w:rsidR="009124B0" w:rsidRPr="00A34388" w:rsidRDefault="009124B0" w:rsidP="009124B0">
      <w:pPr>
        <w:rPr>
          <w:rFonts w:cs="Arial"/>
          <w:sz w:val="22"/>
          <w:szCs w:val="22"/>
          <w:lang w:val="es-ES_tradnl"/>
        </w:rPr>
      </w:pPr>
    </w:p>
    <w:tbl>
      <w:tblPr>
        <w:tblW w:w="0" w:type="auto"/>
        <w:tblInd w:w="93" w:type="dxa"/>
        <w:tblLook w:val="04A0" w:firstRow="1" w:lastRow="0" w:firstColumn="1" w:lastColumn="0" w:noHBand="0" w:noVBand="1"/>
      </w:tblPr>
      <w:tblGrid>
        <w:gridCol w:w="2850"/>
        <w:gridCol w:w="1630"/>
        <w:gridCol w:w="1630"/>
        <w:gridCol w:w="1630"/>
        <w:gridCol w:w="1631"/>
      </w:tblGrid>
      <w:tr w:rsidR="009124B0" w:rsidRPr="00A34388" w:rsidTr="00730F86">
        <w:tc>
          <w:tcPr>
            <w:tcW w:w="285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9124B0" w:rsidRPr="00A34388" w:rsidRDefault="009124B0" w:rsidP="00730F86">
            <w:pPr>
              <w:spacing w:before="80" w:after="80"/>
              <w:rPr>
                <w:rFonts w:cs="Arial"/>
                <w:color w:val="000000"/>
                <w:sz w:val="16"/>
                <w:szCs w:val="16"/>
                <w:lang w:val="es-ES_tradnl"/>
              </w:rPr>
            </w:pPr>
            <w:r w:rsidRPr="00A34388">
              <w:rPr>
                <w:color w:val="000000"/>
                <w:sz w:val="16"/>
                <w:lang w:val="es-ES_tradnl"/>
              </w:rPr>
              <w:t> </w:t>
            </w:r>
          </w:p>
        </w:tc>
        <w:tc>
          <w:tcPr>
            <w:tcW w:w="1630" w:type="dxa"/>
            <w:tcBorders>
              <w:top w:val="single" w:sz="4" w:space="0" w:color="auto"/>
              <w:left w:val="nil"/>
              <w:bottom w:val="nil"/>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808080"/>
                <w:sz w:val="16"/>
                <w:szCs w:val="16"/>
                <w:lang w:val="es-ES_tradnl"/>
              </w:rPr>
            </w:pPr>
            <w:r w:rsidRPr="00332758">
              <w:rPr>
                <w:sz w:val="16"/>
                <w:lang w:val="es-ES_tradnl"/>
              </w:rPr>
              <w:t>Presupuesto aprobado 2012/13</w:t>
            </w:r>
          </w:p>
        </w:tc>
        <w:tc>
          <w:tcPr>
            <w:tcW w:w="1630" w:type="dxa"/>
            <w:tcBorders>
              <w:top w:val="single" w:sz="4" w:space="0" w:color="auto"/>
              <w:left w:val="nil"/>
              <w:bottom w:val="nil"/>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Presupuesto 2012/13 después de las transferencias</w:t>
            </w:r>
          </w:p>
        </w:tc>
        <w:tc>
          <w:tcPr>
            <w:tcW w:w="1630" w:type="dxa"/>
            <w:tcBorders>
              <w:top w:val="single" w:sz="4" w:space="0" w:color="auto"/>
              <w:left w:val="nil"/>
              <w:bottom w:val="nil"/>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808080"/>
                <w:sz w:val="16"/>
                <w:szCs w:val="16"/>
                <w:lang w:val="es-ES_tradnl"/>
              </w:rPr>
            </w:pPr>
            <w:r w:rsidRPr="00332758">
              <w:rPr>
                <w:sz w:val="16"/>
                <w:lang w:val="es-ES_tradnl"/>
              </w:rPr>
              <w:t>Gastos en 2012/13</w:t>
            </w:r>
          </w:p>
        </w:tc>
        <w:tc>
          <w:tcPr>
            <w:tcW w:w="1631" w:type="dxa"/>
            <w:tcBorders>
              <w:top w:val="single" w:sz="4" w:space="0" w:color="auto"/>
              <w:left w:val="nil"/>
              <w:bottom w:val="nil"/>
              <w:right w:val="single" w:sz="4" w:space="0" w:color="auto"/>
            </w:tcBorders>
            <w:shd w:val="clear" w:color="auto" w:fill="CCFFFF"/>
            <w:vAlign w:val="center"/>
            <w:hideMark/>
          </w:tcPr>
          <w:p w:rsidR="009124B0" w:rsidRPr="00A34388" w:rsidRDefault="009124B0" w:rsidP="00730F86">
            <w:pPr>
              <w:spacing w:before="80" w:after="80"/>
              <w:jc w:val="center"/>
              <w:rPr>
                <w:rFonts w:cs="Arial"/>
                <w:bCs/>
                <w:color w:val="000000"/>
                <w:sz w:val="16"/>
                <w:szCs w:val="16"/>
                <w:lang w:val="es-ES_tradnl"/>
              </w:rPr>
            </w:pPr>
            <w:r w:rsidRPr="00332758">
              <w:rPr>
                <w:sz w:val="16"/>
                <w:lang w:val="es-ES_tradnl"/>
              </w:rPr>
              <w:t>Índice de utilización</w:t>
            </w:r>
          </w:p>
        </w:tc>
      </w:tr>
      <w:tr w:rsidR="009124B0" w:rsidRPr="00A34388" w:rsidTr="00730F86">
        <w:tc>
          <w:tcPr>
            <w:tcW w:w="2850" w:type="dxa"/>
            <w:tcBorders>
              <w:top w:val="nil"/>
              <w:left w:val="single" w:sz="4" w:space="0" w:color="auto"/>
              <w:bottom w:val="single" w:sz="4" w:space="0" w:color="auto"/>
              <w:right w:val="single" w:sz="4" w:space="0" w:color="auto"/>
            </w:tcBorders>
            <w:noWrap/>
            <w:vAlign w:val="center"/>
            <w:hideMark/>
          </w:tcPr>
          <w:p w:rsidR="009124B0" w:rsidRPr="00A34388" w:rsidRDefault="009124B0" w:rsidP="00730F86">
            <w:pPr>
              <w:spacing w:before="80" w:after="80"/>
              <w:rPr>
                <w:rFonts w:cs="Arial"/>
                <w:color w:val="808080"/>
                <w:sz w:val="16"/>
                <w:szCs w:val="16"/>
                <w:lang w:val="es-ES_tradnl"/>
              </w:rPr>
            </w:pPr>
            <w:r w:rsidRPr="00332758">
              <w:rPr>
                <w:sz w:val="16"/>
                <w:lang w:val="es-ES_tradnl"/>
              </w:rPr>
              <w:t xml:space="preserve">Recursos de personal  </w:t>
            </w:r>
          </w:p>
        </w:tc>
        <w:tc>
          <w:tcPr>
            <w:tcW w:w="1630" w:type="dxa"/>
            <w:tcBorders>
              <w:top w:val="single" w:sz="4" w:space="0" w:color="auto"/>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16</w:t>
            </w:r>
            <w:r w:rsidR="00011C5F">
              <w:rPr>
                <w:sz w:val="16"/>
                <w:lang w:val="es-ES_tradnl"/>
              </w:rPr>
              <w:t>.</w:t>
            </w:r>
            <w:r w:rsidRPr="00332758">
              <w:rPr>
                <w:sz w:val="16"/>
                <w:lang w:val="es-ES_tradnl"/>
              </w:rPr>
              <w:t>760</w:t>
            </w:r>
          </w:p>
        </w:tc>
        <w:tc>
          <w:tcPr>
            <w:tcW w:w="1630" w:type="dxa"/>
            <w:tcBorders>
              <w:top w:val="single" w:sz="4" w:space="0" w:color="auto"/>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17</w:t>
            </w:r>
            <w:r w:rsidR="00011C5F">
              <w:rPr>
                <w:sz w:val="16"/>
                <w:lang w:val="es-ES_tradnl"/>
              </w:rPr>
              <w:t>.</w:t>
            </w:r>
            <w:r w:rsidRPr="00332758">
              <w:rPr>
                <w:sz w:val="16"/>
                <w:lang w:val="es-ES_tradnl"/>
              </w:rPr>
              <w:t>498</w:t>
            </w:r>
          </w:p>
        </w:tc>
        <w:tc>
          <w:tcPr>
            <w:tcW w:w="1630" w:type="dxa"/>
            <w:tcBorders>
              <w:top w:val="single" w:sz="4" w:space="0" w:color="auto"/>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17</w:t>
            </w:r>
            <w:r w:rsidR="00011C5F">
              <w:rPr>
                <w:sz w:val="16"/>
                <w:lang w:val="es-ES_tradnl"/>
              </w:rPr>
              <w:t>.</w:t>
            </w:r>
            <w:r w:rsidRPr="00332758">
              <w:rPr>
                <w:sz w:val="16"/>
                <w:lang w:val="es-ES_tradnl"/>
              </w:rPr>
              <w:t>498</w:t>
            </w:r>
          </w:p>
        </w:tc>
        <w:tc>
          <w:tcPr>
            <w:tcW w:w="1631" w:type="dxa"/>
            <w:tcBorders>
              <w:top w:val="single" w:sz="4" w:space="0" w:color="auto"/>
              <w:left w:val="nil"/>
              <w:bottom w:val="single" w:sz="4" w:space="0" w:color="auto"/>
              <w:right w:val="single" w:sz="4" w:space="0" w:color="auto"/>
            </w:tcBorders>
            <w:vAlign w:val="center"/>
            <w:hideMark/>
          </w:tcPr>
          <w:p w:rsidR="009124B0" w:rsidRPr="00332758" w:rsidRDefault="009124B0" w:rsidP="00730F86">
            <w:pPr>
              <w:spacing w:before="80" w:after="80"/>
              <w:jc w:val="center"/>
              <w:rPr>
                <w:rFonts w:cs="Arial"/>
                <w:sz w:val="16"/>
                <w:szCs w:val="16"/>
                <w:lang w:val="es-ES_tradnl"/>
              </w:rPr>
            </w:pPr>
            <w:r w:rsidRPr="00332758">
              <w:rPr>
                <w:sz w:val="16"/>
                <w:lang w:val="es-ES_tradnl"/>
              </w:rPr>
              <w:t>100%</w:t>
            </w:r>
          </w:p>
        </w:tc>
      </w:tr>
      <w:tr w:rsidR="009124B0" w:rsidRPr="00A34388" w:rsidTr="00730F86">
        <w:tc>
          <w:tcPr>
            <w:tcW w:w="2850" w:type="dxa"/>
            <w:tcBorders>
              <w:top w:val="nil"/>
              <w:left w:val="single" w:sz="4" w:space="0" w:color="auto"/>
              <w:bottom w:val="single" w:sz="4" w:space="0" w:color="auto"/>
              <w:right w:val="single" w:sz="4" w:space="0" w:color="auto"/>
            </w:tcBorders>
            <w:noWrap/>
            <w:vAlign w:val="center"/>
            <w:hideMark/>
          </w:tcPr>
          <w:p w:rsidR="009124B0" w:rsidRPr="00A34388" w:rsidRDefault="009124B0" w:rsidP="00730F86">
            <w:pPr>
              <w:spacing w:before="80" w:after="80"/>
              <w:rPr>
                <w:rFonts w:cs="Arial"/>
                <w:color w:val="808080"/>
                <w:sz w:val="16"/>
                <w:szCs w:val="16"/>
                <w:lang w:val="es-ES_tradnl"/>
              </w:rPr>
            </w:pPr>
            <w:r w:rsidRPr="00332758">
              <w:rPr>
                <w:sz w:val="16"/>
                <w:lang w:val="es-ES_tradnl"/>
              </w:rPr>
              <w:t xml:space="preserve">Recursos no relativos al personal </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2</w:t>
            </w:r>
            <w:r w:rsidR="00011C5F">
              <w:rPr>
                <w:sz w:val="16"/>
                <w:lang w:val="es-ES_tradnl"/>
              </w:rPr>
              <w:t>.</w:t>
            </w:r>
            <w:r w:rsidRPr="00332758">
              <w:rPr>
                <w:sz w:val="16"/>
                <w:lang w:val="es-ES_tradnl"/>
              </w:rPr>
              <w:t>141</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2</w:t>
            </w:r>
            <w:r w:rsidR="00011C5F">
              <w:rPr>
                <w:sz w:val="16"/>
                <w:lang w:val="es-ES_tradnl"/>
              </w:rPr>
              <w:t>.</w:t>
            </w:r>
            <w:r w:rsidRPr="00332758">
              <w:rPr>
                <w:sz w:val="16"/>
                <w:lang w:val="es-ES_tradnl"/>
              </w:rPr>
              <w:t>296</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color w:val="808080"/>
                <w:sz w:val="16"/>
                <w:szCs w:val="16"/>
                <w:lang w:val="es-ES_tradnl"/>
              </w:rPr>
            </w:pPr>
            <w:r w:rsidRPr="00332758">
              <w:rPr>
                <w:sz w:val="16"/>
                <w:lang w:val="es-ES_tradnl"/>
              </w:rPr>
              <w:t>1</w:t>
            </w:r>
            <w:r w:rsidR="00011C5F">
              <w:rPr>
                <w:sz w:val="16"/>
                <w:lang w:val="es-ES_tradnl"/>
              </w:rPr>
              <w:t>.</w:t>
            </w:r>
            <w:r w:rsidRPr="00332758">
              <w:rPr>
                <w:sz w:val="16"/>
                <w:lang w:val="es-ES_tradnl"/>
              </w:rPr>
              <w:t>816</w:t>
            </w:r>
          </w:p>
        </w:tc>
        <w:tc>
          <w:tcPr>
            <w:tcW w:w="1631" w:type="dxa"/>
            <w:tcBorders>
              <w:top w:val="nil"/>
              <w:left w:val="nil"/>
              <w:bottom w:val="single" w:sz="4" w:space="0" w:color="auto"/>
              <w:right w:val="single" w:sz="4" w:space="0" w:color="auto"/>
            </w:tcBorders>
            <w:vAlign w:val="center"/>
            <w:hideMark/>
          </w:tcPr>
          <w:p w:rsidR="009124B0" w:rsidRPr="00332758" w:rsidRDefault="009124B0" w:rsidP="00730F86">
            <w:pPr>
              <w:spacing w:before="80" w:after="80"/>
              <w:jc w:val="center"/>
              <w:rPr>
                <w:rFonts w:cs="Arial"/>
                <w:sz w:val="16"/>
                <w:szCs w:val="16"/>
                <w:lang w:val="es-ES_tradnl"/>
              </w:rPr>
            </w:pPr>
            <w:r w:rsidRPr="00332758">
              <w:rPr>
                <w:sz w:val="16"/>
                <w:lang w:val="es-ES_tradnl"/>
              </w:rPr>
              <w:t>79%</w:t>
            </w:r>
          </w:p>
        </w:tc>
      </w:tr>
      <w:tr w:rsidR="009124B0" w:rsidRPr="00A34388" w:rsidTr="00730F86">
        <w:tc>
          <w:tcPr>
            <w:tcW w:w="2850" w:type="dxa"/>
            <w:tcBorders>
              <w:top w:val="nil"/>
              <w:left w:val="single" w:sz="4" w:space="0" w:color="auto"/>
              <w:bottom w:val="single" w:sz="4" w:space="0" w:color="auto"/>
              <w:right w:val="single" w:sz="4" w:space="0" w:color="auto"/>
            </w:tcBorders>
            <w:noWrap/>
            <w:vAlign w:val="center"/>
            <w:hideMark/>
          </w:tcPr>
          <w:p w:rsidR="009124B0" w:rsidRPr="00A34388" w:rsidRDefault="009124B0" w:rsidP="00730F86">
            <w:pPr>
              <w:spacing w:before="80" w:after="80"/>
              <w:jc w:val="right"/>
              <w:rPr>
                <w:rFonts w:cs="Arial"/>
                <w:b/>
                <w:bCs/>
                <w:color w:val="808080"/>
                <w:sz w:val="16"/>
                <w:szCs w:val="16"/>
                <w:lang w:val="es-ES_tradnl"/>
              </w:rPr>
            </w:pPr>
            <w:r w:rsidRPr="00332758">
              <w:rPr>
                <w:b/>
                <w:sz w:val="16"/>
                <w:lang w:val="es-ES_tradnl"/>
              </w:rPr>
              <w:t xml:space="preserve"> TOTAL: </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b/>
                <w:bCs/>
                <w:color w:val="808080"/>
                <w:sz w:val="16"/>
                <w:szCs w:val="16"/>
                <w:lang w:val="es-ES_tradnl"/>
              </w:rPr>
            </w:pPr>
            <w:r w:rsidRPr="00332758">
              <w:rPr>
                <w:b/>
                <w:sz w:val="16"/>
                <w:lang w:val="es-ES_tradnl"/>
              </w:rPr>
              <w:t>18</w:t>
            </w:r>
            <w:r w:rsidR="00011C5F">
              <w:rPr>
                <w:b/>
                <w:sz w:val="16"/>
                <w:lang w:val="es-ES_tradnl"/>
              </w:rPr>
              <w:t>.</w:t>
            </w:r>
            <w:r w:rsidRPr="00332758">
              <w:rPr>
                <w:b/>
                <w:sz w:val="16"/>
                <w:lang w:val="es-ES_tradnl"/>
              </w:rPr>
              <w:t>901</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b/>
                <w:color w:val="808080"/>
                <w:sz w:val="16"/>
                <w:szCs w:val="16"/>
                <w:lang w:val="es-ES_tradnl"/>
              </w:rPr>
            </w:pPr>
            <w:r w:rsidRPr="00332758">
              <w:rPr>
                <w:b/>
                <w:sz w:val="16"/>
                <w:lang w:val="es-ES_tradnl"/>
              </w:rPr>
              <w:t>19</w:t>
            </w:r>
            <w:r w:rsidR="00011C5F">
              <w:rPr>
                <w:b/>
                <w:sz w:val="16"/>
                <w:lang w:val="es-ES_tradnl"/>
              </w:rPr>
              <w:t>.</w:t>
            </w:r>
            <w:r w:rsidRPr="00332758">
              <w:rPr>
                <w:b/>
                <w:sz w:val="16"/>
                <w:lang w:val="es-ES_tradnl"/>
              </w:rPr>
              <w:t>794</w:t>
            </w:r>
          </w:p>
        </w:tc>
        <w:tc>
          <w:tcPr>
            <w:tcW w:w="1630" w:type="dxa"/>
            <w:tcBorders>
              <w:top w:val="nil"/>
              <w:left w:val="nil"/>
              <w:bottom w:val="single" w:sz="4" w:space="0" w:color="auto"/>
              <w:right w:val="single" w:sz="4" w:space="0" w:color="auto"/>
            </w:tcBorders>
            <w:vAlign w:val="center"/>
            <w:hideMark/>
          </w:tcPr>
          <w:p w:rsidR="009124B0" w:rsidRPr="00A34388" w:rsidRDefault="009124B0" w:rsidP="00730F86">
            <w:pPr>
              <w:spacing w:before="80" w:after="80"/>
              <w:jc w:val="center"/>
              <w:rPr>
                <w:rFonts w:cs="Arial"/>
                <w:b/>
                <w:color w:val="808080"/>
                <w:sz w:val="16"/>
                <w:szCs w:val="16"/>
                <w:lang w:val="es-ES_tradnl"/>
              </w:rPr>
            </w:pPr>
            <w:r w:rsidRPr="00332758">
              <w:rPr>
                <w:b/>
                <w:sz w:val="16"/>
                <w:lang w:val="es-ES_tradnl"/>
              </w:rPr>
              <w:t>19</w:t>
            </w:r>
            <w:r w:rsidR="00011C5F">
              <w:rPr>
                <w:b/>
                <w:sz w:val="16"/>
                <w:lang w:val="es-ES_tradnl"/>
              </w:rPr>
              <w:t>.</w:t>
            </w:r>
            <w:r w:rsidRPr="00332758">
              <w:rPr>
                <w:b/>
                <w:sz w:val="16"/>
                <w:lang w:val="es-ES_tradnl"/>
              </w:rPr>
              <w:t>314</w:t>
            </w:r>
          </w:p>
        </w:tc>
        <w:tc>
          <w:tcPr>
            <w:tcW w:w="1631" w:type="dxa"/>
            <w:tcBorders>
              <w:top w:val="nil"/>
              <w:left w:val="nil"/>
              <w:bottom w:val="single" w:sz="4" w:space="0" w:color="auto"/>
              <w:right w:val="single" w:sz="4" w:space="0" w:color="auto"/>
            </w:tcBorders>
            <w:vAlign w:val="center"/>
            <w:hideMark/>
          </w:tcPr>
          <w:p w:rsidR="009124B0" w:rsidRPr="00332758" w:rsidRDefault="009124B0" w:rsidP="00730F86">
            <w:pPr>
              <w:spacing w:before="80" w:after="80"/>
              <w:jc w:val="center"/>
              <w:rPr>
                <w:rFonts w:cs="Arial"/>
                <w:b/>
                <w:sz w:val="16"/>
                <w:szCs w:val="16"/>
                <w:lang w:val="es-ES_tradnl"/>
              </w:rPr>
            </w:pPr>
            <w:r w:rsidRPr="00332758">
              <w:rPr>
                <w:b/>
                <w:sz w:val="16"/>
                <w:lang w:val="es-ES_tradnl"/>
              </w:rPr>
              <w:t>98%</w:t>
            </w:r>
          </w:p>
        </w:tc>
      </w:tr>
    </w:tbl>
    <w:p w:rsidR="009124B0" w:rsidRPr="00A34388" w:rsidRDefault="009124B0" w:rsidP="009124B0">
      <w:pPr>
        <w:rPr>
          <w:rFonts w:cs="Arial"/>
          <w:sz w:val="22"/>
          <w:szCs w:val="22"/>
          <w:lang w:val="es-ES_tradnl"/>
        </w:rPr>
      </w:pPr>
    </w:p>
    <w:p w:rsidR="009124B0" w:rsidRPr="00A34388" w:rsidRDefault="009124B0" w:rsidP="009124B0">
      <w:pPr>
        <w:keepNext/>
        <w:autoSpaceDE w:val="0"/>
        <w:autoSpaceDN w:val="0"/>
        <w:rPr>
          <w:rFonts w:cs="Arial"/>
          <w:sz w:val="16"/>
          <w:szCs w:val="16"/>
          <w:lang w:val="es-ES_tradnl"/>
        </w:rPr>
      </w:pPr>
      <w:r w:rsidRPr="00332758">
        <w:rPr>
          <w:sz w:val="16"/>
          <w:lang w:val="es-ES_tradnl"/>
        </w:rPr>
        <w:t>NOTAS:</w:t>
      </w:r>
    </w:p>
    <w:p w:rsidR="009124B0" w:rsidRPr="00A34388" w:rsidRDefault="009124B0" w:rsidP="009124B0">
      <w:pPr>
        <w:keepNext/>
        <w:autoSpaceDE w:val="0"/>
        <w:autoSpaceDN w:val="0"/>
        <w:rPr>
          <w:rFonts w:cs="Arial"/>
          <w:sz w:val="16"/>
          <w:szCs w:val="16"/>
          <w:lang w:val="es-ES_tradnl"/>
        </w:rPr>
      </w:pPr>
    </w:p>
    <w:p w:rsidR="009124B0" w:rsidRPr="00A34388" w:rsidRDefault="009124B0" w:rsidP="009124B0">
      <w:pPr>
        <w:keepNext/>
        <w:autoSpaceDE w:val="0"/>
        <w:autoSpaceDN w:val="0"/>
        <w:rPr>
          <w:rFonts w:cs="Arial"/>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9124B0" w:rsidRPr="00A34388" w:rsidRDefault="009124B0" w:rsidP="009124B0">
      <w:pPr>
        <w:keepNext/>
        <w:autoSpaceDE w:val="0"/>
        <w:autoSpaceDN w:val="0"/>
        <w:rPr>
          <w:rFonts w:cs="Arial"/>
          <w:sz w:val="16"/>
          <w:szCs w:val="16"/>
          <w:lang w:val="es-ES_tradnl"/>
        </w:rPr>
      </w:pPr>
    </w:p>
    <w:p w:rsidR="009124B0" w:rsidRPr="00A34388" w:rsidRDefault="009124B0" w:rsidP="004C0FD5">
      <w:pPr>
        <w:keepNext/>
        <w:autoSpaceDE w:val="0"/>
        <w:autoSpaceDN w:val="0"/>
        <w:jc w:val="both"/>
        <w:rPr>
          <w:sz w:val="16"/>
          <w:lang w:val="es-ES_tradnl"/>
        </w:rPr>
      </w:pPr>
      <w:r w:rsidRPr="00A34388">
        <w:rPr>
          <w:sz w:val="16"/>
          <w:lang w:val="es-ES_tradnl"/>
        </w:rPr>
        <w:t xml:space="preserve">2)  La asignación para el personal del presupuesto de 2012/13 después de las transferencias representa los gastos reales efectuados en el bienio.  </w:t>
      </w:r>
    </w:p>
    <w:p w:rsidR="009124B0" w:rsidRPr="00A34388" w:rsidRDefault="009124B0" w:rsidP="009124B0">
      <w:pPr>
        <w:rPr>
          <w:rFonts w:cs="Arial"/>
          <w:sz w:val="22"/>
          <w:szCs w:val="22"/>
          <w:lang w:val="es-ES_tradnl"/>
        </w:rPr>
      </w:pPr>
    </w:p>
    <w:p w:rsidR="009124B0" w:rsidRPr="00332758" w:rsidRDefault="009124B0" w:rsidP="009124B0">
      <w:pPr>
        <w:tabs>
          <w:tab w:val="left" w:pos="709"/>
        </w:tabs>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9124B0" w:rsidRPr="00A34388" w:rsidRDefault="009124B0" w:rsidP="009124B0">
      <w:pPr>
        <w:tabs>
          <w:tab w:val="left" w:pos="709"/>
        </w:tabs>
        <w:rPr>
          <w:rFonts w:cs="Arial"/>
          <w:b/>
          <w:szCs w:val="20"/>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t>22.10.</w:t>
      </w:r>
      <w:r w:rsidRPr="00A34388">
        <w:rPr>
          <w:lang w:val="es-ES_tradnl"/>
        </w:rPr>
        <w:tab/>
        <w:t xml:space="preserve">El incremento </w:t>
      </w:r>
      <w:r w:rsidR="004E328E" w:rsidRPr="00A34388">
        <w:rPr>
          <w:lang w:val="es-ES_tradnl"/>
        </w:rPr>
        <w:t>d</w:t>
      </w:r>
      <w:r w:rsidRPr="00A34388">
        <w:rPr>
          <w:lang w:val="es-ES_tradnl"/>
        </w:rPr>
        <w:t xml:space="preserve">el presupuesto después de las transferencias refleja recursos </w:t>
      </w:r>
      <w:r w:rsidR="009B1238" w:rsidRPr="00A34388">
        <w:rPr>
          <w:lang w:val="es-ES_tradnl"/>
        </w:rPr>
        <w:t>adicional</w:t>
      </w:r>
      <w:r w:rsidR="009B1238">
        <w:rPr>
          <w:lang w:val="es-ES_tradnl"/>
        </w:rPr>
        <w:t>es</w:t>
      </w:r>
      <w:r w:rsidR="009B1238" w:rsidRPr="00A34388">
        <w:rPr>
          <w:lang w:val="es-ES_tradnl"/>
        </w:rPr>
        <w:t xml:space="preserve"> </w:t>
      </w:r>
      <w:r w:rsidRPr="00A34388">
        <w:rPr>
          <w:lang w:val="es-ES_tradnl"/>
        </w:rPr>
        <w:t xml:space="preserve">no relativos al personal </w:t>
      </w:r>
      <w:r w:rsidR="004E328E" w:rsidRPr="00A34388">
        <w:rPr>
          <w:lang w:val="es-ES_tradnl"/>
        </w:rPr>
        <w:t>destinados</w:t>
      </w:r>
      <w:r w:rsidRPr="00A34388">
        <w:rPr>
          <w:lang w:val="es-ES_tradnl"/>
        </w:rPr>
        <w:t xml:space="preserve">:  </w:t>
      </w:r>
      <w:r w:rsidR="009F4808" w:rsidRPr="00A34388">
        <w:rPr>
          <w:lang w:val="es-ES_tradnl"/>
        </w:rPr>
        <w:t>i)</w:t>
      </w:r>
      <w:r w:rsidRPr="00A34388">
        <w:rPr>
          <w:lang w:val="es-ES_tradnl"/>
        </w:rPr>
        <w:t xml:space="preserve"> </w:t>
      </w:r>
      <w:r w:rsidR="008635F3" w:rsidRPr="00A34388">
        <w:rPr>
          <w:lang w:val="es-ES_tradnl"/>
        </w:rPr>
        <w:t xml:space="preserve">al </w:t>
      </w:r>
      <w:r w:rsidRPr="00A34388">
        <w:rPr>
          <w:lang w:val="es-ES_tradnl"/>
        </w:rPr>
        <w:t xml:space="preserve">proyecto de la Agenda para el Desarrollo relativo a la mejora del marco de la OMPI de gestión por resultados para respaldar la supervisión y evaluación de las actividades de desarrollo;  </w:t>
      </w:r>
      <w:r w:rsidR="009F4808" w:rsidRPr="00A34388">
        <w:rPr>
          <w:lang w:val="es-ES_tradnl"/>
        </w:rPr>
        <w:t>ii)</w:t>
      </w:r>
      <w:r w:rsidRPr="00A34388">
        <w:rPr>
          <w:lang w:val="es-ES_tradnl"/>
        </w:rPr>
        <w:t xml:space="preserve"> </w:t>
      </w:r>
      <w:r w:rsidR="008635F3" w:rsidRPr="00A34388">
        <w:rPr>
          <w:lang w:val="es-ES_tradnl"/>
        </w:rPr>
        <w:t xml:space="preserve">a </w:t>
      </w:r>
      <w:r w:rsidRPr="00A34388">
        <w:rPr>
          <w:lang w:val="es-ES_tradnl"/>
        </w:rPr>
        <w:t xml:space="preserve">la adquisición de licencias del equipo central (la base de datos de recomendaciones de auditoría mantenida por la DASI) para Auditores Externos;  y, </w:t>
      </w:r>
      <w:r w:rsidR="009F4808" w:rsidRPr="00A34388">
        <w:rPr>
          <w:lang w:val="es-ES_tradnl"/>
        </w:rPr>
        <w:t>iii)</w:t>
      </w:r>
      <w:r w:rsidRPr="00A34388">
        <w:rPr>
          <w:lang w:val="es-ES_tradnl"/>
        </w:rPr>
        <w:t> </w:t>
      </w:r>
      <w:r w:rsidR="008635F3" w:rsidRPr="00A34388">
        <w:rPr>
          <w:lang w:val="es-ES_tradnl"/>
        </w:rPr>
        <w:t xml:space="preserve">al </w:t>
      </w:r>
      <w:r w:rsidRPr="00A34388">
        <w:rPr>
          <w:lang w:val="es-ES_tradnl"/>
        </w:rPr>
        <w:t xml:space="preserve">aumento de los costos bancarios.  Estos costos </w:t>
      </w:r>
      <w:r w:rsidR="004B47EB" w:rsidRPr="00A34388">
        <w:rPr>
          <w:lang w:val="es-ES_tradnl"/>
        </w:rPr>
        <w:t xml:space="preserve">se </w:t>
      </w:r>
      <w:r w:rsidRPr="00A34388">
        <w:rPr>
          <w:lang w:val="es-ES_tradnl"/>
        </w:rPr>
        <w:t xml:space="preserve">han </w:t>
      </w:r>
      <w:r w:rsidR="004B47EB" w:rsidRPr="00A34388">
        <w:rPr>
          <w:lang w:val="es-ES_tradnl"/>
        </w:rPr>
        <w:t xml:space="preserve">incrementado gradualmente </w:t>
      </w:r>
      <w:r w:rsidRPr="00A34388">
        <w:rPr>
          <w:lang w:val="es-ES_tradnl"/>
        </w:rPr>
        <w:t xml:space="preserve">durante el bienio </w:t>
      </w:r>
      <w:r w:rsidR="004B47EB" w:rsidRPr="00A34388">
        <w:rPr>
          <w:lang w:val="es-ES_tradnl"/>
        </w:rPr>
        <w:t xml:space="preserve">por el aumento de </w:t>
      </w:r>
      <w:r w:rsidRPr="00A34388">
        <w:rPr>
          <w:lang w:val="es-ES_tradnl"/>
        </w:rPr>
        <w:t xml:space="preserve">las comisiones bancarias y </w:t>
      </w:r>
      <w:r w:rsidR="004B47EB" w:rsidRPr="00A34388">
        <w:rPr>
          <w:lang w:val="es-ES_tradnl"/>
        </w:rPr>
        <w:t xml:space="preserve">de </w:t>
      </w:r>
      <w:r w:rsidRPr="00A34388">
        <w:rPr>
          <w:lang w:val="es-ES_tradnl"/>
        </w:rPr>
        <w:t xml:space="preserve">los niveles de actividad de la OMPI, así como </w:t>
      </w:r>
      <w:r w:rsidR="004E328E" w:rsidRPr="00A34388">
        <w:rPr>
          <w:lang w:val="es-ES_tradnl"/>
        </w:rPr>
        <w:t xml:space="preserve">por </w:t>
      </w:r>
      <w:r w:rsidRPr="00A34388">
        <w:rPr>
          <w:lang w:val="es-ES_tradnl"/>
        </w:rPr>
        <w:t xml:space="preserve">la decisión de los bancos que </w:t>
      </w:r>
      <w:r w:rsidR="004B47EB" w:rsidRPr="00A34388">
        <w:rPr>
          <w:lang w:val="es-ES_tradnl"/>
        </w:rPr>
        <w:t xml:space="preserve">trabajan </w:t>
      </w:r>
      <w:r w:rsidRPr="00A34388">
        <w:rPr>
          <w:lang w:val="es-ES_tradnl"/>
        </w:rPr>
        <w:t xml:space="preserve">con la Organización de dejar de ofrecer "banca gratuita". </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tabs>
          <w:tab w:val="left" w:pos="709"/>
        </w:tabs>
        <w:jc w:val="both"/>
        <w:rPr>
          <w:rFonts w:cs="Arial"/>
          <w:iCs/>
          <w:szCs w:val="20"/>
          <w:lang w:val="es-ES_tradnl"/>
        </w:rPr>
      </w:pPr>
      <w:r w:rsidRPr="00A34388">
        <w:rPr>
          <w:lang w:val="es-ES_tradnl"/>
        </w:rPr>
        <w:t>22.11.</w:t>
      </w:r>
      <w:r w:rsidRPr="00A34388">
        <w:rPr>
          <w:lang w:val="es-ES_tradnl"/>
        </w:rPr>
        <w:tab/>
        <w:t xml:space="preserve">El incremento de los recursos de personal obedece principalmente al compromiso de la Organización, en caso de </w:t>
      </w:r>
      <w:r w:rsidR="00D63FB3" w:rsidRPr="00A34388">
        <w:rPr>
          <w:lang w:val="es-ES_tradnl"/>
        </w:rPr>
        <w:t xml:space="preserve">aumento de los niveles </w:t>
      </w:r>
      <w:r w:rsidRPr="00A34388">
        <w:rPr>
          <w:lang w:val="es-ES_tradnl"/>
        </w:rPr>
        <w:t xml:space="preserve">de ingresos previstos, de restablecer </w:t>
      </w:r>
      <w:r w:rsidR="00D63FB3" w:rsidRPr="00A34388">
        <w:rPr>
          <w:lang w:val="es-ES_tradnl"/>
        </w:rPr>
        <w:t xml:space="preserve">la reserva </w:t>
      </w:r>
      <w:r w:rsidRPr="00A34388">
        <w:rPr>
          <w:lang w:val="es-ES_tradnl"/>
        </w:rPr>
        <w:t xml:space="preserve">para prestaciones a los empleados después del cese del servicio, </w:t>
      </w:r>
      <w:r w:rsidR="00D63FB3" w:rsidRPr="00A34388">
        <w:rPr>
          <w:lang w:val="es-ES_tradnl"/>
        </w:rPr>
        <w:t xml:space="preserve">inicialmente dotada con un importe </w:t>
      </w:r>
      <w:r w:rsidR="008635F3" w:rsidRPr="00A34388">
        <w:rPr>
          <w:lang w:val="es-ES_tradnl"/>
        </w:rPr>
        <w:t xml:space="preserve">inferior al de </w:t>
      </w:r>
      <w:r w:rsidR="00D63FB3" w:rsidRPr="00A34388">
        <w:rPr>
          <w:lang w:val="es-ES_tradnl"/>
        </w:rPr>
        <w:t>los bienios anteriores.</w:t>
      </w:r>
    </w:p>
    <w:p w:rsidR="009124B0" w:rsidRPr="00A34388" w:rsidRDefault="009124B0" w:rsidP="009124B0">
      <w:pPr>
        <w:tabs>
          <w:tab w:val="left" w:pos="709"/>
        </w:tabs>
        <w:jc w:val="both"/>
        <w:rPr>
          <w:rFonts w:cs="Arial"/>
          <w:sz w:val="22"/>
          <w:szCs w:val="22"/>
          <w:lang w:val="es-ES_tradnl"/>
        </w:rPr>
      </w:pPr>
    </w:p>
    <w:p w:rsidR="009124B0" w:rsidRPr="00A34388" w:rsidRDefault="009124B0" w:rsidP="009124B0">
      <w:pPr>
        <w:tabs>
          <w:tab w:val="left" w:pos="709"/>
        </w:tabs>
        <w:jc w:val="both"/>
        <w:rPr>
          <w:rFonts w:cs="Arial"/>
          <w:u w:val="single"/>
          <w:lang w:val="es-ES_tradnl"/>
        </w:rPr>
      </w:pPr>
      <w:r w:rsidRPr="00A34388">
        <w:rPr>
          <w:lang w:val="es-ES_tradnl"/>
        </w:rPr>
        <w:t>B.</w:t>
      </w:r>
      <w:r w:rsidR="001B6AC7" w:rsidRPr="00A34388">
        <w:rPr>
          <w:lang w:val="es-ES_tradnl"/>
        </w:rPr>
        <w:t xml:space="preserve"> </w:t>
      </w:r>
      <w:r w:rsidR="001B6AC7" w:rsidRPr="00A34388">
        <w:rPr>
          <w:lang w:val="es-ES_tradnl"/>
        </w:rPr>
        <w:tab/>
      </w:r>
      <w:r w:rsidRPr="00A34388">
        <w:rPr>
          <w:u w:val="single"/>
          <w:lang w:val="es-ES_tradnl"/>
        </w:rPr>
        <w:t>Utilización del presupuesto</w:t>
      </w:r>
      <w:r w:rsidR="008635F3" w:rsidRPr="00A34388">
        <w:rPr>
          <w:u w:val="single"/>
          <w:lang w:val="es-ES_tradnl"/>
        </w:rPr>
        <w:t xml:space="preserve"> en</w:t>
      </w:r>
      <w:r w:rsidRPr="00A34388">
        <w:rPr>
          <w:u w:val="single"/>
          <w:lang w:val="es-ES_tradnl"/>
        </w:rPr>
        <w:t> 2012/13</w:t>
      </w:r>
    </w:p>
    <w:p w:rsidR="009124B0" w:rsidRPr="00A34388" w:rsidRDefault="009124B0" w:rsidP="009124B0">
      <w:pPr>
        <w:tabs>
          <w:tab w:val="left" w:pos="709"/>
        </w:tabs>
        <w:jc w:val="both"/>
        <w:rPr>
          <w:rFonts w:cs="Arial"/>
          <w:sz w:val="24"/>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t>22.12.</w:t>
      </w:r>
      <w:r w:rsidRPr="00A34388">
        <w:rPr>
          <w:lang w:val="es-ES_tradnl"/>
        </w:rPr>
        <w:tab/>
        <w:t xml:space="preserve">La utilización del presupuesto no relativo al personal del 79% refleja:  </w:t>
      </w:r>
      <w:r w:rsidR="009F4808" w:rsidRPr="00A34388">
        <w:rPr>
          <w:lang w:val="es-ES_tradnl"/>
        </w:rPr>
        <w:t>i)</w:t>
      </w:r>
      <w:r w:rsidRPr="00A34388">
        <w:rPr>
          <w:lang w:val="es-ES_tradnl"/>
        </w:rPr>
        <w:t xml:space="preserve"> un gasto inferior al previsto en el proyecto de la Agenda para el Desarrollo relativo a la mejora del marco de la OMPI de gestión por resultados para respaldar la supervisión y evaluación de las actividades de desarrollo, </w:t>
      </w:r>
      <w:r w:rsidR="004E328E" w:rsidRPr="00A34388">
        <w:rPr>
          <w:lang w:val="es-ES_tradnl"/>
        </w:rPr>
        <w:t xml:space="preserve">por el efecto de </w:t>
      </w:r>
      <w:r w:rsidRPr="00A34388">
        <w:rPr>
          <w:lang w:val="es-ES_tradnl"/>
        </w:rPr>
        <w:t xml:space="preserve">la sustitución de seminarios regionales de gestión por resultados por </w:t>
      </w:r>
      <w:r w:rsidR="008635F3" w:rsidRPr="00A34388">
        <w:rPr>
          <w:lang w:val="es-ES_tradnl"/>
        </w:rPr>
        <w:t xml:space="preserve">actividades </w:t>
      </w:r>
      <w:r w:rsidRPr="00A34388">
        <w:rPr>
          <w:lang w:val="es-ES_tradnl"/>
        </w:rPr>
        <w:t>similares llevad</w:t>
      </w:r>
      <w:r w:rsidR="008635F3" w:rsidRPr="00A34388">
        <w:rPr>
          <w:lang w:val="es-ES_tradnl"/>
        </w:rPr>
        <w:t>a</w:t>
      </w:r>
      <w:r w:rsidRPr="00A34388">
        <w:rPr>
          <w:lang w:val="es-ES_tradnl"/>
        </w:rPr>
        <w:t xml:space="preserve">s a cabo con cargo al presupuesto ordinario y los fondos fiduciarios;  y </w:t>
      </w:r>
      <w:r w:rsidR="009F4808" w:rsidRPr="00A34388">
        <w:rPr>
          <w:lang w:val="es-ES_tradnl"/>
        </w:rPr>
        <w:t>ii)</w:t>
      </w:r>
      <w:r w:rsidRPr="00A34388">
        <w:rPr>
          <w:lang w:val="es-ES_tradnl"/>
        </w:rPr>
        <w:t xml:space="preserve"> unos costos de viaje menores de lo </w:t>
      </w:r>
      <w:r w:rsidR="004E328E" w:rsidRPr="00A34388">
        <w:rPr>
          <w:lang w:val="es-ES_tradnl"/>
        </w:rPr>
        <w:t xml:space="preserve">esperado </w:t>
      </w:r>
      <w:r w:rsidRPr="00A34388">
        <w:rPr>
          <w:lang w:val="es-ES_tradnl"/>
        </w:rPr>
        <w:t>de los miembros del CCIS.</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br w:type="page"/>
      </w:r>
    </w:p>
    <w:p w:rsidR="00F90BD6" w:rsidRPr="003934C8" w:rsidRDefault="00F90BD6" w:rsidP="00F90BD6">
      <w:pPr>
        <w:pStyle w:val="Heading3"/>
        <w:rPr>
          <w:rFonts w:hint="eastAsia"/>
          <w:lang w:val="es-ES"/>
        </w:rPr>
      </w:pPr>
      <w:bookmarkStart w:id="90" w:name="_Toc392852664"/>
      <w:bookmarkStart w:id="91" w:name="_Toc395279684"/>
      <w:r w:rsidRPr="003934C8">
        <w:rPr>
          <w:lang w:val="es-ES"/>
        </w:rPr>
        <w:lastRenderedPageBreak/>
        <w:t>Programa 23</w:t>
      </w:r>
      <w:r w:rsidRPr="003934C8">
        <w:rPr>
          <w:lang w:val="es-ES"/>
        </w:rPr>
        <w:tab/>
        <w:t>Gestión y desarrollo de los recursos humanos</w:t>
      </w:r>
      <w:bookmarkEnd w:id="90"/>
      <w:bookmarkEnd w:id="91"/>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92" w:name="_Toc394914532"/>
      <w:r w:rsidRPr="00D42A38">
        <w:rPr>
          <w:b/>
          <w:sz w:val="22"/>
          <w:szCs w:val="22"/>
          <w:lang w:val="es-ES_tradnl"/>
        </w:rPr>
        <w:t>Director del Programa</w:t>
      </w:r>
      <w:r w:rsidRPr="00D42A38">
        <w:rPr>
          <w:b/>
          <w:sz w:val="22"/>
          <w:szCs w:val="22"/>
          <w:lang w:val="es-ES_tradnl"/>
        </w:rPr>
        <w:tab/>
        <w:t>Director General</w:t>
      </w:r>
      <w:bookmarkEnd w:id="92"/>
    </w:p>
    <w:p w:rsidR="009124B0" w:rsidRPr="00A34388" w:rsidRDefault="009124B0" w:rsidP="009124B0">
      <w:pPr>
        <w:rPr>
          <w:rFonts w:cs="Arial"/>
          <w:sz w:val="22"/>
          <w:szCs w:val="22"/>
          <w:lang w:val="es-ES_tradnl"/>
        </w:rPr>
      </w:pPr>
    </w:p>
    <w:p w:rsidR="009124B0" w:rsidRPr="00A34388" w:rsidRDefault="009124B0" w:rsidP="009124B0">
      <w:pPr>
        <w:rPr>
          <w:bCs/>
          <w:sz w:val="22"/>
          <w:szCs w:val="22"/>
          <w:lang w:val="es-ES_tradnl"/>
        </w:rPr>
      </w:pPr>
    </w:p>
    <w:p w:rsidR="009124B0" w:rsidRPr="00A34388" w:rsidRDefault="009124B0" w:rsidP="009124B0">
      <w:pPr>
        <w:rPr>
          <w:sz w:val="22"/>
          <w:szCs w:val="22"/>
          <w:lang w:val="es-ES_tradnl"/>
        </w:rPr>
      </w:pPr>
      <w:r w:rsidRPr="00A34388">
        <w:rPr>
          <w:sz w:val="22"/>
          <w:lang w:val="es-ES_tradnl"/>
        </w:rPr>
        <w:t>AVANCES LOGRADOS EN EL BIENIO 2012/13</w:t>
      </w:r>
    </w:p>
    <w:p w:rsidR="009124B0" w:rsidRPr="00A34388" w:rsidRDefault="009124B0" w:rsidP="009124B0">
      <w:pPr>
        <w:rPr>
          <w:rFonts w:cs="Arial"/>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23.1.</w:t>
      </w:r>
      <w:r w:rsidRPr="00A34388">
        <w:rPr>
          <w:lang w:val="es-ES_tradnl"/>
        </w:rPr>
        <w:tab/>
        <w:t xml:space="preserve">Prosiguió la puesta en práctica de diversas iniciativas </w:t>
      </w:r>
      <w:r w:rsidR="009B1238">
        <w:rPr>
          <w:lang w:val="es-ES_tradnl"/>
        </w:rPr>
        <w:t>referentes</w:t>
      </w:r>
      <w:r w:rsidR="00D63FB3" w:rsidRPr="00A34388">
        <w:rPr>
          <w:lang w:val="es-ES_tradnl"/>
        </w:rPr>
        <w:t xml:space="preserve"> </w:t>
      </w:r>
      <w:r w:rsidRPr="00A34388">
        <w:rPr>
          <w:lang w:val="es-ES_tradnl"/>
        </w:rPr>
        <w:t>a los recursos humanos en el marco del PAE.  A finales de 2013 los Estados miembros aprobaron una estrategia de RR.HH. que constituye la base para el plan de acción a corto y medio plazo en materia de RR.HH. durante el bienio 2014/15.</w:t>
      </w:r>
    </w:p>
    <w:p w:rsidR="009124B0" w:rsidRPr="00A34388" w:rsidRDefault="009124B0" w:rsidP="009124B0">
      <w:pPr>
        <w:tabs>
          <w:tab w:val="left" w:pos="709"/>
        </w:tabs>
        <w:jc w:val="both"/>
        <w:rPr>
          <w:bCs/>
          <w:color w:val="000000"/>
          <w:szCs w:val="20"/>
          <w:lang w:val="es-ES_tradnl"/>
        </w:rPr>
      </w:pPr>
    </w:p>
    <w:p w:rsidR="009124B0" w:rsidRPr="00332758" w:rsidRDefault="009124B0" w:rsidP="009124B0">
      <w:pPr>
        <w:pStyle w:val="Style1"/>
        <w:numPr>
          <w:ilvl w:val="0"/>
          <w:numId w:val="0"/>
        </w:numPr>
        <w:tabs>
          <w:tab w:val="left" w:pos="709"/>
        </w:tabs>
        <w:jc w:val="both"/>
        <w:rPr>
          <w:szCs w:val="20"/>
          <w:lang w:val="es-ES_tradnl"/>
        </w:rPr>
      </w:pPr>
      <w:r w:rsidRPr="00332758">
        <w:rPr>
          <w:lang w:val="es-ES_tradnl"/>
        </w:rPr>
        <w:t>23.2.</w:t>
      </w:r>
      <w:r w:rsidRPr="00A34388">
        <w:rPr>
          <w:lang w:val="es-ES_tradnl"/>
        </w:rPr>
        <w:tab/>
      </w:r>
      <w:r w:rsidRPr="00332758">
        <w:rPr>
          <w:lang w:val="es-ES_tradnl"/>
        </w:rPr>
        <w:t>En el bienio 2012/13 se registró un incremento de la satisfacción de los clientes y una confirmación del hecho de que los equipos de RR.HH. se han hecho más receptivos a las necesidades del personal, como lo confirman las entrevistas de fin de empleo y los resultados de la reciente encuesta sobre las prioridades centrales.</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pStyle w:val="Style1"/>
        <w:numPr>
          <w:ilvl w:val="0"/>
          <w:numId w:val="0"/>
        </w:numPr>
        <w:tabs>
          <w:tab w:val="left" w:pos="709"/>
        </w:tabs>
        <w:jc w:val="both"/>
        <w:rPr>
          <w:rFonts w:cs="Arial"/>
          <w:szCs w:val="20"/>
          <w:lang w:val="es-ES_tradnl"/>
        </w:rPr>
      </w:pPr>
      <w:r w:rsidRPr="00A34388">
        <w:rPr>
          <w:lang w:val="es-ES_tradnl"/>
        </w:rPr>
        <w:t>23.3.</w:t>
      </w:r>
      <w:r w:rsidRPr="00A34388">
        <w:rPr>
          <w:lang w:val="es-ES_tradnl"/>
        </w:rPr>
        <w:tab/>
        <w:t xml:space="preserve">El Servicio de Administración Operacional de Recursos Humanos logró mantener el plazo de </w:t>
      </w:r>
      <w:r w:rsidR="009B1238" w:rsidRPr="00A34388">
        <w:rPr>
          <w:lang w:val="es-ES_tradnl"/>
        </w:rPr>
        <w:t xml:space="preserve">respuesta de cuatro días </w:t>
      </w:r>
      <w:r w:rsidR="009B1238">
        <w:rPr>
          <w:lang w:val="es-ES_tradnl"/>
        </w:rPr>
        <w:t xml:space="preserve">para la </w:t>
      </w:r>
      <w:r w:rsidRPr="00A34388">
        <w:rPr>
          <w:lang w:val="es-ES_tradnl"/>
        </w:rPr>
        <w:t>re</w:t>
      </w:r>
      <w:r w:rsidR="009B1238">
        <w:rPr>
          <w:lang w:val="es-ES_tradnl"/>
        </w:rPr>
        <w:t xml:space="preserve">solución de problemas, logrado en el </w:t>
      </w:r>
      <w:r w:rsidRPr="00A34388">
        <w:rPr>
          <w:lang w:val="es-ES_tradnl"/>
        </w:rPr>
        <w:t>bienio anterior</w:t>
      </w:r>
      <w:r w:rsidR="009B1238">
        <w:rPr>
          <w:lang w:val="es-ES_tradnl"/>
        </w:rPr>
        <w:t>, en relación con las</w:t>
      </w:r>
      <w:r w:rsidRPr="00A34388">
        <w:rPr>
          <w:lang w:val="es-ES_tradnl"/>
        </w:rPr>
        <w:t xml:space="preserve"> transacciones ordinarias </w:t>
      </w:r>
      <w:r w:rsidR="009B1238">
        <w:rPr>
          <w:lang w:val="es-ES_tradnl"/>
        </w:rPr>
        <w:t>en el ámbito de</w:t>
      </w:r>
      <w:r w:rsidRPr="00A34388">
        <w:rPr>
          <w:lang w:val="es-ES_tradnl"/>
        </w:rPr>
        <w:t xml:space="preserve"> los recursos humanos, a pesar del difícil contexto derivado de la ejecución del PRI y la reforma contractual</w:t>
      </w:r>
      <w:r w:rsidR="00537926" w:rsidRPr="00A34388">
        <w:rPr>
          <w:lang w:val="es-ES_tradnl"/>
        </w:rPr>
        <w:t xml:space="preserve">. </w:t>
      </w:r>
      <w:r w:rsidRPr="00A34388">
        <w:rPr>
          <w:lang w:val="es-ES_tradnl"/>
        </w:rPr>
        <w:t xml:space="preserve"> Con la entrada en servicio de PRI en 2014, el objetivo último de alcanzar un tiempo de tramitación de dos días se mantiene para 2015. </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23.4.</w:t>
      </w:r>
      <w:r w:rsidRPr="00A34388">
        <w:rPr>
          <w:lang w:val="es-ES_tradnl"/>
        </w:rPr>
        <w:tab/>
        <w:t>Tras la recomendación de efectuar un examen de los servicios médicos, de salud y seguridad en la OMPI, se estableció un Comité de Seguridad y Salud en el Trabajo en diciembre de 2013.  Este Comité está integrado por representantes del Sector de Administración y Gestión, del personal, de los servicios médicos y de bienestar social, y de seguridad y vigilancia.  El Comité supervisará la ejecución de actividades dirigidas a fomentar un entorno de trabajo seguro y saludable, incluido el bienestar físico y psicosocial.  El Comité abordará también asuntos relativos al ausentismo.</w:t>
      </w:r>
    </w:p>
    <w:p w:rsidR="009124B0" w:rsidRPr="00A34388" w:rsidRDefault="009124B0" w:rsidP="009124B0">
      <w:pPr>
        <w:tabs>
          <w:tab w:val="left" w:pos="709"/>
        </w:tabs>
        <w:jc w:val="both"/>
        <w:rPr>
          <w:rFonts w:cs="Arial"/>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23.5.</w:t>
      </w:r>
      <w:r w:rsidRPr="00A34388">
        <w:rPr>
          <w:lang w:val="es-ES_tradnl"/>
        </w:rPr>
        <w:tab/>
      </w:r>
      <w:r w:rsidR="004C3413" w:rsidRPr="00A34388">
        <w:rPr>
          <w:lang w:val="es-ES_tradnl"/>
        </w:rPr>
        <w:t xml:space="preserve">El proceso de regularización de los empleados temporeros con muchos años de servicio, aprobado por los Estados miembros en 2010, está a punto de completarse.  Alrededor de 67 empleados que desempeñaban funciones de naturaleza permanente y tenían cinco o más años de servicio continuo y satisfactorio a 1 de enero de 2012 quedaron regularizados a lo largo del bienio a través de un procedimiento competitivo.  Este proceso de regularización quedará completado a finales de 2014. </w:t>
      </w:r>
    </w:p>
    <w:p w:rsidR="009124B0" w:rsidRPr="00A34388" w:rsidRDefault="009124B0" w:rsidP="009124B0">
      <w:pPr>
        <w:tabs>
          <w:tab w:val="left" w:pos="709"/>
        </w:tabs>
        <w:jc w:val="both"/>
        <w:rPr>
          <w:szCs w:val="20"/>
          <w:lang w:val="es-ES_tradnl"/>
        </w:rPr>
      </w:pPr>
    </w:p>
    <w:p w:rsidR="005D360F" w:rsidRPr="00A34388" w:rsidRDefault="009124B0" w:rsidP="005D360F">
      <w:pPr>
        <w:jc w:val="both"/>
        <w:rPr>
          <w:lang w:val="es-ES_tradnl"/>
        </w:rPr>
      </w:pPr>
      <w:r w:rsidRPr="00A34388">
        <w:rPr>
          <w:lang w:val="es-ES_tradnl"/>
        </w:rPr>
        <w:t>23.6.</w:t>
      </w:r>
      <w:r w:rsidRPr="00A34388">
        <w:rPr>
          <w:lang w:val="es-ES_tradnl"/>
        </w:rPr>
        <w:tab/>
      </w:r>
      <w:r w:rsidR="005D360F" w:rsidRPr="00A34388">
        <w:rPr>
          <w:lang w:val="es-ES_tradnl"/>
        </w:rPr>
        <w:t xml:space="preserve">Durante el bienio 2012/13 la planificación estratégica del personal, como una actividad central de la OMPI, se integró de forma sistemática en los ciclos de planificación anual y bienal del trabajo.  Tras la conclusión de la iniciativa </w:t>
      </w:r>
      <w:r w:rsidR="00A07EDD">
        <w:rPr>
          <w:lang w:val="es-ES_tradnl"/>
        </w:rPr>
        <w:t xml:space="preserve">del </w:t>
      </w:r>
      <w:r w:rsidR="005D360F" w:rsidRPr="00A34388">
        <w:rPr>
          <w:lang w:val="es-ES_tradnl"/>
        </w:rPr>
        <w:t xml:space="preserve">PAE a finales de 2012, la OMPI se esforzó por garantizar que el personal de la Organización sea evaluado en todo momento en función de las necesidades de personal futuras, </w:t>
      </w:r>
      <w:r w:rsidR="00A45ECF" w:rsidRPr="00A34388">
        <w:rPr>
          <w:lang w:val="es-ES_tradnl"/>
        </w:rPr>
        <w:t>asegura</w:t>
      </w:r>
      <w:r w:rsidR="005D360F" w:rsidRPr="00A34388">
        <w:rPr>
          <w:lang w:val="es-ES_tradnl"/>
        </w:rPr>
        <w:t xml:space="preserve">ndo así que la Organización adecúa sus recursos humanos con vistas a poder hacer eficazmente frente a las necesidades de sus programas.  Los resultados del análisis del diseño orgánico de 2012 se utilizaron para planificar el presupuesto por programas del bienio 2014/15, garantizando así una asignación adecuada de los recursos humanos necesarios para que cada programa pueda alcanzar sus resultados de un modo eficaz.  También se llevaron a cabo mejoras en el sistema de gestión del rendimiento institucional con el fin de asignar de forma más precisa el personal a las actividades programáticas y mejorar la presentación de informes sobre el aprovechamiento de los recursos humanos de la Organización. </w:t>
      </w:r>
    </w:p>
    <w:p w:rsidR="009124B0" w:rsidRPr="00A34388" w:rsidRDefault="009124B0" w:rsidP="009124B0">
      <w:pPr>
        <w:tabs>
          <w:tab w:val="left" w:pos="709"/>
        </w:tabs>
        <w:jc w:val="both"/>
        <w:rPr>
          <w:szCs w:val="20"/>
          <w:lang w:val="es-ES_tradnl"/>
        </w:rPr>
      </w:pPr>
    </w:p>
    <w:p w:rsidR="00CD5978" w:rsidRPr="00A34388" w:rsidRDefault="009124B0" w:rsidP="00CD5978">
      <w:pPr>
        <w:jc w:val="both"/>
        <w:rPr>
          <w:lang w:val="es-ES_tradnl"/>
        </w:rPr>
      </w:pPr>
      <w:r w:rsidRPr="00A34388">
        <w:rPr>
          <w:lang w:val="es-ES_tradnl"/>
        </w:rPr>
        <w:t>23.7.</w:t>
      </w:r>
      <w:r w:rsidRPr="00A34388">
        <w:rPr>
          <w:lang w:val="es-ES_tradnl"/>
        </w:rPr>
        <w:tab/>
      </w:r>
      <w:r w:rsidR="00CD5978" w:rsidRPr="00A34388">
        <w:rPr>
          <w:lang w:val="es-ES_tradnl"/>
        </w:rPr>
        <w:t>La implementación del Estatuto y Reglamento del Personal revisado sobre la contratación de personal, los cambios introducidos en la composición de las juntas de nombramiento en 2012 y la racionalización de los procesos de contratación redujeron significativamente el tiempo necesario para llevar a cabo una contratación, hasta una media de 16,03 semanas, frente a las 37,7 semanas de finales de 2011.</w:t>
      </w:r>
    </w:p>
    <w:p w:rsidR="009124B0" w:rsidRPr="00A34388" w:rsidRDefault="009124B0" w:rsidP="009124B0">
      <w:pPr>
        <w:tabs>
          <w:tab w:val="left" w:pos="709"/>
        </w:tabs>
        <w:jc w:val="both"/>
        <w:rPr>
          <w:bCs/>
          <w:color w:val="000000"/>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23.8.</w:t>
      </w:r>
      <w:r w:rsidRPr="00A34388">
        <w:rPr>
          <w:lang w:val="es-ES_tradnl"/>
        </w:rPr>
        <w:tab/>
        <w:t>El Sistema de gestión del desempeño y el perfeccionamiento del personal (PMSDS),</w:t>
      </w:r>
      <w:r w:rsidR="00CE5BC5">
        <w:rPr>
          <w:lang w:val="es-ES_tradnl"/>
        </w:rPr>
        <w:t xml:space="preserve"> introducido inicialmente en 2009</w:t>
      </w:r>
      <w:r w:rsidRPr="00A34388">
        <w:rPr>
          <w:lang w:val="es-ES_tradnl"/>
        </w:rPr>
        <w:t xml:space="preserve"> y perfeccionado en 2011 y 2012, ha avanzado en alcance, aceptación y utilización durante los dos últimos años.  </w:t>
      </w:r>
      <w:r w:rsidRPr="00332758">
        <w:rPr>
          <w:lang w:val="es-ES_tradnl"/>
        </w:rPr>
        <w:t xml:space="preserve">El efecto positivo de dicha mejora fue avalado por la encuesta sobre las prioridades centrales, en la cual un mayor número de empleados manifestaron que sus objetivos individuales contribuían a los resultados previstos de sus programas y que ellos mismos recibían regularmente de su supervisor los apropiados comentarios sobre su rendimiento.  </w:t>
      </w:r>
      <w:r w:rsidRPr="00A34388">
        <w:rPr>
          <w:lang w:val="es-ES_tradnl"/>
        </w:rPr>
        <w:t xml:space="preserve">En 2013, la Organización intensificó sus esfuerzos por resolver de manera proactiva las deficiencias de desempeño.  </w:t>
      </w:r>
      <w:r w:rsidRPr="00A34388">
        <w:rPr>
          <w:lang w:val="es-ES_tradnl"/>
        </w:rPr>
        <w:lastRenderedPageBreak/>
        <w:t xml:space="preserve">El manual sobre la forma de abordar las deficiencias de desempeño fue revisado y se proporcionaron nuevas plantillas para establecer planes de mejora del rendimiento tanto al personal como a los </w:t>
      </w:r>
      <w:r w:rsidR="00054EC8">
        <w:rPr>
          <w:lang w:val="es-ES_tradnl"/>
        </w:rPr>
        <w:t>directivos.</w:t>
      </w:r>
    </w:p>
    <w:p w:rsidR="009124B0" w:rsidRPr="00A34388" w:rsidRDefault="009124B0" w:rsidP="009124B0">
      <w:pPr>
        <w:tabs>
          <w:tab w:val="left" w:pos="709"/>
        </w:tabs>
        <w:jc w:val="both"/>
        <w:rPr>
          <w:szCs w:val="20"/>
          <w:lang w:val="es-ES_tradnl"/>
        </w:rPr>
      </w:pPr>
    </w:p>
    <w:p w:rsidR="009124B0" w:rsidRPr="00A34388" w:rsidRDefault="009124B0" w:rsidP="009124B0">
      <w:pPr>
        <w:pStyle w:val="Style1"/>
        <w:keepNext/>
        <w:keepLines/>
        <w:numPr>
          <w:ilvl w:val="0"/>
          <w:numId w:val="0"/>
        </w:numPr>
        <w:tabs>
          <w:tab w:val="left" w:pos="709"/>
        </w:tabs>
        <w:jc w:val="both"/>
        <w:rPr>
          <w:bCs/>
          <w:szCs w:val="20"/>
          <w:lang w:val="es-ES_tradnl"/>
        </w:rPr>
      </w:pPr>
      <w:r w:rsidRPr="00A34388">
        <w:rPr>
          <w:lang w:val="es-ES_tradnl"/>
        </w:rPr>
        <w:t>23.9.</w:t>
      </w:r>
      <w:r w:rsidRPr="00A34388">
        <w:rPr>
          <w:lang w:val="es-ES_tradnl"/>
        </w:rPr>
        <w:tab/>
        <w:t xml:space="preserve">En relación con el perfeccionamiento del personal, en 2013 se publicaron nuevas directrices sobre política de aprendizaje, perfeccionamiento y formación con arreglo a la estrategia de recursos humanos de facilitar el aprendizaje, el perfeccionamiento del personal y la subsanación de lagunas de aptitudes.  Además de detectar las necesidades de formación individuales mediante el PMSDS, se identificaron necesidades de formación colectiva críticas durante el proceso de elaboración del presupuesto por programas.  Estas necesidades fueron incluidas en planes de formación exhaustivos.  </w:t>
      </w:r>
      <w:r w:rsidRPr="00332758">
        <w:rPr>
          <w:rFonts w:eastAsiaTheme="minorHAnsi"/>
          <w:lang w:val="es-ES_tradnl"/>
        </w:rPr>
        <w:t xml:space="preserve">En 2012/13, la Organización continuó brindando oportunidades de formación (incluyendo orientación en la prestación óptima de servicios al cliente, ética y el PMSDS) en el contexto de las iniciativas del PAE, con la consiguiente repercusión positiva sobre los resultados de éste.  </w:t>
      </w:r>
      <w:r w:rsidRPr="00A34388">
        <w:rPr>
          <w:lang w:val="es-ES_tradnl"/>
        </w:rPr>
        <w:t xml:space="preserve">La formación de grupo </w:t>
      </w:r>
      <w:r w:rsidR="00A07EDD">
        <w:rPr>
          <w:lang w:val="es-ES_tradnl"/>
        </w:rPr>
        <w:t xml:space="preserve">en los distintos sectores de </w:t>
      </w:r>
      <w:r w:rsidRPr="00A34388">
        <w:rPr>
          <w:lang w:val="es-ES_tradnl"/>
        </w:rPr>
        <w:t>la OMPI (</w:t>
      </w:r>
      <w:r w:rsidR="00A07EDD">
        <w:rPr>
          <w:lang w:val="es-ES_tradnl"/>
        </w:rPr>
        <w:t>entre otras cosas, sobre</w:t>
      </w:r>
      <w:r w:rsidRPr="00A34388">
        <w:rPr>
          <w:lang w:val="es-ES_tradnl"/>
        </w:rPr>
        <w:t xml:space="preserve"> solución de controversias y gestión de personal), una mayor colaboración con la Oficina de las Naciones Unidas en Ginebra sobre asuntos de formación, la prolongación del contrato de formación lingüística (UIT, OIT, OMS, OMPI), y un nuevo programa interno sobre cuestiones específicas de la OMPI garantizan que el personal disponga de oportunidades de formación </w:t>
      </w:r>
      <w:r w:rsidR="0084061B" w:rsidRPr="00A34388">
        <w:rPr>
          <w:lang w:val="es-ES_tradnl"/>
        </w:rPr>
        <w:t xml:space="preserve">eficaces </w:t>
      </w:r>
      <w:r w:rsidRPr="00A34388">
        <w:rPr>
          <w:lang w:val="es-ES_tradnl"/>
        </w:rPr>
        <w:t xml:space="preserve">en función de los costos y bien adaptadas a ellos.  </w:t>
      </w:r>
      <w:r w:rsidRPr="00332758">
        <w:rPr>
          <w:lang w:val="es-ES_tradnl"/>
        </w:rPr>
        <w:t xml:space="preserve">En la reciente encuesta sobre las prioridades centrales se registró un notable incremento del porcentaje de empleados que manifestaron satisfacción ante las oportunidades de formación ofrecidas por la OMPI.  </w:t>
      </w:r>
      <w:r w:rsidRPr="00A34388">
        <w:rPr>
          <w:lang w:val="es-ES_tradnl"/>
        </w:rPr>
        <w:t>En 2013 se puso en marcha un programa piloto destinado a recompensar la excelencia en el rendimiento, la eficiencia y la innovación.</w:t>
      </w:r>
    </w:p>
    <w:p w:rsidR="009124B0" w:rsidRPr="00A34388" w:rsidRDefault="009124B0" w:rsidP="009124B0">
      <w:pPr>
        <w:tabs>
          <w:tab w:val="left" w:pos="709"/>
        </w:tabs>
        <w:jc w:val="both"/>
        <w:rPr>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332758">
        <w:rPr>
          <w:lang w:val="es-ES_tradnl"/>
        </w:rPr>
        <w:t>23.10.</w:t>
      </w:r>
      <w:r w:rsidRPr="00A34388">
        <w:rPr>
          <w:lang w:val="es-ES_tradnl"/>
        </w:rPr>
        <w:tab/>
      </w:r>
      <w:r w:rsidRPr="00332758">
        <w:rPr>
          <w:lang w:val="es-ES_tradnl"/>
        </w:rPr>
        <w:t xml:space="preserve">En 2013 se registraron mejoras tanto en lo concerniente a la igualdad de sexos como en lo relativo a la diversidad geográfica.  </w:t>
      </w:r>
      <w:r w:rsidRPr="00A34388">
        <w:rPr>
          <w:lang w:val="es-ES_tradnl"/>
        </w:rPr>
        <w:t xml:space="preserve">En julio de 2013 se contrató a un especialista de género y diversidad. </w:t>
      </w:r>
      <w:r w:rsidR="0084061B" w:rsidRPr="00A34388">
        <w:rPr>
          <w:lang w:val="es-ES_tradnl"/>
        </w:rPr>
        <w:t xml:space="preserve"> </w:t>
      </w:r>
      <w:r w:rsidRPr="00A34388">
        <w:rPr>
          <w:lang w:val="es-ES_tradnl"/>
        </w:rPr>
        <w:t xml:space="preserve">Se realizó una campaña piloto de diversidad destinada a incrementar el número de solicitantes de empleo procedentes de regiones con poca o nula representación.  Se redactó una política sobre igualdad de género de la OMPI, junto con un plan de acción conexo, que fue ampliamente difundida para su consulta.  Se estableció un sistema de coordinador de género para toda la Organización con el fin de facilitar los avances en la integración del género en los programas de la OMPI. </w:t>
      </w:r>
    </w:p>
    <w:p w:rsidR="009124B0" w:rsidRPr="00A34388" w:rsidRDefault="009124B0" w:rsidP="009124B0">
      <w:pPr>
        <w:tabs>
          <w:tab w:val="left" w:pos="709"/>
        </w:tabs>
        <w:jc w:val="both"/>
        <w:rPr>
          <w:szCs w:val="20"/>
          <w:lang w:val="es-ES_tradnl"/>
        </w:rPr>
      </w:pPr>
    </w:p>
    <w:p w:rsidR="009124B0" w:rsidRPr="00A34388" w:rsidRDefault="009124B0" w:rsidP="009124B0">
      <w:pPr>
        <w:pStyle w:val="Style1"/>
        <w:numPr>
          <w:ilvl w:val="0"/>
          <w:numId w:val="0"/>
        </w:numPr>
        <w:tabs>
          <w:tab w:val="left" w:pos="709"/>
        </w:tabs>
        <w:jc w:val="both"/>
        <w:rPr>
          <w:szCs w:val="20"/>
          <w:lang w:val="es-ES_tradnl"/>
        </w:rPr>
      </w:pPr>
      <w:r w:rsidRPr="00A34388">
        <w:rPr>
          <w:lang w:val="es-ES_tradnl"/>
        </w:rPr>
        <w:t>23.11.</w:t>
      </w:r>
      <w:r w:rsidRPr="00A34388">
        <w:rPr>
          <w:lang w:val="es-ES_tradnl"/>
        </w:rPr>
        <w:tab/>
        <w:t xml:space="preserve">En 2012 se formularon nuevas políticas dirigidas a respaldar la reforma contractual y a establecer prácticas óptimas en sintonía con los estándares internacionales.  Se establecieron, entre otros, nuevos marcos y directrices para los programas no relativos al personal, como los programas sobre pasantes y becas.  También se establecieron políticas y procedimientos para adoptar un nuevo enfoque en la planificación de las clasificaciones y reclasificaciones de los puestos, la edad de jubilación se alineó con la recomendación de la CAPI y se adoptaron las normas de conducta revisadas de la administración pública internacional de las Naciones Unidas.  </w:t>
      </w:r>
    </w:p>
    <w:p w:rsidR="009124B0" w:rsidRPr="00A34388" w:rsidRDefault="009124B0" w:rsidP="009124B0">
      <w:pPr>
        <w:tabs>
          <w:tab w:val="left" w:pos="709"/>
        </w:tabs>
        <w:jc w:val="both"/>
        <w:rPr>
          <w:rFonts w:cs="Arial"/>
          <w:szCs w:val="20"/>
          <w:lang w:val="es-ES_tradnl"/>
        </w:rPr>
      </w:pPr>
    </w:p>
    <w:p w:rsidR="00CD5978" w:rsidRPr="00A34388" w:rsidRDefault="009124B0" w:rsidP="009124B0">
      <w:pPr>
        <w:pStyle w:val="Style1"/>
        <w:numPr>
          <w:ilvl w:val="0"/>
          <w:numId w:val="0"/>
        </w:numPr>
        <w:tabs>
          <w:tab w:val="left" w:pos="709"/>
        </w:tabs>
        <w:jc w:val="both"/>
        <w:rPr>
          <w:lang w:val="es-ES_tradnl"/>
        </w:rPr>
      </w:pPr>
      <w:r w:rsidRPr="00A34388">
        <w:rPr>
          <w:lang w:val="es-ES_tradnl"/>
        </w:rPr>
        <w:t>23.12.</w:t>
      </w:r>
      <w:r w:rsidRPr="00A34388">
        <w:rPr>
          <w:lang w:val="es-ES_tradnl"/>
        </w:rPr>
        <w:tab/>
      </w:r>
      <w:r w:rsidR="00CD5978" w:rsidRPr="00A34388">
        <w:rPr>
          <w:lang w:val="es-ES_tradnl"/>
        </w:rPr>
        <w:t>Una revisión del sistema de justicia interna, que incluyó un estudio exhaustivo a cargo de un experto externo y numerosas consultas con distintos sectores interesados, dio lugar a la introducción de una serie de enmiendas en el Estatuto y Reglamento del Personal, que entraron en vigor el 1 de enero de 2014</w:t>
      </w:r>
      <w:r w:rsidR="00537926" w:rsidRPr="00A34388">
        <w:rPr>
          <w:lang w:val="es-ES_tradnl"/>
        </w:rPr>
        <w:t xml:space="preserve">. </w:t>
      </w:r>
      <w:r w:rsidR="00CD5978" w:rsidRPr="00A34388">
        <w:rPr>
          <w:lang w:val="es-ES_tradnl"/>
        </w:rPr>
        <w:t xml:space="preserve"> El sistema de justicia interna mejorado prevé mecanismos formales simplificados, y procedimientos nuevos y transparentes para la gestión de las reclamaciones</w:t>
      </w:r>
      <w:r w:rsidR="00537926" w:rsidRPr="00A34388">
        <w:rPr>
          <w:lang w:val="es-ES_tradnl"/>
        </w:rPr>
        <w:t xml:space="preserve">. </w:t>
      </w:r>
      <w:r w:rsidR="00CD5978" w:rsidRPr="00A34388">
        <w:rPr>
          <w:lang w:val="es-ES_tradnl"/>
        </w:rPr>
        <w:t xml:space="preserve"> Por primera vez, la solución informal de controversias se fomenta expresamente en el Estatuto y Reglamento del Personal, al tiempo que se ha reforzado la Oficina del Mediador.</w:t>
      </w:r>
    </w:p>
    <w:p w:rsidR="009124B0" w:rsidRPr="00A34388" w:rsidRDefault="009124B0" w:rsidP="009124B0">
      <w:pPr>
        <w:tabs>
          <w:tab w:val="left" w:pos="709"/>
        </w:tabs>
        <w:rPr>
          <w:rFonts w:cs="Arial"/>
          <w:bCs/>
          <w:szCs w:val="22"/>
          <w:lang w:val="es-ES_tradnl"/>
        </w:rPr>
      </w:pPr>
    </w:p>
    <w:p w:rsidR="009124B0" w:rsidRPr="00A34388" w:rsidRDefault="009124B0" w:rsidP="009124B0">
      <w:pPr>
        <w:tabs>
          <w:tab w:val="left" w:pos="709"/>
        </w:tabs>
        <w:rPr>
          <w:rFonts w:cs="Arial"/>
          <w:bCs/>
          <w:sz w:val="22"/>
          <w:szCs w:val="22"/>
          <w:lang w:val="es-ES_tradnl"/>
        </w:rPr>
      </w:pPr>
      <w:r w:rsidRPr="00332758">
        <w:rPr>
          <w:sz w:val="22"/>
          <w:lang w:val="es-ES_tradnl"/>
        </w:rPr>
        <w:t>APLICACIÓN DE LA AGENDA PARA EL DESARROLLO</w:t>
      </w:r>
      <w:r w:rsidRPr="00A34388">
        <w:rPr>
          <w:sz w:val="22"/>
          <w:lang w:val="es-ES_tradnl"/>
        </w:rPr>
        <w:t xml:space="preserve"> </w:t>
      </w:r>
    </w:p>
    <w:p w:rsidR="009124B0" w:rsidRPr="00332758" w:rsidRDefault="009124B0" w:rsidP="009124B0">
      <w:pPr>
        <w:tabs>
          <w:tab w:val="left" w:pos="709"/>
        </w:tabs>
        <w:rPr>
          <w:lang w:val="es-ES_tradnl"/>
        </w:rPr>
      </w:pPr>
    </w:p>
    <w:p w:rsidR="009124B0" w:rsidRPr="00A34388" w:rsidRDefault="009124B0" w:rsidP="009124B0">
      <w:pPr>
        <w:tabs>
          <w:tab w:val="left" w:pos="709"/>
        </w:tabs>
        <w:jc w:val="both"/>
        <w:rPr>
          <w:rFonts w:cs="Arial"/>
          <w:bCs/>
          <w:szCs w:val="20"/>
          <w:lang w:val="es-ES_tradnl"/>
        </w:rPr>
      </w:pPr>
      <w:r w:rsidRPr="00332758">
        <w:rPr>
          <w:lang w:val="es-ES_tradnl"/>
        </w:rPr>
        <w:t>23.13.</w:t>
      </w:r>
      <w:r w:rsidRPr="00A34388">
        <w:rPr>
          <w:lang w:val="es-ES_tradnl"/>
        </w:rPr>
        <w:tab/>
      </w:r>
      <w:r w:rsidRPr="00332758">
        <w:rPr>
          <w:lang w:val="es-ES_tradnl"/>
        </w:rPr>
        <w:t xml:space="preserve">Las Normas de conducta de la administración pública internacional de las Naciones Unidas continúan siendo incorporadas a todos los contratos de la OMPI.  </w:t>
      </w:r>
      <w:r w:rsidRPr="00A34388">
        <w:rPr>
          <w:lang w:val="es-ES_tradnl"/>
        </w:rPr>
        <w:t>Asimismo, en el marco del sistema sobre ética e integridad de la OMPI, en 2013 se desarrolló una política de protección de los denunciantes de irregularidades, y se llevó a cabo un programa de formación sobre ética e integridad, con carácter obligatorio para el personal de toda la Organización</w:t>
      </w:r>
      <w:r w:rsidR="00537926" w:rsidRPr="00A34388">
        <w:rPr>
          <w:lang w:val="es-ES_tradnl"/>
        </w:rPr>
        <w:t xml:space="preserve">. </w:t>
      </w:r>
      <w:r w:rsidRPr="00A34388">
        <w:rPr>
          <w:lang w:val="es-ES_tradnl"/>
        </w:rPr>
        <w:t xml:space="preserve"> </w:t>
      </w:r>
      <w:r w:rsidRPr="00332758">
        <w:rPr>
          <w:lang w:val="es-ES_tradnl"/>
        </w:rPr>
        <w:t>La Lista de consultores presentada ante el CDIP/3 fue integrada con el proyecto de Base de datos de asistencia técnica en materia de propiedad intelectual (IP-TAD) y continúa siendo actualizada con regularidad.</w:t>
      </w:r>
    </w:p>
    <w:p w:rsidR="009124B0" w:rsidRPr="00A34388" w:rsidRDefault="009124B0" w:rsidP="009124B0">
      <w:pPr>
        <w:jc w:val="both"/>
        <w:rPr>
          <w:rFonts w:cs="Arial"/>
          <w:bCs/>
          <w:sz w:val="18"/>
          <w:szCs w:val="18"/>
          <w:lang w:val="es-ES_tradnl"/>
        </w:rPr>
      </w:pPr>
    </w:p>
    <w:p w:rsidR="009124B0" w:rsidRPr="00A34388" w:rsidRDefault="009124B0" w:rsidP="009124B0">
      <w:pPr>
        <w:jc w:val="both"/>
        <w:rPr>
          <w:rFonts w:cs="Arial"/>
          <w:bCs/>
          <w:sz w:val="18"/>
          <w:szCs w:val="18"/>
          <w:lang w:val="es-ES_tradnl"/>
        </w:rPr>
      </w:pPr>
    </w:p>
    <w:p w:rsidR="009124B0" w:rsidRPr="00A34388" w:rsidRDefault="009124B0" w:rsidP="009124B0">
      <w:pPr>
        <w:rPr>
          <w:rFonts w:cs="Arial"/>
          <w:szCs w:val="22"/>
          <w:lang w:val="es-ES_tradnl"/>
        </w:rPr>
      </w:pPr>
      <w:r w:rsidRPr="00A34388">
        <w:rPr>
          <w:lang w:val="es-ES_tradnl"/>
        </w:rPr>
        <w:br w:type="page"/>
      </w:r>
    </w:p>
    <w:p w:rsidR="009124B0" w:rsidRPr="00A34388" w:rsidRDefault="009124B0" w:rsidP="009124B0">
      <w:pPr>
        <w:jc w:val="both"/>
        <w:rPr>
          <w:rFonts w:cs="Arial"/>
          <w:szCs w:val="22"/>
          <w:lang w:val="es-ES_tradnl"/>
        </w:rPr>
      </w:pPr>
      <w:r w:rsidRPr="00332758">
        <w:rPr>
          <w:lang w:val="es-ES_tradnl"/>
        </w:rPr>
        <w:lastRenderedPageBreak/>
        <w:t>DATOS SOBRE EL RENDIMIENTO</w:t>
      </w:r>
    </w:p>
    <w:p w:rsidR="009124B0" w:rsidRPr="00A34388" w:rsidRDefault="009124B0" w:rsidP="009124B0">
      <w:pPr>
        <w:jc w:val="both"/>
        <w:rPr>
          <w:b/>
          <w:sz w:val="16"/>
          <w:szCs w:val="16"/>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933"/>
        <w:gridCol w:w="1463"/>
        <w:gridCol w:w="3078"/>
        <w:gridCol w:w="1273"/>
      </w:tblGrid>
      <w:tr w:rsidR="009124B0" w:rsidRPr="00A9508D"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spacing w:before="120" w:after="120"/>
              <w:ind w:left="1701" w:hanging="1701"/>
              <w:jc w:val="both"/>
              <w:rPr>
                <w:rFonts w:cs="Arial"/>
                <w:bCs/>
                <w:sz w:val="16"/>
                <w:szCs w:val="16"/>
                <w:lang w:val="es-ES_tradnl"/>
              </w:rPr>
            </w:pPr>
            <w:r w:rsidRPr="00332758">
              <w:rPr>
                <w:b/>
                <w:sz w:val="16"/>
                <w:lang w:val="es-ES_tradnl"/>
              </w:rPr>
              <w:t>Resultado previsto:</w:t>
            </w:r>
            <w:r w:rsidRPr="00A34388">
              <w:rPr>
                <w:lang w:val="es-ES_tradnl"/>
              </w:rPr>
              <w:tab/>
            </w:r>
            <w:r w:rsidRPr="00332758">
              <w:rPr>
                <w:sz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9124B0" w:rsidRPr="00A34388" w:rsidTr="00730F86">
        <w:tc>
          <w:tcPr>
            <w:tcW w:w="860" w:type="pct"/>
            <w:tcBorders>
              <w:top w:val="single" w:sz="4" w:space="0" w:color="auto"/>
            </w:tcBorders>
            <w:shd w:val="clear" w:color="auto" w:fill="auto"/>
            <w:vAlign w:val="center"/>
          </w:tcPr>
          <w:p w:rsidR="009124B0" w:rsidRPr="00A34388" w:rsidRDefault="009124B0" w:rsidP="00730F86">
            <w:pPr>
              <w:spacing w:after="120"/>
              <w:rPr>
                <w:rFonts w:cs="Arial"/>
                <w:color w:val="808080"/>
                <w:sz w:val="16"/>
                <w:szCs w:val="16"/>
                <w:lang w:val="es-ES_tradnl"/>
              </w:rPr>
            </w:pPr>
            <w:r w:rsidRPr="00332758">
              <w:rPr>
                <w:b/>
                <w:sz w:val="16"/>
                <w:lang w:val="es-ES_tradnl"/>
              </w:rPr>
              <w:t>Indicadores de rendimiento</w:t>
            </w:r>
          </w:p>
        </w:tc>
        <w:tc>
          <w:tcPr>
            <w:tcW w:w="1033" w:type="pct"/>
            <w:tcBorders>
              <w:top w:val="single" w:sz="4" w:space="0" w:color="auto"/>
            </w:tcBorders>
            <w:shd w:val="clear" w:color="auto" w:fill="auto"/>
            <w:vAlign w:val="center"/>
          </w:tcPr>
          <w:p w:rsidR="009124B0" w:rsidRPr="00A34388" w:rsidRDefault="009124B0" w:rsidP="00730F86">
            <w:pPr>
              <w:spacing w:after="120"/>
              <w:rPr>
                <w:rFonts w:cs="Arial"/>
                <w:b/>
                <w:bCs/>
                <w:color w:val="808080"/>
                <w:sz w:val="16"/>
                <w:szCs w:val="16"/>
                <w:lang w:val="es-ES_tradnl"/>
              </w:rPr>
            </w:pPr>
            <w:r w:rsidRPr="00332758">
              <w:rPr>
                <w:b/>
                <w:sz w:val="16"/>
                <w:lang w:val="es-ES_tradnl"/>
              </w:rPr>
              <w:t>Referencia</w:t>
            </w:r>
          </w:p>
        </w:tc>
        <w:tc>
          <w:tcPr>
            <w:tcW w:w="782" w:type="pct"/>
            <w:tcBorders>
              <w:top w:val="single" w:sz="4" w:space="0" w:color="auto"/>
            </w:tcBorders>
            <w:shd w:val="clear" w:color="auto" w:fill="auto"/>
            <w:tcMar>
              <w:top w:w="110" w:type="dxa"/>
            </w:tcMar>
            <w:vAlign w:val="center"/>
          </w:tcPr>
          <w:p w:rsidR="009124B0" w:rsidRPr="00A34388" w:rsidRDefault="009124B0" w:rsidP="00730F86">
            <w:pPr>
              <w:spacing w:after="120"/>
              <w:rPr>
                <w:rFonts w:cs="Arial"/>
                <w:b/>
                <w:color w:val="808080"/>
                <w:sz w:val="16"/>
                <w:szCs w:val="16"/>
                <w:lang w:val="es-ES_tradnl"/>
              </w:rPr>
            </w:pPr>
            <w:r w:rsidRPr="00332758">
              <w:rPr>
                <w:b/>
                <w:sz w:val="16"/>
                <w:lang w:val="es-ES_tradnl"/>
              </w:rPr>
              <w:t>Objetivos</w:t>
            </w:r>
          </w:p>
        </w:tc>
        <w:tc>
          <w:tcPr>
            <w:tcW w:w="1645" w:type="pct"/>
            <w:tcBorders>
              <w:top w:val="single" w:sz="4" w:space="0" w:color="auto"/>
            </w:tcBorders>
            <w:shd w:val="clear" w:color="auto" w:fill="FFFFFF"/>
            <w:tcMar>
              <w:top w:w="110" w:type="dxa"/>
            </w:tcMar>
            <w:vAlign w:val="center"/>
          </w:tcPr>
          <w:p w:rsidR="009124B0" w:rsidRPr="00A34388" w:rsidRDefault="009124B0" w:rsidP="00730F86">
            <w:pPr>
              <w:spacing w:after="120"/>
              <w:rPr>
                <w:rFonts w:cs="Arial"/>
                <w:color w:val="808080"/>
                <w:sz w:val="16"/>
                <w:szCs w:val="16"/>
                <w:lang w:val="es-ES_tradnl"/>
              </w:rPr>
            </w:pPr>
            <w:r w:rsidRPr="00332758">
              <w:rPr>
                <w:b/>
                <w:sz w:val="16"/>
                <w:lang w:val="es-ES_tradnl"/>
              </w:rPr>
              <w:t>Datos sobre el rendimiento</w:t>
            </w:r>
          </w:p>
        </w:tc>
        <w:tc>
          <w:tcPr>
            <w:tcW w:w="680" w:type="pct"/>
            <w:tcBorders>
              <w:top w:val="single" w:sz="4" w:space="0" w:color="auto"/>
            </w:tcBorders>
            <w:shd w:val="clear" w:color="auto" w:fill="auto"/>
            <w:tcMar>
              <w:top w:w="110" w:type="dxa"/>
            </w:tcMar>
            <w:vAlign w:val="center"/>
          </w:tcPr>
          <w:p w:rsidR="009124B0" w:rsidRPr="00332758" w:rsidRDefault="009124B0" w:rsidP="00730F86">
            <w:pPr>
              <w:spacing w:after="120"/>
              <w:jc w:val="center"/>
              <w:rPr>
                <w:rFonts w:cs="Arial"/>
                <w:b/>
                <w:bCs/>
                <w:sz w:val="16"/>
                <w:szCs w:val="16"/>
                <w:lang w:val="es-ES_tradnl"/>
              </w:rPr>
            </w:pPr>
            <w:r w:rsidRPr="00332758">
              <w:rPr>
                <w:b/>
                <w:sz w:val="16"/>
                <w:lang w:val="es-ES_tradnl"/>
              </w:rPr>
              <w:t>Clave de colores</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Menos tiempo desde el inicio hasta la finalización de las transacciones ordinarias relativas a los recursos humanos (subsidio de educación y subsidio por mantenimiento).</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CD0572"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Cuatro días</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Tres días</w:t>
            </w:r>
          </w:p>
        </w:tc>
        <w:tc>
          <w:tcPr>
            <w:tcW w:w="782" w:type="pct"/>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Dos días</w:t>
            </w:r>
            <w:r w:rsidRPr="00A34388">
              <w:rPr>
                <w:sz w:val="16"/>
                <w:lang w:val="es-ES_tradnl"/>
              </w:rPr>
              <w:t xml:space="preserve"> </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Cuatro días:  Se espera que el objetivo se alcance un año después de la entrada en servicio del módulo PRI-RR.HH. (esto es, en 2015)</w:t>
            </w:r>
          </w:p>
        </w:tc>
        <w:tc>
          <w:tcPr>
            <w:tcW w:w="680" w:type="pct"/>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FF0000"/>
                <w:sz w:val="16"/>
                <w:lang w:val="es-ES_tradnl"/>
              </w:rPr>
              <w:t>No logrado</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Relación entre el número de empleados (equivalentes en jornadas completas) y el personal de recursos humanos.</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CD0572"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29,3.</w:t>
            </w:r>
          </w:p>
          <w:p w:rsidR="009124B0" w:rsidRPr="00A34388" w:rsidRDefault="009124B0" w:rsidP="00730F86">
            <w:pPr>
              <w:rPr>
                <w:rFonts w:cs="Arial"/>
                <w:i/>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Un empleado de RR.HH. por cada 31 empleados de la Organización (enero de 2011)</w:t>
            </w:r>
          </w:p>
        </w:tc>
        <w:tc>
          <w:tcPr>
            <w:tcW w:w="782"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 xml:space="preserve">Un empleado de RR.HH. por cada 50 empleados de la Organización </w:t>
            </w:r>
          </w:p>
          <w:p w:rsidR="009124B0" w:rsidRPr="00A34388" w:rsidRDefault="009124B0" w:rsidP="00730F86">
            <w:pPr>
              <w:rPr>
                <w:rFonts w:cs="Arial"/>
                <w:sz w:val="16"/>
                <w:szCs w:val="16"/>
                <w:lang w:val="es-ES_tradnl"/>
              </w:rPr>
            </w:pPr>
            <w:r w:rsidRPr="00A34388">
              <w:rPr>
                <w:rFonts w:ascii="ArialMT" w:hAnsi="ArialMT"/>
                <w:sz w:val="16"/>
                <w:lang w:val="es-ES_tradnl"/>
              </w:rPr>
              <w:t>(enero de 2011)</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 xml:space="preserve">Bienio: </w:t>
            </w:r>
            <w:r w:rsidR="007E4D96" w:rsidRPr="00A34388">
              <w:rPr>
                <w:sz w:val="16"/>
                <w:lang w:val="es-ES_tradnl"/>
              </w:rPr>
              <w:t xml:space="preserve"> </w:t>
            </w:r>
            <w:r w:rsidRPr="00A34388">
              <w:rPr>
                <w:sz w:val="16"/>
                <w:lang w:val="es-ES_tradnl"/>
              </w:rPr>
              <w:t>30,75.</w:t>
            </w:r>
          </w:p>
          <w:p w:rsidR="009124B0" w:rsidRPr="00A34388" w:rsidRDefault="009124B0" w:rsidP="009124B0">
            <w:pPr>
              <w:pStyle w:val="ListParagraph"/>
              <w:numPr>
                <w:ilvl w:val="0"/>
                <w:numId w:val="57"/>
              </w:numPr>
              <w:ind w:hanging="229"/>
              <w:rPr>
                <w:rFonts w:cs="Arial"/>
                <w:sz w:val="16"/>
                <w:szCs w:val="16"/>
                <w:lang w:val="es-ES_tradnl"/>
              </w:rPr>
            </w:pPr>
            <w:r w:rsidRPr="00A34388">
              <w:rPr>
                <w:sz w:val="16"/>
                <w:lang w:val="es-ES_tradnl"/>
              </w:rPr>
              <w:t>2012:</w:t>
            </w:r>
            <w:r w:rsidR="007E4D96" w:rsidRPr="00A34388">
              <w:rPr>
                <w:sz w:val="16"/>
                <w:lang w:val="es-ES_tradnl"/>
              </w:rPr>
              <w:t xml:space="preserve"> </w:t>
            </w:r>
            <w:r w:rsidRPr="00A34388">
              <w:rPr>
                <w:sz w:val="16"/>
                <w:lang w:val="es-ES_tradnl"/>
              </w:rPr>
              <w:t xml:space="preserve"> 31.</w:t>
            </w:r>
          </w:p>
          <w:p w:rsidR="009124B0" w:rsidRPr="00A34388" w:rsidRDefault="009124B0" w:rsidP="009124B0">
            <w:pPr>
              <w:pStyle w:val="ListParagraph"/>
              <w:numPr>
                <w:ilvl w:val="0"/>
                <w:numId w:val="57"/>
              </w:numPr>
              <w:ind w:hanging="229"/>
              <w:rPr>
                <w:rFonts w:cs="Arial"/>
                <w:sz w:val="16"/>
                <w:szCs w:val="16"/>
                <w:lang w:val="es-ES_tradnl"/>
              </w:rPr>
            </w:pPr>
            <w:r w:rsidRPr="00A34388">
              <w:rPr>
                <w:sz w:val="16"/>
                <w:lang w:val="es-ES_tradnl"/>
              </w:rPr>
              <w:t xml:space="preserve">2013: </w:t>
            </w:r>
            <w:r w:rsidR="007E4D96" w:rsidRPr="00A34388">
              <w:rPr>
                <w:sz w:val="16"/>
                <w:lang w:val="es-ES_tradnl"/>
              </w:rPr>
              <w:t xml:space="preserve"> </w:t>
            </w:r>
            <w:r w:rsidRPr="00A34388">
              <w:rPr>
                <w:sz w:val="16"/>
                <w:lang w:val="es-ES_tradnl"/>
              </w:rPr>
              <w:t>30,5.</w:t>
            </w:r>
          </w:p>
        </w:tc>
        <w:tc>
          <w:tcPr>
            <w:tcW w:w="680" w:type="pct"/>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FF0000"/>
                <w:sz w:val="16"/>
                <w:lang w:val="es-ES_tradnl"/>
              </w:rPr>
              <w:t>No logrado</w:t>
            </w:r>
          </w:p>
        </w:tc>
      </w:tr>
      <w:tr w:rsidR="009124B0" w:rsidRPr="00A34388" w:rsidTr="00730F86">
        <w:tc>
          <w:tcPr>
            <w:tcW w:w="860" w:type="pct"/>
            <w:tcBorders>
              <w:bottom w:val="single" w:sz="4" w:space="0" w:color="auto"/>
            </w:tcBorders>
            <w:shd w:val="clear" w:color="auto" w:fill="auto"/>
          </w:tcPr>
          <w:p w:rsidR="009124B0" w:rsidRPr="00A34388" w:rsidRDefault="009124B0" w:rsidP="00730F86">
            <w:pPr>
              <w:rPr>
                <w:rFonts w:cs="Arial"/>
                <w:sz w:val="16"/>
                <w:szCs w:val="16"/>
                <w:lang w:val="es-ES_tradnl"/>
              </w:rPr>
            </w:pPr>
            <w:r w:rsidRPr="00332758">
              <w:rPr>
                <w:sz w:val="16"/>
                <w:lang w:val="es-ES_tradnl"/>
              </w:rPr>
              <w:t>Porcentaje de miembros del personal satisfechos con los servicios de recursos humanos.</w:t>
            </w:r>
          </w:p>
        </w:tc>
        <w:tc>
          <w:tcPr>
            <w:tcW w:w="1033" w:type="pct"/>
            <w:tcBorders>
              <w:bottom w:val="single" w:sz="4" w:space="0" w:color="auto"/>
            </w:tcBorders>
            <w:shd w:val="clear" w:color="auto" w:fill="auto"/>
          </w:tcPr>
          <w:p w:rsidR="009124B0" w:rsidRPr="00EA008C" w:rsidRDefault="009124B0" w:rsidP="00730F86">
            <w:pPr>
              <w:rPr>
                <w:rFonts w:cs="Arial"/>
                <w:i/>
                <w:color w:val="002060"/>
                <w:sz w:val="16"/>
                <w:szCs w:val="16"/>
                <w:lang w:val="es-ES_tradnl"/>
              </w:rPr>
            </w:pPr>
            <w:r w:rsidRPr="00EA008C">
              <w:rPr>
                <w:i/>
                <w:color w:val="002060"/>
                <w:sz w:val="16"/>
                <w:lang w:val="es-ES_tradnl"/>
              </w:rPr>
              <w:t xml:space="preserve">Referencia actualizada a fines de 2011:  </w:t>
            </w:r>
          </w:p>
          <w:p w:rsidR="009124B0" w:rsidRPr="00EA008C" w:rsidRDefault="009124B0" w:rsidP="00730F86">
            <w:pPr>
              <w:rPr>
                <w:rFonts w:cs="Arial"/>
                <w:color w:val="002060"/>
                <w:spacing w:val="-4"/>
                <w:sz w:val="16"/>
                <w:szCs w:val="16"/>
                <w:lang w:val="es-ES_tradnl"/>
              </w:rPr>
            </w:pPr>
            <w:r w:rsidRPr="00EA008C">
              <w:rPr>
                <w:color w:val="002060"/>
                <w:spacing w:val="-4"/>
                <w:sz w:val="16"/>
                <w:lang w:val="es-ES_tradnl"/>
              </w:rPr>
              <w:t>Muy satisfechos: 31</w:t>
            </w:r>
            <w:r w:rsidR="00CD0572" w:rsidRPr="00EA008C">
              <w:rPr>
                <w:color w:val="002060"/>
                <w:spacing w:val="-4"/>
                <w:sz w:val="16"/>
                <w:lang w:val="es-ES_tradnl"/>
              </w:rPr>
              <w:t>,</w:t>
            </w:r>
            <w:r w:rsidRPr="00EA008C">
              <w:rPr>
                <w:color w:val="002060"/>
                <w:spacing w:val="-4"/>
                <w:sz w:val="16"/>
                <w:lang w:val="es-ES_tradnl"/>
              </w:rPr>
              <w:t>8% Satisfechos: 45</w:t>
            </w:r>
            <w:r w:rsidR="00CD0572" w:rsidRPr="00EA008C">
              <w:rPr>
                <w:color w:val="002060"/>
                <w:spacing w:val="-4"/>
                <w:sz w:val="16"/>
                <w:lang w:val="es-ES_tradnl"/>
              </w:rPr>
              <w:t>,</w:t>
            </w:r>
            <w:r w:rsidRPr="00EA008C">
              <w:rPr>
                <w:color w:val="002060"/>
                <w:spacing w:val="-4"/>
                <w:sz w:val="16"/>
                <w:lang w:val="es-ES_tradnl"/>
              </w:rPr>
              <w:t>5% Insatisfechos: 18</w:t>
            </w:r>
            <w:r w:rsidR="00CD0572" w:rsidRPr="00EA008C">
              <w:rPr>
                <w:color w:val="002060"/>
                <w:spacing w:val="-4"/>
                <w:sz w:val="16"/>
                <w:lang w:val="es-ES_tradnl"/>
              </w:rPr>
              <w:t>,</w:t>
            </w:r>
            <w:r w:rsidRPr="00EA008C">
              <w:rPr>
                <w:color w:val="002060"/>
                <w:spacing w:val="-4"/>
                <w:sz w:val="16"/>
                <w:lang w:val="es-ES_tradnl"/>
              </w:rPr>
              <w:t>2% Muy insatisfechos: 4,5%</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rFonts w:cs="Arial"/>
                <w:sz w:val="16"/>
                <w:szCs w:val="16"/>
                <w:lang w:val="es-ES_tradnl"/>
              </w:rPr>
              <w:br/>
            </w:r>
            <w:r w:rsidRPr="00A34388">
              <w:rPr>
                <w:sz w:val="16"/>
                <w:lang w:val="es-ES_tradnl"/>
              </w:rPr>
              <w:t xml:space="preserve">Muy satisfechos:  30,8% Satisfechos:  48,2%, Insatisfechos: </w:t>
            </w:r>
            <w:r w:rsidR="007E4D96" w:rsidRPr="00A34388">
              <w:rPr>
                <w:sz w:val="16"/>
                <w:lang w:val="es-ES_tradnl"/>
              </w:rPr>
              <w:t xml:space="preserve"> </w:t>
            </w:r>
            <w:r w:rsidRPr="00A34388">
              <w:rPr>
                <w:sz w:val="16"/>
                <w:lang w:val="es-ES_tradnl"/>
              </w:rPr>
              <w:t xml:space="preserve">17,9% </w:t>
            </w:r>
          </w:p>
          <w:p w:rsidR="009124B0" w:rsidRPr="00A34388" w:rsidRDefault="009124B0" w:rsidP="00730F86">
            <w:pPr>
              <w:rPr>
                <w:rFonts w:cs="Arial"/>
                <w:spacing w:val="-4"/>
                <w:sz w:val="16"/>
                <w:szCs w:val="16"/>
                <w:lang w:val="es-ES_tradnl"/>
              </w:rPr>
            </w:pPr>
            <w:r w:rsidRPr="00A34388">
              <w:rPr>
                <w:spacing w:val="-4"/>
                <w:sz w:val="16"/>
                <w:lang w:val="es-ES_tradnl"/>
              </w:rPr>
              <w:t xml:space="preserve">Muy insatisfechos: </w:t>
            </w:r>
            <w:r w:rsidR="007E4D96" w:rsidRPr="00A34388">
              <w:rPr>
                <w:spacing w:val="-4"/>
                <w:sz w:val="16"/>
                <w:lang w:val="es-ES_tradnl"/>
              </w:rPr>
              <w:t xml:space="preserve"> </w:t>
            </w:r>
            <w:r w:rsidRPr="00A34388">
              <w:rPr>
                <w:spacing w:val="-4"/>
                <w:sz w:val="16"/>
                <w:lang w:val="es-ES_tradnl"/>
              </w:rPr>
              <w:t>3,1%</w:t>
            </w:r>
          </w:p>
        </w:tc>
        <w:tc>
          <w:tcPr>
            <w:tcW w:w="782" w:type="pct"/>
            <w:tcBorders>
              <w:bottom w:val="single" w:sz="4" w:space="0" w:color="auto"/>
            </w:tcBorders>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50% Muy satisfechos</w:t>
            </w:r>
          </w:p>
        </w:tc>
        <w:tc>
          <w:tcPr>
            <w:tcW w:w="1645" w:type="pct"/>
            <w:tcBorders>
              <w:bottom w:val="single" w:sz="4" w:space="0" w:color="auto"/>
            </w:tcBorders>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Bienio:</w:t>
            </w:r>
          </w:p>
          <w:p w:rsidR="009124B0" w:rsidRPr="00A34388" w:rsidRDefault="009124B0" w:rsidP="00730F86">
            <w:pPr>
              <w:rPr>
                <w:rFonts w:cs="Arial"/>
                <w:sz w:val="8"/>
                <w:szCs w:val="8"/>
                <w:lang w:val="es-ES_tradnl"/>
              </w:rPr>
            </w:pPr>
          </w:p>
          <w:p w:rsidR="009124B0" w:rsidRPr="00A34388" w:rsidRDefault="009124B0" w:rsidP="00730F86">
            <w:pPr>
              <w:ind w:left="131"/>
              <w:rPr>
                <w:rFonts w:cs="Arial"/>
                <w:sz w:val="16"/>
                <w:szCs w:val="16"/>
                <w:lang w:val="es-ES_tradnl"/>
              </w:rPr>
            </w:pPr>
            <w:r w:rsidRPr="00332758">
              <w:rPr>
                <w:sz w:val="16"/>
                <w:lang w:val="es-ES_tradnl"/>
              </w:rPr>
              <w:t>Muy satisfechos: 31</w:t>
            </w:r>
            <w:r w:rsidR="00CD0572" w:rsidRPr="00332758">
              <w:rPr>
                <w:sz w:val="16"/>
                <w:lang w:val="es-ES_tradnl"/>
              </w:rPr>
              <w:t>,</w:t>
            </w:r>
            <w:r w:rsidRPr="00332758">
              <w:rPr>
                <w:sz w:val="16"/>
                <w:lang w:val="es-ES_tradnl"/>
              </w:rPr>
              <w:t>2% Satisfechos: 47</w:t>
            </w:r>
            <w:r w:rsidR="00CD0572" w:rsidRPr="00332758">
              <w:rPr>
                <w:sz w:val="16"/>
                <w:lang w:val="es-ES_tradnl"/>
              </w:rPr>
              <w:t>,</w:t>
            </w:r>
            <w:r w:rsidRPr="00332758">
              <w:rPr>
                <w:sz w:val="16"/>
                <w:lang w:val="es-ES_tradnl"/>
              </w:rPr>
              <w:t>45% Insatisfechos: 18</w:t>
            </w:r>
            <w:r w:rsidR="00CD0572" w:rsidRPr="00332758">
              <w:rPr>
                <w:sz w:val="16"/>
                <w:lang w:val="es-ES_tradnl"/>
              </w:rPr>
              <w:t>,</w:t>
            </w:r>
            <w:r w:rsidRPr="00332758">
              <w:rPr>
                <w:sz w:val="16"/>
                <w:lang w:val="es-ES_tradnl"/>
              </w:rPr>
              <w:t>05% Muy insatisfechos: 3,3%</w:t>
            </w:r>
          </w:p>
          <w:p w:rsidR="009124B0" w:rsidRPr="00A34388" w:rsidRDefault="009124B0" w:rsidP="00730F86">
            <w:pPr>
              <w:ind w:left="131"/>
              <w:rPr>
                <w:rFonts w:cs="Arial"/>
                <w:sz w:val="8"/>
                <w:szCs w:val="8"/>
                <w:lang w:val="es-ES_tradnl"/>
              </w:rPr>
            </w:pPr>
          </w:p>
          <w:p w:rsidR="009124B0" w:rsidRPr="00A34388" w:rsidRDefault="009124B0" w:rsidP="00730F86">
            <w:pPr>
              <w:rPr>
                <w:rFonts w:cs="Arial"/>
                <w:sz w:val="16"/>
                <w:szCs w:val="16"/>
                <w:lang w:val="es-ES_tradnl"/>
              </w:rPr>
            </w:pPr>
            <w:r w:rsidRPr="00A34388">
              <w:rPr>
                <w:sz w:val="16"/>
                <w:lang w:val="es-ES_tradnl"/>
              </w:rPr>
              <w:t>En 2012:</w:t>
            </w:r>
          </w:p>
          <w:p w:rsidR="009124B0" w:rsidRPr="00A34388" w:rsidRDefault="009124B0" w:rsidP="00730F86">
            <w:pPr>
              <w:rPr>
                <w:rFonts w:cs="Arial"/>
                <w:sz w:val="8"/>
                <w:szCs w:val="8"/>
                <w:lang w:val="es-ES_tradnl"/>
              </w:rPr>
            </w:pPr>
          </w:p>
          <w:p w:rsidR="009124B0" w:rsidRPr="00A34388" w:rsidRDefault="009124B0" w:rsidP="00730F86">
            <w:pPr>
              <w:ind w:left="131"/>
              <w:rPr>
                <w:rFonts w:cs="Arial"/>
                <w:sz w:val="16"/>
                <w:szCs w:val="16"/>
                <w:lang w:val="es-ES_tradnl"/>
              </w:rPr>
            </w:pPr>
            <w:r w:rsidRPr="00332758">
              <w:rPr>
                <w:sz w:val="16"/>
                <w:lang w:val="es-ES_tradnl"/>
              </w:rPr>
              <w:t>Muy satisfechos: 31</w:t>
            </w:r>
            <w:r w:rsidR="00CD0572" w:rsidRPr="00332758">
              <w:rPr>
                <w:sz w:val="16"/>
                <w:lang w:val="es-ES_tradnl"/>
              </w:rPr>
              <w:t>,</w:t>
            </w:r>
            <w:r w:rsidRPr="00332758">
              <w:rPr>
                <w:sz w:val="16"/>
                <w:lang w:val="es-ES_tradnl"/>
              </w:rPr>
              <w:t>2% Satisfechos: 48</w:t>
            </w:r>
            <w:r w:rsidR="00CD0572" w:rsidRPr="00332758">
              <w:rPr>
                <w:sz w:val="16"/>
                <w:lang w:val="es-ES_tradnl"/>
              </w:rPr>
              <w:t>,</w:t>
            </w:r>
            <w:r w:rsidRPr="00332758">
              <w:rPr>
                <w:sz w:val="16"/>
                <w:lang w:val="es-ES_tradnl"/>
              </w:rPr>
              <w:t>7% Insatisfechos: 17</w:t>
            </w:r>
            <w:r w:rsidR="00CD0572" w:rsidRPr="00332758">
              <w:rPr>
                <w:sz w:val="16"/>
                <w:lang w:val="es-ES_tradnl"/>
              </w:rPr>
              <w:t>,</w:t>
            </w:r>
            <w:r w:rsidRPr="00332758">
              <w:rPr>
                <w:sz w:val="16"/>
                <w:lang w:val="es-ES_tradnl"/>
              </w:rPr>
              <w:t>2% Muy insatisfechos: 2,9%</w:t>
            </w:r>
          </w:p>
          <w:p w:rsidR="009124B0" w:rsidRPr="00A34388" w:rsidRDefault="009124B0" w:rsidP="00730F86">
            <w:pPr>
              <w:ind w:left="131"/>
              <w:rPr>
                <w:rFonts w:cs="Arial"/>
                <w:sz w:val="8"/>
                <w:szCs w:val="8"/>
                <w:lang w:val="es-ES_tradnl"/>
              </w:rPr>
            </w:pPr>
          </w:p>
          <w:p w:rsidR="009124B0" w:rsidRPr="00A34388" w:rsidRDefault="009124B0" w:rsidP="00730F86">
            <w:pPr>
              <w:rPr>
                <w:rFonts w:cs="Arial"/>
                <w:sz w:val="16"/>
                <w:szCs w:val="16"/>
                <w:lang w:val="es-ES_tradnl"/>
              </w:rPr>
            </w:pPr>
            <w:r w:rsidRPr="00A34388">
              <w:rPr>
                <w:sz w:val="16"/>
                <w:lang w:val="es-ES_tradnl"/>
              </w:rPr>
              <w:t>En 2013:</w:t>
            </w:r>
          </w:p>
          <w:p w:rsidR="009124B0" w:rsidRPr="00A34388" w:rsidRDefault="009124B0" w:rsidP="00730F86">
            <w:pPr>
              <w:rPr>
                <w:rFonts w:cs="Arial"/>
                <w:sz w:val="8"/>
                <w:szCs w:val="8"/>
                <w:lang w:val="es-ES_tradnl"/>
              </w:rPr>
            </w:pPr>
          </w:p>
          <w:p w:rsidR="009124B0" w:rsidRPr="00A34388" w:rsidRDefault="009124B0" w:rsidP="00730F86">
            <w:pPr>
              <w:ind w:left="131"/>
              <w:rPr>
                <w:rFonts w:cs="Arial"/>
                <w:sz w:val="16"/>
                <w:szCs w:val="16"/>
                <w:lang w:val="es-ES_tradnl"/>
              </w:rPr>
            </w:pPr>
            <w:r w:rsidRPr="00332758">
              <w:rPr>
                <w:sz w:val="16"/>
                <w:lang w:val="es-ES_tradnl"/>
              </w:rPr>
              <w:t>Muy satisfechos: 31</w:t>
            </w:r>
            <w:r w:rsidR="00CD0572" w:rsidRPr="00332758">
              <w:rPr>
                <w:sz w:val="16"/>
                <w:lang w:val="es-ES_tradnl"/>
              </w:rPr>
              <w:t>,</w:t>
            </w:r>
            <w:r w:rsidRPr="00332758">
              <w:rPr>
                <w:sz w:val="16"/>
                <w:lang w:val="es-ES_tradnl"/>
              </w:rPr>
              <w:t>2% Satisfechos: 46</w:t>
            </w:r>
            <w:r w:rsidR="00CD0572" w:rsidRPr="00332758">
              <w:rPr>
                <w:sz w:val="16"/>
                <w:lang w:val="es-ES_tradnl"/>
              </w:rPr>
              <w:t>,</w:t>
            </w:r>
            <w:r w:rsidRPr="00332758">
              <w:rPr>
                <w:sz w:val="16"/>
                <w:lang w:val="es-ES_tradnl"/>
              </w:rPr>
              <w:t>2% Insatisfechos: 18</w:t>
            </w:r>
            <w:r w:rsidR="00CD0572" w:rsidRPr="00332758">
              <w:rPr>
                <w:sz w:val="16"/>
                <w:lang w:val="es-ES_tradnl"/>
              </w:rPr>
              <w:t>,</w:t>
            </w:r>
            <w:r w:rsidRPr="00332758">
              <w:rPr>
                <w:sz w:val="16"/>
                <w:lang w:val="es-ES_tradnl"/>
              </w:rPr>
              <w:t>9% Muy insatisfechos: 3,7%</w:t>
            </w:r>
          </w:p>
          <w:p w:rsidR="009124B0" w:rsidRPr="00A34388" w:rsidRDefault="009124B0" w:rsidP="00730F86">
            <w:pPr>
              <w:ind w:left="131"/>
              <w:rPr>
                <w:rFonts w:cs="Arial"/>
                <w:sz w:val="16"/>
                <w:szCs w:val="16"/>
                <w:lang w:val="es-ES_tradnl"/>
              </w:rPr>
            </w:pPr>
          </w:p>
        </w:tc>
        <w:tc>
          <w:tcPr>
            <w:tcW w:w="680" w:type="pct"/>
            <w:tcBorders>
              <w:bottom w:val="single" w:sz="4" w:space="0" w:color="auto"/>
            </w:tcBorders>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E36C0A" w:themeColor="accent6" w:themeShade="BF"/>
                <w:sz w:val="16"/>
                <w:lang w:val="es-ES_tradnl"/>
              </w:rPr>
              <w:t>Parcialmente logrado</w:t>
            </w:r>
          </w:p>
        </w:tc>
      </w:tr>
      <w:tr w:rsidR="009124B0" w:rsidRPr="00A9508D" w:rsidTr="00730F86">
        <w:tc>
          <w:tcPr>
            <w:tcW w:w="5000" w:type="pct"/>
            <w:gridSpan w:val="5"/>
            <w:tcBorders>
              <w:top w:val="single" w:sz="4" w:space="0" w:color="auto"/>
              <w:bottom w:val="single" w:sz="4" w:space="0" w:color="auto"/>
            </w:tcBorders>
            <w:shd w:val="clear" w:color="auto" w:fill="CCFFFF"/>
            <w:vAlign w:val="center"/>
          </w:tcPr>
          <w:p w:rsidR="009124B0" w:rsidRPr="00332758" w:rsidRDefault="009124B0" w:rsidP="00730F86">
            <w:pPr>
              <w:tabs>
                <w:tab w:val="left" w:pos="1452"/>
              </w:tabs>
              <w:spacing w:before="120" w:after="120"/>
              <w:ind w:left="1452" w:hanging="1452"/>
              <w:rPr>
                <w:rFonts w:cs="Arial"/>
                <w:bCs/>
                <w:sz w:val="16"/>
                <w:szCs w:val="16"/>
                <w:lang w:val="es-ES_tradnl"/>
              </w:rPr>
            </w:pPr>
            <w:r w:rsidRPr="00332758">
              <w:rPr>
                <w:b/>
                <w:sz w:val="16"/>
                <w:lang w:val="es-ES_tradnl"/>
              </w:rPr>
              <w:t>Resultado previsto:</w:t>
            </w:r>
            <w:r w:rsidRPr="00332758">
              <w:rPr>
                <w:sz w:val="16"/>
                <w:lang w:val="es-ES_tradnl"/>
              </w:rPr>
              <w:t xml:space="preserve">  Personal profesional bien dirigido, diversificado, motivado y con las competencias adecuadas.</w:t>
            </w:r>
          </w:p>
        </w:tc>
      </w:tr>
      <w:tr w:rsidR="009124B0" w:rsidRPr="00A34388" w:rsidTr="00730F86">
        <w:tc>
          <w:tcPr>
            <w:tcW w:w="860" w:type="pct"/>
            <w:tcBorders>
              <w:top w:val="single" w:sz="4" w:space="0" w:color="auto"/>
            </w:tcBorders>
            <w:shd w:val="clear" w:color="auto" w:fill="auto"/>
            <w:vAlign w:val="center"/>
          </w:tcPr>
          <w:p w:rsidR="009124B0" w:rsidRPr="00A34388" w:rsidRDefault="009124B0" w:rsidP="00730F86">
            <w:pPr>
              <w:rPr>
                <w:rFonts w:cs="Arial"/>
                <w:color w:val="808080"/>
                <w:sz w:val="16"/>
                <w:szCs w:val="16"/>
                <w:lang w:val="es-ES_tradnl"/>
              </w:rPr>
            </w:pPr>
            <w:r w:rsidRPr="00332758">
              <w:rPr>
                <w:b/>
                <w:sz w:val="16"/>
                <w:lang w:val="es-ES_tradnl"/>
              </w:rPr>
              <w:t>Indicadores de rendimiento</w:t>
            </w:r>
          </w:p>
        </w:tc>
        <w:tc>
          <w:tcPr>
            <w:tcW w:w="1033" w:type="pct"/>
            <w:tcBorders>
              <w:top w:val="single" w:sz="4" w:space="0" w:color="auto"/>
            </w:tcBorders>
            <w:shd w:val="clear" w:color="auto" w:fill="auto"/>
            <w:vAlign w:val="center"/>
          </w:tcPr>
          <w:p w:rsidR="009124B0" w:rsidRPr="00A34388" w:rsidRDefault="009124B0" w:rsidP="00730F86">
            <w:pPr>
              <w:rPr>
                <w:rFonts w:cs="Arial"/>
                <w:b/>
                <w:bCs/>
                <w:color w:val="808080"/>
                <w:sz w:val="16"/>
                <w:szCs w:val="16"/>
                <w:lang w:val="es-ES_tradnl"/>
              </w:rPr>
            </w:pPr>
            <w:r w:rsidRPr="00332758">
              <w:rPr>
                <w:b/>
                <w:sz w:val="16"/>
                <w:lang w:val="es-ES_tradnl"/>
              </w:rPr>
              <w:t>Referencia</w:t>
            </w:r>
          </w:p>
        </w:tc>
        <w:tc>
          <w:tcPr>
            <w:tcW w:w="782" w:type="pct"/>
            <w:tcBorders>
              <w:top w:val="single" w:sz="4" w:space="0" w:color="auto"/>
            </w:tcBorders>
            <w:shd w:val="clear" w:color="auto" w:fill="auto"/>
            <w:tcMar>
              <w:top w:w="110" w:type="dxa"/>
            </w:tcMar>
            <w:vAlign w:val="center"/>
          </w:tcPr>
          <w:p w:rsidR="009124B0" w:rsidRPr="00A34388" w:rsidRDefault="009124B0" w:rsidP="00730F86">
            <w:pPr>
              <w:rPr>
                <w:rFonts w:cs="Arial"/>
                <w:b/>
                <w:color w:val="808080"/>
                <w:sz w:val="16"/>
                <w:szCs w:val="16"/>
                <w:lang w:val="es-ES_tradnl"/>
              </w:rPr>
            </w:pPr>
            <w:r w:rsidRPr="00332758">
              <w:rPr>
                <w:b/>
                <w:sz w:val="16"/>
                <w:lang w:val="es-ES_tradnl"/>
              </w:rPr>
              <w:t>Objetivos</w:t>
            </w:r>
          </w:p>
        </w:tc>
        <w:tc>
          <w:tcPr>
            <w:tcW w:w="1645" w:type="pct"/>
            <w:tcBorders>
              <w:top w:val="single" w:sz="4" w:space="0" w:color="auto"/>
            </w:tcBorders>
            <w:shd w:val="clear" w:color="auto" w:fill="FFFFFF"/>
            <w:tcMar>
              <w:top w:w="110" w:type="dxa"/>
            </w:tcMar>
            <w:vAlign w:val="center"/>
          </w:tcPr>
          <w:p w:rsidR="009124B0" w:rsidRPr="00A34388" w:rsidRDefault="009124B0" w:rsidP="00730F86">
            <w:pPr>
              <w:rPr>
                <w:rFonts w:cs="Arial"/>
                <w:color w:val="808080"/>
                <w:sz w:val="16"/>
                <w:szCs w:val="16"/>
                <w:lang w:val="es-ES_tradnl"/>
              </w:rPr>
            </w:pPr>
            <w:r w:rsidRPr="00332758">
              <w:rPr>
                <w:b/>
                <w:sz w:val="16"/>
                <w:lang w:val="es-ES_tradnl"/>
              </w:rPr>
              <w:t>Datos sobre el rendimiento</w:t>
            </w:r>
          </w:p>
        </w:tc>
        <w:tc>
          <w:tcPr>
            <w:tcW w:w="680" w:type="pct"/>
            <w:tcBorders>
              <w:top w:val="single" w:sz="4" w:space="0" w:color="auto"/>
            </w:tcBorders>
            <w:shd w:val="clear" w:color="auto" w:fill="auto"/>
            <w:tcMar>
              <w:top w:w="110" w:type="dxa"/>
            </w:tcMar>
            <w:vAlign w:val="center"/>
          </w:tcPr>
          <w:p w:rsidR="009124B0" w:rsidRPr="00332758" w:rsidRDefault="009124B0" w:rsidP="00730F86">
            <w:pPr>
              <w:jc w:val="center"/>
              <w:rPr>
                <w:rFonts w:cs="Arial"/>
                <w:b/>
                <w:bCs/>
                <w:sz w:val="16"/>
                <w:szCs w:val="16"/>
                <w:lang w:val="es-ES_tradnl"/>
              </w:rPr>
            </w:pPr>
            <w:r w:rsidRPr="00332758">
              <w:rPr>
                <w:b/>
                <w:sz w:val="16"/>
                <w:lang w:val="es-ES_tradnl"/>
              </w:rPr>
              <w:t>Clave de colores</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Porcentaje de miembros del personal cuyo desempeño se evalúa en función de objetivos y competencias específicos.</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92%</w:t>
            </w:r>
          </w:p>
          <w:p w:rsidR="009124B0" w:rsidRPr="00A34388" w:rsidRDefault="009124B0" w:rsidP="00730F86">
            <w:pPr>
              <w:rPr>
                <w:rFonts w:cs="Arial"/>
                <w:i/>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w:t>
            </w:r>
            <w:r w:rsidR="00DA158A" w:rsidRPr="00A34388">
              <w:rPr>
                <w:i/>
                <w:sz w:val="16"/>
                <w:lang w:val="es-ES_tradnl"/>
              </w:rPr>
              <w:t>:</w:t>
            </w:r>
            <w:r w:rsidRPr="00A34388">
              <w:rPr>
                <w:i/>
                <w:sz w:val="16"/>
                <w:lang w:val="es-ES_tradnl"/>
              </w:rPr>
              <w:t xml:space="preserve"> </w:t>
            </w:r>
            <w:r w:rsidR="007E4D96" w:rsidRPr="00A34388">
              <w:rPr>
                <w:i/>
                <w:sz w:val="16"/>
                <w:lang w:val="es-ES_tradnl"/>
              </w:rPr>
              <w:t xml:space="preserve"> </w:t>
            </w:r>
            <w:r w:rsidRPr="00A34388">
              <w:rPr>
                <w:i/>
                <w:sz w:val="16"/>
                <w:lang w:val="es-ES_tradnl"/>
              </w:rPr>
              <w:t>Presup. por prog. 2012/12:</w:t>
            </w:r>
            <w:r w:rsidRPr="00A34388">
              <w:rPr>
                <w:sz w:val="16"/>
                <w:lang w:val="es-ES_tradnl"/>
              </w:rPr>
              <w:t xml:space="preserve">  62%</w:t>
            </w:r>
          </w:p>
        </w:tc>
        <w:tc>
          <w:tcPr>
            <w:tcW w:w="782" w:type="pct"/>
            <w:shd w:val="clear" w:color="auto" w:fill="auto"/>
            <w:tcMar>
              <w:top w:w="110" w:type="dxa"/>
            </w:tcMar>
          </w:tcPr>
          <w:p w:rsidR="009124B0" w:rsidRPr="00A34388" w:rsidRDefault="009124B0" w:rsidP="00730F86">
            <w:pPr>
              <w:rPr>
                <w:rFonts w:cs="Arial"/>
                <w:sz w:val="16"/>
                <w:szCs w:val="16"/>
                <w:lang w:val="es-ES_tradnl"/>
              </w:rPr>
            </w:pPr>
            <w:r w:rsidRPr="00A34388">
              <w:rPr>
                <w:rFonts w:ascii="ArialMT" w:hAnsi="ArialMT"/>
                <w:sz w:val="16"/>
                <w:lang w:val="es-ES_tradnl"/>
              </w:rPr>
              <w:t>90%</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Bienio:  El 90,75% del personal incluido en el Sistema de gestión del desempeño y perfeccionamiento del personal fue evaluado en función de objetivos individuales y competencias.</w:t>
            </w:r>
            <w:r w:rsidRPr="00A34388">
              <w:rPr>
                <w:rFonts w:cs="Arial"/>
                <w:sz w:val="16"/>
                <w:szCs w:val="16"/>
                <w:lang w:val="es-ES_tradnl"/>
              </w:rPr>
              <w:br/>
            </w:r>
          </w:p>
          <w:p w:rsidR="009124B0" w:rsidRPr="00A34388" w:rsidRDefault="009124B0" w:rsidP="009124B0">
            <w:pPr>
              <w:pStyle w:val="ListParagraph"/>
              <w:numPr>
                <w:ilvl w:val="0"/>
                <w:numId w:val="60"/>
              </w:numPr>
              <w:ind w:left="273" w:hanging="284"/>
              <w:rPr>
                <w:rFonts w:cs="Arial"/>
                <w:sz w:val="16"/>
                <w:szCs w:val="16"/>
                <w:lang w:val="es-ES_tradnl"/>
              </w:rPr>
            </w:pPr>
            <w:r w:rsidRPr="00A34388">
              <w:rPr>
                <w:sz w:val="16"/>
                <w:lang w:val="es-ES_tradnl"/>
              </w:rPr>
              <w:t>2012:  El 91% del personal incluido en el Sistema de gestión del desempeño y perfeccionamiento del personal fue evaluado en función de objetivos individuales y competencias (al cierre de abril de 2012).</w:t>
            </w:r>
          </w:p>
          <w:p w:rsidR="009124B0" w:rsidRPr="00A34388" w:rsidRDefault="009124B0" w:rsidP="009124B0">
            <w:pPr>
              <w:pStyle w:val="ListParagraph"/>
              <w:numPr>
                <w:ilvl w:val="0"/>
                <w:numId w:val="60"/>
              </w:numPr>
              <w:ind w:left="273" w:hanging="284"/>
              <w:rPr>
                <w:lang w:val="es-ES_tradnl"/>
              </w:rPr>
            </w:pPr>
            <w:r w:rsidRPr="00A34388">
              <w:rPr>
                <w:sz w:val="16"/>
                <w:lang w:val="es-ES_tradnl"/>
              </w:rPr>
              <w:t>2013:  El 90,5% del personal incluido en el Sistema de gestión del desempeño y perfeccionamiento del personal fue evaluado en función de objetivos individuales y competencias (al cierre de abril de 2013).</w:t>
            </w:r>
          </w:p>
        </w:tc>
        <w:tc>
          <w:tcPr>
            <w:tcW w:w="680" w:type="pct"/>
            <w:shd w:val="clear" w:color="auto" w:fill="auto"/>
            <w:tcMar>
              <w:top w:w="110" w:type="dxa"/>
            </w:tcMar>
          </w:tcPr>
          <w:p w:rsidR="009124B0" w:rsidRPr="00332758" w:rsidRDefault="009124B0" w:rsidP="00730F86">
            <w:pPr>
              <w:jc w:val="center"/>
              <w:rPr>
                <w:rFonts w:cs="Arial"/>
                <w:bCs/>
                <w:sz w:val="16"/>
                <w:szCs w:val="16"/>
                <w:lang w:val="es-ES_tradnl"/>
              </w:rPr>
            </w:pPr>
            <w:r w:rsidRPr="00A34388">
              <w:rPr>
                <w:color w:val="008000"/>
                <w:sz w:val="16"/>
                <w:lang w:val="es-ES_tradnl"/>
              </w:rPr>
              <w:t>Plenamente logrado</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Duración del proceso de contratación.</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37,7 semanas</w:t>
            </w:r>
          </w:p>
          <w:p w:rsidR="009124B0" w:rsidRPr="00A34388" w:rsidRDefault="009124B0" w:rsidP="00730F86">
            <w:pPr>
              <w:rPr>
                <w:rFonts w:cs="Arial"/>
                <w:i/>
                <w:color w:val="002060"/>
                <w:sz w:val="16"/>
                <w:szCs w:val="16"/>
                <w:lang w:val="es-ES_tradnl"/>
              </w:rPr>
            </w:pPr>
          </w:p>
          <w:p w:rsidR="009124B0" w:rsidRPr="00A34388" w:rsidRDefault="009124B0" w:rsidP="00730F86">
            <w:pPr>
              <w:rPr>
                <w:rFonts w:cs="Arial"/>
                <w:sz w:val="16"/>
                <w:szCs w:val="16"/>
                <w:lang w:val="es-ES_tradnl"/>
              </w:rPr>
            </w:pPr>
            <w:r w:rsidRPr="00A34388">
              <w:rPr>
                <w:i/>
                <w:sz w:val="16"/>
                <w:lang w:val="es-ES_tradnl"/>
              </w:rPr>
              <w:lastRenderedPageBreak/>
              <w:t>Referencia original Presup. por prog. 2012/12:</w:t>
            </w:r>
            <w:r w:rsidRPr="00A34388">
              <w:rPr>
                <w:sz w:val="16"/>
                <w:lang w:val="es-ES_tradnl"/>
              </w:rPr>
              <w:t xml:space="preserve">  24 semanas</w:t>
            </w:r>
          </w:p>
          <w:p w:rsidR="009124B0" w:rsidRPr="00A34388" w:rsidRDefault="009124B0" w:rsidP="00730F86">
            <w:pPr>
              <w:rPr>
                <w:rFonts w:cs="Arial"/>
                <w:sz w:val="16"/>
                <w:szCs w:val="16"/>
                <w:lang w:val="es-ES_tradnl"/>
              </w:rPr>
            </w:pPr>
          </w:p>
        </w:tc>
        <w:tc>
          <w:tcPr>
            <w:tcW w:w="782" w:type="pct"/>
            <w:shd w:val="clear" w:color="auto" w:fill="auto"/>
            <w:tcMar>
              <w:top w:w="110" w:type="dxa"/>
            </w:tcMar>
          </w:tcPr>
          <w:p w:rsidR="009124B0" w:rsidRPr="00A34388" w:rsidRDefault="009124B0" w:rsidP="00730F86">
            <w:pPr>
              <w:rPr>
                <w:rFonts w:cs="Arial"/>
                <w:sz w:val="16"/>
                <w:szCs w:val="16"/>
                <w:lang w:val="es-ES_tradnl"/>
              </w:rPr>
            </w:pPr>
            <w:r w:rsidRPr="00332758">
              <w:rPr>
                <w:sz w:val="16"/>
                <w:lang w:val="es-ES_tradnl"/>
              </w:rPr>
              <w:lastRenderedPageBreak/>
              <w:t>21 semanas.</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Promedio del bienio:  16,03 semanas (a 19 de marzo de 2014)</w:t>
            </w:r>
            <w:r w:rsidRPr="00A34388">
              <w:rPr>
                <w:rFonts w:cs="Arial"/>
                <w:sz w:val="16"/>
                <w:szCs w:val="16"/>
                <w:lang w:val="es-ES_tradnl"/>
              </w:rPr>
              <w:br/>
            </w:r>
          </w:p>
          <w:p w:rsidR="009124B0" w:rsidRPr="00A34388" w:rsidRDefault="009124B0" w:rsidP="009124B0">
            <w:pPr>
              <w:pStyle w:val="ListParagraph"/>
              <w:numPr>
                <w:ilvl w:val="0"/>
                <w:numId w:val="59"/>
              </w:numPr>
              <w:ind w:left="273" w:hanging="273"/>
              <w:rPr>
                <w:rFonts w:cs="Arial"/>
                <w:sz w:val="16"/>
                <w:szCs w:val="16"/>
                <w:lang w:val="es-ES_tradnl"/>
              </w:rPr>
            </w:pPr>
            <w:r w:rsidRPr="00A34388">
              <w:rPr>
                <w:sz w:val="16"/>
                <w:lang w:val="es-ES_tradnl"/>
              </w:rPr>
              <w:t xml:space="preserve">2012: </w:t>
            </w:r>
            <w:r w:rsidR="007E4D96" w:rsidRPr="00A34388">
              <w:rPr>
                <w:sz w:val="16"/>
                <w:lang w:val="es-ES_tradnl"/>
              </w:rPr>
              <w:t xml:space="preserve"> </w:t>
            </w:r>
            <w:r w:rsidRPr="00A34388">
              <w:rPr>
                <w:sz w:val="16"/>
                <w:lang w:val="es-ES_tradnl"/>
              </w:rPr>
              <w:t>16,5 semanas</w:t>
            </w:r>
          </w:p>
          <w:p w:rsidR="009124B0" w:rsidRPr="00A34388" w:rsidRDefault="009124B0" w:rsidP="009124B0">
            <w:pPr>
              <w:pStyle w:val="ListParagraph"/>
              <w:numPr>
                <w:ilvl w:val="0"/>
                <w:numId w:val="58"/>
              </w:numPr>
              <w:ind w:left="273" w:hanging="273"/>
              <w:rPr>
                <w:rFonts w:cs="Arial"/>
                <w:sz w:val="16"/>
                <w:szCs w:val="16"/>
                <w:lang w:val="es-ES_tradnl"/>
              </w:rPr>
            </w:pPr>
            <w:r w:rsidRPr="00A34388">
              <w:rPr>
                <w:sz w:val="16"/>
                <w:lang w:val="es-ES_tradnl"/>
              </w:rPr>
              <w:lastRenderedPageBreak/>
              <w:t xml:space="preserve">2013: </w:t>
            </w:r>
            <w:r w:rsidR="007E4D96" w:rsidRPr="00A34388">
              <w:rPr>
                <w:sz w:val="16"/>
                <w:lang w:val="es-ES_tradnl"/>
              </w:rPr>
              <w:t xml:space="preserve"> </w:t>
            </w:r>
            <w:r w:rsidRPr="00A34388">
              <w:rPr>
                <w:sz w:val="16"/>
                <w:lang w:val="es-ES_tradnl"/>
              </w:rPr>
              <w:t>15,56 semanas</w:t>
            </w:r>
          </w:p>
          <w:p w:rsidR="009124B0" w:rsidRPr="00A34388" w:rsidRDefault="009124B0" w:rsidP="00730F86">
            <w:pPr>
              <w:rPr>
                <w:rFonts w:cs="Arial"/>
                <w:sz w:val="16"/>
                <w:szCs w:val="16"/>
                <w:lang w:val="es-ES_tradnl"/>
              </w:rPr>
            </w:pPr>
          </w:p>
        </w:tc>
        <w:tc>
          <w:tcPr>
            <w:tcW w:w="680" w:type="pct"/>
            <w:shd w:val="clear" w:color="auto" w:fill="auto"/>
            <w:tcMar>
              <w:top w:w="110" w:type="dxa"/>
            </w:tcMar>
          </w:tcPr>
          <w:p w:rsidR="009124B0" w:rsidRPr="00332758" w:rsidRDefault="009124B0" w:rsidP="00730F86">
            <w:pPr>
              <w:jc w:val="center"/>
              <w:rPr>
                <w:rFonts w:cs="Arial"/>
                <w:bCs/>
                <w:sz w:val="16"/>
                <w:szCs w:val="16"/>
                <w:lang w:val="es-ES_tradnl"/>
              </w:rPr>
            </w:pPr>
            <w:r w:rsidRPr="00A34388">
              <w:rPr>
                <w:color w:val="008000"/>
                <w:sz w:val="16"/>
                <w:lang w:val="es-ES_tradnl"/>
              </w:rPr>
              <w:lastRenderedPageBreak/>
              <w:t>Plenamente logrado</w:t>
            </w:r>
          </w:p>
        </w:tc>
      </w:tr>
      <w:tr w:rsidR="009124B0" w:rsidRPr="00A34388" w:rsidTr="00730F86">
        <w:tc>
          <w:tcPr>
            <w:tcW w:w="860" w:type="pct"/>
            <w:shd w:val="clear" w:color="auto" w:fill="auto"/>
          </w:tcPr>
          <w:p w:rsidR="009124B0" w:rsidRPr="00A34388" w:rsidRDefault="009124B0" w:rsidP="00730F86">
            <w:pPr>
              <w:keepNext/>
              <w:keepLines/>
              <w:rPr>
                <w:rFonts w:cs="Arial"/>
                <w:sz w:val="16"/>
                <w:szCs w:val="16"/>
                <w:lang w:val="es-ES_tradnl"/>
              </w:rPr>
            </w:pPr>
            <w:r w:rsidRPr="00332758">
              <w:rPr>
                <w:sz w:val="16"/>
                <w:lang w:val="es-ES_tradnl"/>
              </w:rPr>
              <w:lastRenderedPageBreak/>
              <w:t>Porcentaje de la masa salarial total que participa en actividades de perfeccionamiento del personal.</w:t>
            </w:r>
          </w:p>
        </w:tc>
        <w:tc>
          <w:tcPr>
            <w:tcW w:w="1033" w:type="pct"/>
            <w:shd w:val="clear" w:color="auto" w:fill="auto"/>
          </w:tcPr>
          <w:p w:rsidR="009124B0" w:rsidRPr="00A34388" w:rsidRDefault="009124B0" w:rsidP="00730F86">
            <w:pPr>
              <w:keepNext/>
              <w:keepLines/>
              <w:rPr>
                <w:rFonts w:cs="Arial"/>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0,46% (Departamento de Gestión de Recursos Humanos)</w:t>
            </w:r>
          </w:p>
          <w:p w:rsidR="009124B0" w:rsidRPr="00A34388" w:rsidRDefault="009124B0" w:rsidP="00730F86">
            <w:pPr>
              <w:keepNext/>
              <w:keepLines/>
              <w:rPr>
                <w:rFonts w:cs="Arial"/>
                <w:i/>
                <w:sz w:val="8"/>
                <w:szCs w:val="8"/>
                <w:lang w:val="es-ES_tradnl"/>
              </w:rPr>
            </w:pPr>
          </w:p>
          <w:p w:rsidR="009124B0" w:rsidRPr="00A34388" w:rsidRDefault="009124B0" w:rsidP="00730F86">
            <w:pPr>
              <w:keepNext/>
              <w:keepLines/>
              <w:rPr>
                <w:rFonts w:cs="Arial"/>
                <w:sz w:val="16"/>
                <w:szCs w:val="16"/>
                <w:lang w:val="es-ES_tradnl"/>
              </w:rPr>
            </w:pPr>
            <w:r w:rsidRPr="00A34388">
              <w:rPr>
                <w:i/>
                <w:sz w:val="16"/>
                <w:lang w:val="es-ES_tradnl"/>
              </w:rPr>
              <w:t>Referencia original Presup. por prog. 2012/12:</w:t>
            </w:r>
            <w:r w:rsidRPr="00A34388">
              <w:rPr>
                <w:sz w:val="16"/>
                <w:lang w:val="es-ES_tradnl"/>
              </w:rPr>
              <w:t xml:space="preserve">  0,44% (enero de 2011, Departamento de Gestión de Recursos Humanos)</w:t>
            </w:r>
          </w:p>
        </w:tc>
        <w:tc>
          <w:tcPr>
            <w:tcW w:w="782" w:type="pct"/>
            <w:shd w:val="clear" w:color="auto" w:fill="auto"/>
            <w:tcMar>
              <w:top w:w="110" w:type="dxa"/>
            </w:tcMar>
          </w:tcPr>
          <w:p w:rsidR="009124B0" w:rsidRPr="00A34388" w:rsidRDefault="009124B0" w:rsidP="00730F86">
            <w:pPr>
              <w:keepNext/>
              <w:keepLines/>
              <w:rPr>
                <w:rFonts w:cs="Arial"/>
                <w:sz w:val="16"/>
                <w:szCs w:val="16"/>
                <w:lang w:val="es-ES_tradnl"/>
              </w:rPr>
            </w:pPr>
            <w:r w:rsidRPr="00A34388">
              <w:rPr>
                <w:rFonts w:ascii="ArialMT" w:hAnsi="ArialMT"/>
                <w:sz w:val="16"/>
                <w:lang w:val="es-ES_tradnl"/>
              </w:rPr>
              <w:t>1%</w:t>
            </w:r>
          </w:p>
        </w:tc>
        <w:tc>
          <w:tcPr>
            <w:tcW w:w="1645" w:type="pct"/>
            <w:shd w:val="clear" w:color="auto" w:fill="FFFFFF"/>
            <w:tcMar>
              <w:top w:w="110" w:type="dxa"/>
            </w:tcMar>
          </w:tcPr>
          <w:p w:rsidR="009124B0" w:rsidRPr="00A34388" w:rsidRDefault="009124B0" w:rsidP="00730F86">
            <w:pPr>
              <w:keepNext/>
              <w:keepLines/>
              <w:rPr>
                <w:rFonts w:cs="Arial"/>
                <w:sz w:val="8"/>
                <w:szCs w:val="8"/>
                <w:lang w:val="es-ES_tradnl"/>
              </w:rPr>
            </w:pPr>
            <w:r w:rsidRPr="00A34388">
              <w:rPr>
                <w:sz w:val="16"/>
                <w:lang w:val="es-ES_tradnl"/>
              </w:rPr>
              <w:t xml:space="preserve">2012:  0,74% (incluido el Departamento de Gestión de Recursos Humanos y actividades de formación financiadas en el marco de las TIC, el PRI y el </w:t>
            </w:r>
            <w:r w:rsidR="009B1238">
              <w:rPr>
                <w:sz w:val="16"/>
                <w:lang w:val="es-ES_tradnl"/>
              </w:rPr>
              <w:t>Programa de Alineación Estratégica</w:t>
            </w:r>
            <w:r w:rsidRPr="00A34388">
              <w:rPr>
                <w:sz w:val="16"/>
                <w:lang w:val="es-ES_tradnl"/>
              </w:rPr>
              <w:t>, pero sin los costos de personal de los formadores internos)</w:t>
            </w:r>
            <w:r w:rsidRPr="00A34388">
              <w:rPr>
                <w:rFonts w:cs="Arial"/>
                <w:sz w:val="16"/>
                <w:szCs w:val="16"/>
                <w:lang w:val="es-ES_tradnl"/>
              </w:rPr>
              <w:br/>
            </w:r>
          </w:p>
          <w:p w:rsidR="009124B0" w:rsidRPr="00A34388" w:rsidRDefault="009124B0" w:rsidP="00730F86">
            <w:pPr>
              <w:keepNext/>
              <w:keepLines/>
              <w:rPr>
                <w:rFonts w:cs="Arial"/>
                <w:sz w:val="16"/>
                <w:szCs w:val="16"/>
                <w:lang w:val="es-ES_tradnl"/>
              </w:rPr>
            </w:pPr>
            <w:r w:rsidRPr="00A34388">
              <w:rPr>
                <w:sz w:val="16"/>
                <w:lang w:val="es-ES_tradnl"/>
              </w:rPr>
              <w:t>2013:  0,78% (incluidos los gastos de formación de otros sectores y los costos de personal de los formadores internos)</w:t>
            </w:r>
          </w:p>
        </w:tc>
        <w:tc>
          <w:tcPr>
            <w:tcW w:w="680"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E36C0A" w:themeColor="accent6" w:themeShade="BF"/>
                <w:sz w:val="16"/>
                <w:lang w:val="es-ES_tradnl"/>
              </w:rPr>
              <w:t>Parcialmente logrado</w:t>
            </w:r>
          </w:p>
        </w:tc>
      </w:tr>
      <w:tr w:rsidR="009124B0" w:rsidRPr="00A34388" w:rsidTr="00730F86">
        <w:tc>
          <w:tcPr>
            <w:tcW w:w="860" w:type="pct"/>
            <w:shd w:val="clear" w:color="auto" w:fill="auto"/>
          </w:tcPr>
          <w:p w:rsidR="009124B0" w:rsidRPr="00A34388" w:rsidRDefault="009124B0" w:rsidP="00730F86">
            <w:pPr>
              <w:keepNext/>
              <w:keepLines/>
              <w:rPr>
                <w:rFonts w:cs="Arial"/>
                <w:sz w:val="16"/>
                <w:szCs w:val="16"/>
                <w:lang w:val="es-ES_tradnl"/>
              </w:rPr>
            </w:pPr>
            <w:r w:rsidRPr="00332758">
              <w:rPr>
                <w:sz w:val="16"/>
                <w:lang w:val="es-ES_tradnl"/>
              </w:rPr>
              <w:t>Diversidad geográfica - Porcentaje de Estados miembros representados.</w:t>
            </w:r>
          </w:p>
        </w:tc>
        <w:tc>
          <w:tcPr>
            <w:tcW w:w="1033" w:type="pct"/>
            <w:shd w:val="clear" w:color="auto" w:fill="auto"/>
          </w:tcPr>
          <w:p w:rsidR="009124B0" w:rsidRPr="00A34388" w:rsidRDefault="009124B0" w:rsidP="00730F86">
            <w:pPr>
              <w:keepNext/>
              <w:keepLines/>
              <w:rPr>
                <w:rFonts w:cs="Arial"/>
                <w:i/>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57,8%</w:t>
            </w:r>
          </w:p>
          <w:p w:rsidR="009124B0" w:rsidRPr="00A34388" w:rsidRDefault="009124B0" w:rsidP="00730F86">
            <w:pPr>
              <w:keepNext/>
              <w:keepLines/>
              <w:rPr>
                <w:rFonts w:cs="Arial"/>
                <w:i/>
                <w:color w:val="002060"/>
                <w:sz w:val="8"/>
                <w:szCs w:val="8"/>
                <w:lang w:val="es-ES_tradnl"/>
              </w:rPr>
            </w:pPr>
          </w:p>
          <w:p w:rsidR="009124B0" w:rsidRPr="00A34388" w:rsidRDefault="009124B0" w:rsidP="00730F86">
            <w:pPr>
              <w:keepNext/>
              <w:keepLines/>
              <w:rPr>
                <w:rFonts w:cs="Arial"/>
                <w:sz w:val="16"/>
                <w:szCs w:val="16"/>
                <w:lang w:val="es-ES_tradnl"/>
              </w:rPr>
            </w:pPr>
            <w:r w:rsidRPr="00A34388">
              <w:rPr>
                <w:i/>
                <w:sz w:val="16"/>
                <w:lang w:val="es-ES_tradnl"/>
              </w:rPr>
              <w:t>Referencia original Presup. por prog. 2012/12:</w:t>
            </w:r>
            <w:r w:rsidRPr="00A34388">
              <w:rPr>
                <w:sz w:val="16"/>
                <w:lang w:val="es-ES_tradnl"/>
              </w:rPr>
              <w:t xml:space="preserve">  56,70%</w:t>
            </w:r>
          </w:p>
        </w:tc>
        <w:tc>
          <w:tcPr>
            <w:tcW w:w="782" w:type="pct"/>
            <w:shd w:val="clear" w:color="auto" w:fill="auto"/>
            <w:tcMar>
              <w:top w:w="110" w:type="dxa"/>
            </w:tcMar>
          </w:tcPr>
          <w:p w:rsidR="009124B0" w:rsidRPr="00A34388" w:rsidRDefault="009124B0" w:rsidP="00730F86">
            <w:pPr>
              <w:keepNext/>
              <w:keepLines/>
              <w:rPr>
                <w:rFonts w:ascii="ArialMT" w:hAnsi="ArialMT" w:cs="ArialMT"/>
                <w:sz w:val="16"/>
                <w:szCs w:val="16"/>
                <w:lang w:val="es-ES_tradnl"/>
              </w:rPr>
            </w:pPr>
            <w:r w:rsidRPr="00A34388">
              <w:rPr>
                <w:rFonts w:ascii="ArialMT" w:hAnsi="ArialMT"/>
                <w:sz w:val="16"/>
                <w:lang w:val="es-ES_tradnl"/>
              </w:rPr>
              <w:t>60%</w:t>
            </w:r>
          </w:p>
        </w:tc>
        <w:tc>
          <w:tcPr>
            <w:tcW w:w="1645" w:type="pct"/>
            <w:shd w:val="clear" w:color="auto" w:fill="FFFFFF"/>
            <w:tcMar>
              <w:top w:w="110" w:type="dxa"/>
            </w:tcMar>
          </w:tcPr>
          <w:p w:rsidR="009124B0" w:rsidRPr="00A34388" w:rsidRDefault="009124B0" w:rsidP="00730F86">
            <w:pPr>
              <w:pStyle w:val="PlainText"/>
              <w:keepNext/>
              <w:keepLines/>
              <w:rPr>
                <w:rFonts w:ascii="Arial" w:hAnsi="Arial" w:cs="Arial"/>
                <w:sz w:val="8"/>
                <w:szCs w:val="8"/>
                <w:lang w:val="es-ES_tradnl"/>
              </w:rPr>
            </w:pPr>
            <w:r w:rsidRPr="00A34388">
              <w:rPr>
                <w:rFonts w:ascii="Arial" w:hAnsi="Arial"/>
                <w:sz w:val="16"/>
                <w:lang w:val="es-ES_tradnl"/>
              </w:rPr>
              <w:t>2012:  58,9% (incluido el personal de servicios generales y con competencias lingüísticas)</w:t>
            </w:r>
            <w:r w:rsidRPr="00A34388">
              <w:rPr>
                <w:rFonts w:ascii="Arial" w:hAnsi="Arial" w:cs="Arial"/>
                <w:sz w:val="16"/>
                <w:szCs w:val="16"/>
                <w:lang w:val="es-ES_tradnl"/>
              </w:rPr>
              <w:br/>
            </w:r>
          </w:p>
          <w:p w:rsidR="009124B0" w:rsidRPr="00A34388" w:rsidRDefault="009124B0" w:rsidP="00730F86">
            <w:pPr>
              <w:pStyle w:val="PlainText"/>
              <w:keepNext/>
              <w:keepLines/>
              <w:rPr>
                <w:rFonts w:ascii="Arial" w:hAnsi="Arial" w:cs="Arial"/>
                <w:sz w:val="16"/>
                <w:szCs w:val="16"/>
                <w:lang w:val="es-ES_tradnl"/>
              </w:rPr>
            </w:pPr>
            <w:r w:rsidRPr="00A34388">
              <w:rPr>
                <w:rFonts w:ascii="Arial" w:hAnsi="Arial"/>
                <w:sz w:val="16"/>
                <w:lang w:val="es-ES_tradnl"/>
              </w:rPr>
              <w:t>2013:  59,3% (incluido el personal de servicios generales y con competencias lingüísticas)</w:t>
            </w:r>
          </w:p>
        </w:tc>
        <w:tc>
          <w:tcPr>
            <w:tcW w:w="680" w:type="pct"/>
            <w:shd w:val="clear" w:color="auto" w:fill="auto"/>
            <w:tcMar>
              <w:top w:w="110" w:type="dxa"/>
            </w:tcMar>
          </w:tcPr>
          <w:p w:rsidR="009124B0" w:rsidRPr="00332758" w:rsidRDefault="009124B0" w:rsidP="00730F86">
            <w:pPr>
              <w:keepNext/>
              <w:keepLines/>
              <w:jc w:val="center"/>
              <w:rPr>
                <w:rFonts w:cs="Arial"/>
                <w:bCs/>
                <w:sz w:val="16"/>
                <w:szCs w:val="16"/>
                <w:lang w:val="es-ES_tradnl"/>
              </w:rPr>
            </w:pPr>
            <w:r w:rsidRPr="00A34388">
              <w:rPr>
                <w:color w:val="008000"/>
                <w:sz w:val="16"/>
                <w:lang w:val="es-ES_tradnl"/>
              </w:rPr>
              <w:t>Plenamente logrado</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Porcentaje de mujeres que ocupan puestos profesionales y de categorías superiores.</w:t>
            </w:r>
          </w:p>
        </w:tc>
        <w:tc>
          <w:tcPr>
            <w:tcW w:w="1033" w:type="pct"/>
            <w:shd w:val="clear" w:color="auto" w:fill="auto"/>
          </w:tcPr>
          <w:p w:rsidR="009124B0" w:rsidRPr="00D433B6" w:rsidRDefault="009124B0" w:rsidP="00730F86">
            <w:pPr>
              <w:rPr>
                <w:rFonts w:cs="Arial"/>
                <w:i/>
                <w:color w:val="002060"/>
                <w:sz w:val="16"/>
                <w:szCs w:val="16"/>
                <w:lang w:val="es-ES_tradnl"/>
              </w:rPr>
            </w:pPr>
            <w:r w:rsidRPr="00D433B6">
              <w:rPr>
                <w:i/>
                <w:color w:val="002060"/>
                <w:sz w:val="16"/>
                <w:lang w:val="es-ES_tradnl"/>
              </w:rPr>
              <w:t xml:space="preserve">Referencia actualizada a fines de 2011:  </w:t>
            </w:r>
          </w:p>
          <w:p w:rsidR="009124B0" w:rsidRPr="00D433B6" w:rsidRDefault="009124B0" w:rsidP="00730F86">
            <w:pPr>
              <w:rPr>
                <w:rFonts w:cs="Arial"/>
                <w:i/>
                <w:color w:val="002060"/>
                <w:sz w:val="16"/>
                <w:szCs w:val="16"/>
                <w:lang w:val="es-ES_tradnl"/>
              </w:rPr>
            </w:pPr>
            <w:r w:rsidRPr="00D433B6">
              <w:rPr>
                <w:i/>
                <w:color w:val="002060"/>
                <w:sz w:val="16"/>
                <w:lang w:val="es-ES_tradnl"/>
              </w:rPr>
              <w:t>P4 – 43,9%  P5 – 31,9% D1 – 14,6% D2 – 25,0%</w:t>
            </w:r>
          </w:p>
          <w:p w:rsidR="009124B0" w:rsidRPr="00D433B6" w:rsidRDefault="009124B0" w:rsidP="00730F86">
            <w:pPr>
              <w:rPr>
                <w:rFonts w:cs="Arial"/>
                <w:i/>
                <w:color w:val="002060"/>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rFonts w:cs="Arial"/>
                <w:sz w:val="16"/>
                <w:szCs w:val="16"/>
                <w:lang w:val="es-ES_tradnl"/>
              </w:rPr>
              <w:br/>
            </w:r>
            <w:r w:rsidRPr="00A34388">
              <w:rPr>
                <w:sz w:val="16"/>
                <w:lang w:val="es-ES_tradnl"/>
              </w:rPr>
              <w:t>P4 – 44,2%  P5 – 30,9% D1 – 12,1% D2 – 9,1%</w:t>
            </w:r>
          </w:p>
        </w:tc>
        <w:tc>
          <w:tcPr>
            <w:tcW w:w="782" w:type="pct"/>
            <w:shd w:val="clear" w:color="auto" w:fill="auto"/>
            <w:tcMar>
              <w:top w:w="110" w:type="dxa"/>
            </w:tcMar>
          </w:tcPr>
          <w:p w:rsidR="009124B0" w:rsidRPr="00A34388" w:rsidRDefault="009124B0" w:rsidP="00730F86">
            <w:pPr>
              <w:autoSpaceDE w:val="0"/>
              <w:autoSpaceDN w:val="0"/>
              <w:adjustRightInd w:val="0"/>
              <w:rPr>
                <w:rFonts w:ascii="ArialMT" w:hAnsi="ArialMT" w:cs="ArialMT"/>
                <w:sz w:val="16"/>
                <w:szCs w:val="16"/>
                <w:lang w:val="es-ES_tradnl"/>
              </w:rPr>
            </w:pPr>
            <w:r w:rsidRPr="00A34388">
              <w:rPr>
                <w:rFonts w:ascii="ArialMT" w:hAnsi="ArialMT"/>
                <w:sz w:val="16"/>
                <w:lang w:val="es-ES_tradnl"/>
              </w:rPr>
              <w:t>50% (porcentaje aprobado por la Asamblea General de las NN.UU. a raíz de la recomendación de la CAPI),</w:t>
            </w:r>
          </w:p>
          <w:p w:rsidR="009124B0" w:rsidRPr="00A34388" w:rsidRDefault="009124B0" w:rsidP="00730F86">
            <w:pPr>
              <w:rPr>
                <w:rFonts w:cs="Arial"/>
                <w:sz w:val="16"/>
                <w:szCs w:val="16"/>
                <w:lang w:val="es-ES_tradnl"/>
              </w:rPr>
            </w:pPr>
          </w:p>
        </w:tc>
        <w:tc>
          <w:tcPr>
            <w:tcW w:w="1645" w:type="pct"/>
            <w:shd w:val="clear" w:color="auto" w:fill="FFFFFF"/>
            <w:tcMar>
              <w:top w:w="110" w:type="dxa"/>
            </w:tcMar>
          </w:tcPr>
          <w:tbl>
            <w:tblPr>
              <w:tblW w:w="2383" w:type="dxa"/>
              <w:tblLayout w:type="fixed"/>
              <w:tblLook w:val="04A0" w:firstRow="1" w:lastRow="0" w:firstColumn="1" w:lastColumn="0" w:noHBand="0" w:noVBand="1"/>
            </w:tblPr>
            <w:tblGrid>
              <w:gridCol w:w="580"/>
              <w:gridCol w:w="670"/>
              <w:gridCol w:w="1133"/>
            </w:tblGrid>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2012:</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2013:</w:t>
                  </w:r>
                </w:p>
              </w:tc>
            </w:tr>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jc w:val="right"/>
                    <w:rPr>
                      <w:rFonts w:cs="Arial"/>
                      <w:sz w:val="16"/>
                      <w:szCs w:val="16"/>
                      <w:lang w:val="es-ES_tradnl"/>
                    </w:rPr>
                  </w:pPr>
                  <w:r w:rsidRPr="00A34388">
                    <w:rPr>
                      <w:sz w:val="16"/>
                      <w:lang w:val="es-ES_tradnl"/>
                    </w:rPr>
                    <w:t xml:space="preserve">P4 - </w:t>
                  </w: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44,4%</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43,4%</w:t>
                  </w:r>
                </w:p>
              </w:tc>
            </w:tr>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jc w:val="right"/>
                    <w:rPr>
                      <w:rFonts w:cs="Arial"/>
                      <w:sz w:val="16"/>
                      <w:szCs w:val="16"/>
                      <w:lang w:val="es-ES_tradnl"/>
                    </w:rPr>
                  </w:pPr>
                  <w:r w:rsidRPr="00A34388">
                    <w:rPr>
                      <w:sz w:val="16"/>
                      <w:lang w:val="es-ES_tradnl"/>
                    </w:rPr>
                    <w:t xml:space="preserve">P5 - </w:t>
                  </w: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30,3%</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34,3%</w:t>
                  </w:r>
                </w:p>
              </w:tc>
            </w:tr>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jc w:val="right"/>
                    <w:rPr>
                      <w:rFonts w:cs="Arial"/>
                      <w:sz w:val="16"/>
                      <w:szCs w:val="16"/>
                      <w:lang w:val="es-ES_tradnl"/>
                    </w:rPr>
                  </w:pPr>
                  <w:r w:rsidRPr="00A34388">
                    <w:rPr>
                      <w:sz w:val="16"/>
                      <w:lang w:val="es-ES_tradnl"/>
                    </w:rPr>
                    <w:t xml:space="preserve">D1 - </w:t>
                  </w: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24,4%</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26,8%</w:t>
                  </w:r>
                </w:p>
              </w:tc>
            </w:tr>
            <w:tr w:rsidR="009124B0" w:rsidRPr="00A34388" w:rsidTr="00730F86">
              <w:trPr>
                <w:trHeight w:val="255"/>
              </w:trPr>
              <w:tc>
                <w:tcPr>
                  <w:tcW w:w="580" w:type="dxa"/>
                  <w:tcBorders>
                    <w:top w:val="nil"/>
                    <w:left w:val="nil"/>
                    <w:bottom w:val="nil"/>
                    <w:right w:val="nil"/>
                  </w:tcBorders>
                  <w:shd w:val="clear" w:color="auto" w:fill="auto"/>
                  <w:noWrap/>
                  <w:vAlign w:val="bottom"/>
                  <w:hideMark/>
                </w:tcPr>
                <w:p w:rsidR="009124B0" w:rsidRPr="00A34388" w:rsidRDefault="009124B0" w:rsidP="00730F86">
                  <w:pPr>
                    <w:jc w:val="right"/>
                    <w:rPr>
                      <w:rFonts w:cs="Arial"/>
                      <w:sz w:val="16"/>
                      <w:szCs w:val="16"/>
                      <w:lang w:val="es-ES_tradnl"/>
                    </w:rPr>
                  </w:pPr>
                  <w:r w:rsidRPr="00A34388">
                    <w:rPr>
                      <w:sz w:val="16"/>
                      <w:lang w:val="es-ES_tradnl"/>
                    </w:rPr>
                    <w:t xml:space="preserve">D2 - </w:t>
                  </w:r>
                </w:p>
              </w:tc>
              <w:tc>
                <w:tcPr>
                  <w:tcW w:w="670"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23,1%</w:t>
                  </w:r>
                </w:p>
              </w:tc>
              <w:tc>
                <w:tcPr>
                  <w:tcW w:w="1133" w:type="dxa"/>
                  <w:tcBorders>
                    <w:top w:val="nil"/>
                    <w:left w:val="nil"/>
                    <w:bottom w:val="nil"/>
                    <w:right w:val="nil"/>
                  </w:tcBorders>
                  <w:shd w:val="clear" w:color="auto" w:fill="auto"/>
                  <w:noWrap/>
                  <w:vAlign w:val="bottom"/>
                  <w:hideMark/>
                </w:tcPr>
                <w:p w:rsidR="009124B0" w:rsidRPr="00A34388" w:rsidRDefault="009124B0" w:rsidP="00730F86">
                  <w:pPr>
                    <w:rPr>
                      <w:rFonts w:cs="Arial"/>
                      <w:sz w:val="16"/>
                      <w:szCs w:val="16"/>
                      <w:lang w:val="es-ES_tradnl"/>
                    </w:rPr>
                  </w:pPr>
                  <w:r w:rsidRPr="00A34388">
                    <w:rPr>
                      <w:sz w:val="16"/>
                      <w:lang w:val="es-ES_tradnl"/>
                    </w:rPr>
                    <w:t>33,3%</w:t>
                  </w:r>
                </w:p>
              </w:tc>
            </w:tr>
          </w:tbl>
          <w:p w:rsidR="009124B0" w:rsidRPr="00A34388" w:rsidRDefault="009124B0" w:rsidP="00730F86">
            <w:pPr>
              <w:pStyle w:val="PlainText"/>
              <w:rPr>
                <w:rFonts w:cs="Arial"/>
                <w:sz w:val="16"/>
                <w:szCs w:val="16"/>
                <w:lang w:val="es-ES_tradnl"/>
              </w:rPr>
            </w:pPr>
          </w:p>
        </w:tc>
        <w:tc>
          <w:tcPr>
            <w:tcW w:w="680" w:type="pct"/>
            <w:shd w:val="clear" w:color="auto" w:fill="auto"/>
            <w:tcMar>
              <w:top w:w="110" w:type="dxa"/>
            </w:tcMar>
          </w:tcPr>
          <w:p w:rsidR="009124B0" w:rsidRPr="00332758" w:rsidRDefault="009124B0" w:rsidP="00730F86">
            <w:pPr>
              <w:jc w:val="center"/>
              <w:rPr>
                <w:rFonts w:cs="Arial"/>
                <w:bCs/>
                <w:sz w:val="16"/>
                <w:szCs w:val="16"/>
                <w:lang w:val="es-ES_tradnl"/>
              </w:rPr>
            </w:pPr>
            <w:r w:rsidRPr="00A34388">
              <w:rPr>
                <w:color w:val="FF0000"/>
                <w:sz w:val="16"/>
                <w:lang w:val="es-ES_tradnl"/>
              </w:rPr>
              <w:t>No logrado</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Disminución del ausentismo.</w:t>
            </w:r>
          </w:p>
        </w:tc>
        <w:tc>
          <w:tcPr>
            <w:tcW w:w="1033" w:type="pct"/>
            <w:shd w:val="clear" w:color="auto" w:fill="auto"/>
          </w:tcPr>
          <w:p w:rsidR="009124B0" w:rsidRPr="00A34388" w:rsidRDefault="009124B0" w:rsidP="00730F86">
            <w:pPr>
              <w:rPr>
                <w:rFonts w:cs="Arial"/>
                <w:i/>
                <w:color w:val="002060"/>
                <w:sz w:val="16"/>
                <w:szCs w:val="16"/>
                <w:lang w:val="es-ES_tradnl"/>
              </w:rPr>
            </w:pPr>
            <w:r w:rsidRPr="00A34388">
              <w:rPr>
                <w:i/>
                <w:color w:val="002060"/>
                <w:sz w:val="16"/>
                <w:lang w:val="es-ES_tradnl"/>
              </w:rPr>
              <w:t>Referencia actualizada a fines de 2011</w:t>
            </w:r>
            <w:r w:rsidR="00DA158A" w:rsidRPr="00A34388">
              <w:rPr>
                <w:i/>
                <w:color w:val="002060"/>
                <w:sz w:val="16"/>
                <w:lang w:val="es-ES_tradnl"/>
              </w:rPr>
              <w:t>:</w:t>
            </w:r>
            <w:r w:rsidRPr="00A34388">
              <w:rPr>
                <w:i/>
                <w:color w:val="002060"/>
                <w:sz w:val="16"/>
                <w:lang w:val="es-ES_tradnl"/>
              </w:rPr>
              <w:t xml:space="preserve">  </w:t>
            </w:r>
            <w:r w:rsidRPr="00A34388">
              <w:rPr>
                <w:color w:val="002060"/>
                <w:sz w:val="16"/>
                <w:lang w:val="es-ES_tradnl"/>
              </w:rPr>
              <w:t>11,3.</w:t>
            </w:r>
          </w:p>
          <w:p w:rsidR="009124B0" w:rsidRPr="00A34388" w:rsidRDefault="009124B0" w:rsidP="00730F86">
            <w:pPr>
              <w:rPr>
                <w:rFonts w:cs="Arial"/>
                <w:i/>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Promedio de días de ausencia por enfermedad: </w:t>
            </w:r>
            <w:r w:rsidR="007E4D96" w:rsidRPr="00A34388">
              <w:rPr>
                <w:sz w:val="16"/>
                <w:lang w:val="es-ES_tradnl"/>
              </w:rPr>
              <w:t xml:space="preserve"> </w:t>
            </w:r>
            <w:r w:rsidRPr="00A34388">
              <w:rPr>
                <w:sz w:val="16"/>
                <w:lang w:val="es-ES_tradnl"/>
              </w:rPr>
              <w:t>9,6.</w:t>
            </w:r>
          </w:p>
        </w:tc>
        <w:tc>
          <w:tcPr>
            <w:tcW w:w="781" w:type="pct"/>
            <w:shd w:val="clear" w:color="auto" w:fill="auto"/>
            <w:tcMar>
              <w:top w:w="110" w:type="dxa"/>
            </w:tcMar>
          </w:tcPr>
          <w:p w:rsidR="009124B0" w:rsidRPr="00A34388" w:rsidRDefault="009124B0" w:rsidP="00730F86">
            <w:pPr>
              <w:rPr>
                <w:rFonts w:cs="Arial"/>
                <w:sz w:val="16"/>
                <w:szCs w:val="16"/>
                <w:lang w:val="es-ES_tradnl"/>
              </w:rPr>
            </w:pPr>
            <w:r w:rsidRPr="00A34388">
              <w:rPr>
                <w:sz w:val="16"/>
                <w:lang w:val="es-ES_tradnl"/>
              </w:rPr>
              <w:t>Promedio de 5,5</w:t>
            </w:r>
          </w:p>
          <w:p w:rsidR="009124B0" w:rsidRPr="00A34388" w:rsidRDefault="009124B0" w:rsidP="00DA158A">
            <w:pPr>
              <w:rPr>
                <w:rFonts w:cs="Arial"/>
                <w:sz w:val="16"/>
                <w:szCs w:val="16"/>
                <w:lang w:val="es-ES_tradnl"/>
              </w:rPr>
            </w:pPr>
            <w:r w:rsidRPr="00A34388">
              <w:rPr>
                <w:sz w:val="16"/>
                <w:lang w:val="es-ES_tradnl"/>
              </w:rPr>
              <w:t xml:space="preserve">días/empleado </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A34388">
              <w:rPr>
                <w:sz w:val="16"/>
                <w:lang w:val="es-ES_tradnl"/>
              </w:rPr>
              <w:t xml:space="preserve">Durante el bienio: </w:t>
            </w:r>
            <w:r w:rsidR="007E4D96" w:rsidRPr="00A34388">
              <w:rPr>
                <w:sz w:val="16"/>
                <w:lang w:val="es-ES_tradnl"/>
              </w:rPr>
              <w:t xml:space="preserve"> </w:t>
            </w:r>
            <w:r w:rsidRPr="00A34388">
              <w:rPr>
                <w:sz w:val="16"/>
                <w:lang w:val="es-ES_tradnl"/>
              </w:rPr>
              <w:t>10,34.</w:t>
            </w:r>
          </w:p>
          <w:p w:rsidR="009124B0" w:rsidRPr="00A34388" w:rsidRDefault="009124B0" w:rsidP="009124B0">
            <w:pPr>
              <w:pStyle w:val="ListParagraph"/>
              <w:numPr>
                <w:ilvl w:val="0"/>
                <w:numId w:val="56"/>
              </w:numPr>
              <w:rPr>
                <w:rFonts w:cs="Arial"/>
                <w:sz w:val="16"/>
                <w:szCs w:val="16"/>
                <w:lang w:val="es-ES_tradnl"/>
              </w:rPr>
            </w:pPr>
            <w:r w:rsidRPr="00A34388">
              <w:rPr>
                <w:sz w:val="16"/>
                <w:lang w:val="es-ES_tradnl"/>
              </w:rPr>
              <w:t>2012:  9,07.</w:t>
            </w:r>
          </w:p>
          <w:p w:rsidR="009124B0" w:rsidRPr="00A34388" w:rsidRDefault="009124B0" w:rsidP="009124B0">
            <w:pPr>
              <w:pStyle w:val="ListParagraph"/>
              <w:numPr>
                <w:ilvl w:val="0"/>
                <w:numId w:val="56"/>
              </w:numPr>
              <w:rPr>
                <w:lang w:val="es-ES_tradnl"/>
              </w:rPr>
            </w:pPr>
            <w:r w:rsidRPr="00A34388">
              <w:rPr>
                <w:sz w:val="16"/>
                <w:lang w:val="es-ES_tradnl"/>
              </w:rPr>
              <w:t>2031:  11,6.</w:t>
            </w:r>
          </w:p>
        </w:tc>
        <w:tc>
          <w:tcPr>
            <w:tcW w:w="680" w:type="pct"/>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FF0000"/>
                <w:sz w:val="16"/>
                <w:lang w:val="es-ES_tradnl"/>
              </w:rPr>
              <w:t>No logrado</w:t>
            </w:r>
            <w:r w:rsidRPr="00A34388">
              <w:rPr>
                <w:rStyle w:val="Style5"/>
                <w:sz w:val="16"/>
                <w:lang w:val="es-ES_tradnl"/>
              </w:rPr>
              <w:t xml:space="preserve"> </w:t>
            </w:r>
          </w:p>
        </w:tc>
      </w:tr>
      <w:tr w:rsidR="009124B0" w:rsidRPr="00A34388" w:rsidTr="00730F86">
        <w:tc>
          <w:tcPr>
            <w:tcW w:w="860" w:type="pct"/>
            <w:shd w:val="clear" w:color="auto" w:fill="auto"/>
          </w:tcPr>
          <w:p w:rsidR="009124B0" w:rsidRPr="00A34388" w:rsidRDefault="009124B0" w:rsidP="00730F86">
            <w:pPr>
              <w:rPr>
                <w:rFonts w:cs="Arial"/>
                <w:sz w:val="16"/>
                <w:szCs w:val="16"/>
                <w:lang w:val="es-ES_tradnl"/>
              </w:rPr>
            </w:pPr>
            <w:r w:rsidRPr="00332758">
              <w:rPr>
                <w:sz w:val="16"/>
                <w:lang w:val="es-ES_tradnl"/>
              </w:rPr>
              <w:t>Disminución de las reclamaciones.</w:t>
            </w:r>
          </w:p>
        </w:tc>
        <w:tc>
          <w:tcPr>
            <w:tcW w:w="1033" w:type="pct"/>
            <w:shd w:val="clear" w:color="auto" w:fill="auto"/>
          </w:tcPr>
          <w:p w:rsidR="009124B0" w:rsidRPr="00D433B6" w:rsidRDefault="009124B0" w:rsidP="00730F86">
            <w:pPr>
              <w:rPr>
                <w:rFonts w:cs="Arial"/>
                <w:i/>
                <w:color w:val="002060"/>
                <w:sz w:val="16"/>
                <w:szCs w:val="16"/>
                <w:lang w:val="es-ES_tradnl"/>
              </w:rPr>
            </w:pPr>
            <w:r w:rsidRPr="00D433B6">
              <w:rPr>
                <w:i/>
                <w:color w:val="002060"/>
                <w:sz w:val="16"/>
                <w:lang w:val="es-ES_tradnl"/>
              </w:rPr>
              <w:t xml:space="preserve">Referencia actualizada a fines de 2011:  </w:t>
            </w:r>
          </w:p>
          <w:p w:rsidR="009124B0" w:rsidRPr="00D433B6" w:rsidRDefault="009124B0" w:rsidP="00730F86">
            <w:pPr>
              <w:rPr>
                <w:rFonts w:cs="Arial"/>
                <w:color w:val="002060"/>
                <w:sz w:val="16"/>
                <w:szCs w:val="16"/>
                <w:lang w:val="es-ES_tradnl"/>
              </w:rPr>
            </w:pPr>
            <w:r w:rsidRPr="00D433B6">
              <w:rPr>
                <w:color w:val="002060"/>
                <w:sz w:val="16"/>
                <w:lang w:val="es-ES_tradnl"/>
              </w:rPr>
              <w:t>Junta de Apelación de la OMPI: 14.</w:t>
            </w:r>
          </w:p>
          <w:p w:rsidR="009124B0" w:rsidRPr="00D433B6" w:rsidRDefault="009124B0" w:rsidP="00730F86">
            <w:pPr>
              <w:rPr>
                <w:rFonts w:cs="Arial"/>
                <w:color w:val="002060"/>
                <w:sz w:val="16"/>
                <w:szCs w:val="16"/>
                <w:lang w:val="es-ES_tradnl"/>
              </w:rPr>
            </w:pPr>
            <w:r w:rsidRPr="00D433B6">
              <w:rPr>
                <w:color w:val="002060"/>
                <w:sz w:val="16"/>
                <w:lang w:val="es-ES_tradnl"/>
              </w:rPr>
              <w:t>Tribunal Administrativo de la Organización Internacional del Trabajo: 12.</w:t>
            </w:r>
          </w:p>
          <w:p w:rsidR="009124B0" w:rsidRPr="00A34388" w:rsidRDefault="009124B0" w:rsidP="00730F86">
            <w:pPr>
              <w:rPr>
                <w:rFonts w:cs="Arial"/>
                <w:i/>
                <w:color w:val="002060"/>
                <w:sz w:val="8"/>
                <w:szCs w:val="8"/>
                <w:lang w:val="es-ES_tradnl"/>
              </w:rPr>
            </w:pPr>
          </w:p>
          <w:p w:rsidR="009124B0" w:rsidRPr="00A34388" w:rsidRDefault="009124B0" w:rsidP="00730F86">
            <w:pPr>
              <w:rPr>
                <w:rFonts w:cs="Arial"/>
                <w:sz w:val="16"/>
                <w:szCs w:val="16"/>
                <w:lang w:val="es-ES_tradnl"/>
              </w:rPr>
            </w:pPr>
            <w:r w:rsidRPr="00A34388">
              <w:rPr>
                <w:i/>
                <w:sz w:val="16"/>
                <w:lang w:val="es-ES_tradnl"/>
              </w:rPr>
              <w:t>Referencia original Presup. por prog. 2012/12:</w:t>
            </w:r>
            <w:r w:rsidRPr="00A34388">
              <w:rPr>
                <w:sz w:val="16"/>
                <w:lang w:val="es-ES_tradnl"/>
              </w:rPr>
              <w:t xml:space="preserve">  27 casos.</w:t>
            </w:r>
          </w:p>
          <w:p w:rsidR="009124B0" w:rsidRPr="00A34388" w:rsidRDefault="009124B0" w:rsidP="00730F86">
            <w:pPr>
              <w:rPr>
                <w:rFonts w:cs="Arial"/>
                <w:sz w:val="16"/>
                <w:szCs w:val="16"/>
                <w:lang w:val="es-ES_tradnl"/>
              </w:rPr>
            </w:pPr>
          </w:p>
        </w:tc>
        <w:tc>
          <w:tcPr>
            <w:tcW w:w="781" w:type="pct"/>
            <w:shd w:val="clear" w:color="auto" w:fill="auto"/>
            <w:tcMar>
              <w:top w:w="110" w:type="dxa"/>
            </w:tcMar>
          </w:tcPr>
          <w:p w:rsidR="009124B0" w:rsidRPr="00A34388" w:rsidRDefault="009124B0" w:rsidP="00730F86">
            <w:pPr>
              <w:rPr>
                <w:rFonts w:cs="Arial"/>
                <w:sz w:val="16"/>
                <w:szCs w:val="16"/>
                <w:lang w:val="es-ES_tradnl"/>
              </w:rPr>
            </w:pPr>
            <w:r w:rsidRPr="00332758">
              <w:rPr>
                <w:sz w:val="16"/>
                <w:lang w:val="es-ES_tradnl"/>
              </w:rPr>
              <w:t>22 casos.</w:t>
            </w:r>
          </w:p>
        </w:tc>
        <w:tc>
          <w:tcPr>
            <w:tcW w:w="1645" w:type="pct"/>
            <w:shd w:val="clear" w:color="auto" w:fill="FFFFFF"/>
            <w:tcMar>
              <w:top w:w="110" w:type="dxa"/>
            </w:tcMar>
          </w:tcPr>
          <w:p w:rsidR="009124B0" w:rsidRPr="00A34388" w:rsidRDefault="009124B0" w:rsidP="00730F86">
            <w:pPr>
              <w:rPr>
                <w:rFonts w:cs="Arial"/>
                <w:sz w:val="16"/>
                <w:szCs w:val="16"/>
                <w:lang w:val="es-ES_tradnl"/>
              </w:rPr>
            </w:pPr>
            <w:r w:rsidRPr="00332758">
              <w:rPr>
                <w:sz w:val="16"/>
                <w:lang w:val="es-ES_tradnl"/>
              </w:rPr>
              <w:t>Junta de Apelación de la OMPI: 54.</w:t>
            </w:r>
            <w:r w:rsidRPr="00A34388">
              <w:rPr>
                <w:sz w:val="16"/>
                <w:lang w:val="es-ES_tradnl"/>
              </w:rPr>
              <w:t xml:space="preserve"> </w:t>
            </w:r>
          </w:p>
          <w:p w:rsidR="009124B0" w:rsidRPr="00A34388" w:rsidRDefault="009124B0" w:rsidP="00730F86">
            <w:pPr>
              <w:rPr>
                <w:rFonts w:cs="Arial"/>
                <w:sz w:val="16"/>
                <w:szCs w:val="16"/>
                <w:lang w:val="es-ES_tradnl"/>
              </w:rPr>
            </w:pPr>
            <w:r w:rsidRPr="00332758">
              <w:rPr>
                <w:sz w:val="16"/>
                <w:lang w:val="es-ES_tradnl"/>
              </w:rPr>
              <w:t>Tribunal Administrativo de la Organización Internacional del Trabajo: 21.</w:t>
            </w:r>
          </w:p>
        </w:tc>
        <w:tc>
          <w:tcPr>
            <w:tcW w:w="680" w:type="pct"/>
            <w:shd w:val="clear" w:color="auto" w:fill="auto"/>
            <w:tcMar>
              <w:top w:w="110" w:type="dxa"/>
            </w:tcMar>
          </w:tcPr>
          <w:p w:rsidR="009124B0" w:rsidRPr="00A34388" w:rsidRDefault="009124B0" w:rsidP="00730F86">
            <w:pPr>
              <w:jc w:val="center"/>
              <w:rPr>
                <w:rFonts w:cs="Arial"/>
                <w:bCs/>
                <w:sz w:val="16"/>
                <w:szCs w:val="16"/>
                <w:lang w:val="es-ES_tradnl"/>
              </w:rPr>
            </w:pPr>
            <w:r w:rsidRPr="00A34388">
              <w:rPr>
                <w:color w:val="FF0000"/>
                <w:sz w:val="16"/>
                <w:lang w:val="es-ES_tradnl"/>
              </w:rPr>
              <w:t>No logrado</w:t>
            </w:r>
            <w:r w:rsidRPr="00A34388">
              <w:rPr>
                <w:rStyle w:val="Style5"/>
                <w:sz w:val="16"/>
                <w:lang w:val="es-ES_tradnl"/>
              </w:rPr>
              <w:t xml:space="preserve"> </w:t>
            </w:r>
          </w:p>
        </w:tc>
      </w:tr>
    </w:tbl>
    <w:p w:rsidR="009124B0" w:rsidRPr="00A34388" w:rsidRDefault="009124B0" w:rsidP="009124B0">
      <w:pPr>
        <w:rPr>
          <w:lang w:val="es-ES_tradnl"/>
        </w:rPr>
      </w:pPr>
    </w:p>
    <w:p w:rsidR="009124B0" w:rsidRPr="00A34388" w:rsidRDefault="009124B0" w:rsidP="009124B0">
      <w:pPr>
        <w:rPr>
          <w:rFonts w:cs="Arial"/>
          <w:lang w:val="es-ES_tradnl"/>
        </w:rPr>
      </w:pPr>
    </w:p>
    <w:p w:rsidR="004C0FD5" w:rsidRPr="00332758" w:rsidRDefault="004C0FD5">
      <w:pPr>
        <w:rPr>
          <w:lang w:val="es-ES_tradnl"/>
        </w:rPr>
      </w:pPr>
      <w:r w:rsidRPr="00332758">
        <w:rPr>
          <w:lang w:val="es-ES_tradnl"/>
        </w:rPr>
        <w:br w:type="page"/>
      </w:r>
    </w:p>
    <w:p w:rsidR="009124B0" w:rsidRPr="00A34388" w:rsidRDefault="009124B0" w:rsidP="009124B0">
      <w:pPr>
        <w:rPr>
          <w:rFonts w:cs="Arial"/>
          <w:szCs w:val="22"/>
          <w:lang w:val="es-ES_tradnl"/>
        </w:rPr>
      </w:pPr>
      <w:r w:rsidRPr="00332758">
        <w:rPr>
          <w:lang w:val="es-ES_tradnl"/>
        </w:rPr>
        <w:lastRenderedPageBreak/>
        <w:t>PRESUPUESTO Y GASTOS REALES</w:t>
      </w:r>
    </w:p>
    <w:p w:rsidR="009124B0" w:rsidRPr="00A34388" w:rsidRDefault="009124B0" w:rsidP="009124B0">
      <w:pPr>
        <w:rPr>
          <w:rFonts w:cs="Arial"/>
          <w:szCs w:val="22"/>
          <w:lang w:val="es-ES_tradnl"/>
        </w:rPr>
      </w:pPr>
    </w:p>
    <w:p w:rsidR="009124B0" w:rsidRPr="00A34388" w:rsidRDefault="009124B0" w:rsidP="009124B0">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(por resultado) </w:t>
      </w:r>
    </w:p>
    <w:p w:rsidR="009124B0" w:rsidRPr="00332758" w:rsidRDefault="009124B0" w:rsidP="009124B0">
      <w:pPr>
        <w:jc w:val="center"/>
        <w:rPr>
          <w:rFonts w:eastAsiaTheme="minorEastAsia" w:cs="Arial"/>
          <w:szCs w:val="20"/>
          <w:lang w:val="es-ES_tradnl"/>
        </w:rPr>
      </w:pPr>
      <w:r w:rsidRPr="00332758">
        <w:rPr>
          <w:rFonts w:eastAsiaTheme="minorEastAsia"/>
          <w:i/>
          <w:lang w:val="es-ES_tradnl"/>
        </w:rPr>
        <w:t>(en miles de francos suizos)</w:t>
      </w:r>
    </w:p>
    <w:p w:rsidR="009124B0" w:rsidRPr="00A34388" w:rsidRDefault="009124B0" w:rsidP="009124B0">
      <w:pPr>
        <w:rPr>
          <w:rFonts w:cs="Arial"/>
          <w:b/>
          <w:bCs/>
          <w:color w:val="000000"/>
          <w:sz w:val="18"/>
          <w:szCs w:val="18"/>
          <w:lang w:val="es-ES_tradnl"/>
        </w:rPr>
      </w:pPr>
    </w:p>
    <w:tbl>
      <w:tblPr>
        <w:tblW w:w="0" w:type="auto"/>
        <w:tblInd w:w="103" w:type="dxa"/>
        <w:tblLook w:val="04A0" w:firstRow="1" w:lastRow="0" w:firstColumn="1" w:lastColumn="0" w:noHBand="0" w:noVBand="1"/>
      </w:tblPr>
      <w:tblGrid>
        <w:gridCol w:w="501"/>
        <w:gridCol w:w="4607"/>
        <w:gridCol w:w="1399"/>
        <w:gridCol w:w="1400"/>
        <w:gridCol w:w="1400"/>
      </w:tblGrid>
      <w:tr w:rsidR="009124B0" w:rsidRPr="00A34388" w:rsidTr="00730F86">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Número del resultado previsto y descripción</w:t>
            </w:r>
          </w:p>
        </w:tc>
        <w:tc>
          <w:tcPr>
            <w:tcW w:w="1399"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aprobado 2012/13</w:t>
            </w:r>
          </w:p>
        </w:tc>
        <w:tc>
          <w:tcPr>
            <w:tcW w:w="1400"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400" w:type="dxa"/>
            <w:tcBorders>
              <w:top w:val="single" w:sz="4" w:space="0" w:color="auto"/>
              <w:left w:val="nil"/>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A34388">
              <w:rPr>
                <w:color w:val="000000"/>
                <w:sz w:val="16"/>
                <w:lang w:val="es-ES_tradnl"/>
              </w:rPr>
              <w:t>Gastos 2012/13</w:t>
            </w:r>
          </w:p>
        </w:tc>
      </w:tr>
      <w:tr w:rsidR="009124B0" w:rsidRPr="00A34388" w:rsidTr="00730F86">
        <w:tc>
          <w:tcPr>
            <w:tcW w:w="501" w:type="dxa"/>
            <w:tcBorders>
              <w:top w:val="nil"/>
              <w:left w:val="single" w:sz="4" w:space="0" w:color="auto"/>
              <w:bottom w:val="nil"/>
              <w:right w:val="nil"/>
            </w:tcBorders>
            <w:shd w:val="clear" w:color="000000" w:fill="FFFFFF"/>
            <w:noWrap/>
            <w:hideMark/>
          </w:tcPr>
          <w:p w:rsidR="009124B0" w:rsidRPr="00A34388" w:rsidRDefault="009124B0" w:rsidP="00730F86">
            <w:pPr>
              <w:spacing w:before="120"/>
              <w:jc w:val="center"/>
              <w:rPr>
                <w:rFonts w:cs="Arial"/>
                <w:color w:val="808080"/>
                <w:sz w:val="16"/>
                <w:szCs w:val="16"/>
                <w:lang w:val="es-ES_tradnl"/>
              </w:rPr>
            </w:pPr>
            <w:r w:rsidRPr="00332758">
              <w:rPr>
                <w:sz w:val="16"/>
                <w:lang w:val="es-ES_tradnl"/>
              </w:rPr>
              <w:t>IX.1</w:t>
            </w:r>
          </w:p>
        </w:tc>
        <w:tc>
          <w:tcPr>
            <w:tcW w:w="4607" w:type="dxa"/>
            <w:tcBorders>
              <w:top w:val="nil"/>
              <w:left w:val="nil"/>
              <w:bottom w:val="nil"/>
              <w:right w:val="nil"/>
            </w:tcBorders>
            <w:shd w:val="clear" w:color="000000" w:fill="FFFFFF"/>
            <w:hideMark/>
          </w:tcPr>
          <w:p w:rsidR="009124B0" w:rsidRPr="00A34388" w:rsidRDefault="009124B0" w:rsidP="00730F86">
            <w:pPr>
              <w:spacing w:before="120"/>
              <w:rPr>
                <w:rFonts w:cs="Arial"/>
                <w:color w:val="808080"/>
                <w:sz w:val="16"/>
                <w:szCs w:val="16"/>
                <w:lang w:val="es-ES_tradnl"/>
              </w:rPr>
            </w:pPr>
            <w:r w:rsidRPr="00332758">
              <w:rPr>
                <w:sz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1399"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8</w:t>
            </w:r>
            <w:r w:rsidR="00A91C43">
              <w:rPr>
                <w:sz w:val="16"/>
                <w:lang w:val="es-ES_tradnl"/>
              </w:rPr>
              <w:t>.</w:t>
            </w:r>
            <w:r w:rsidRPr="00332758">
              <w:rPr>
                <w:sz w:val="16"/>
                <w:lang w:val="es-ES_tradnl"/>
              </w:rPr>
              <w:t xml:space="preserve">790 </w:t>
            </w:r>
          </w:p>
        </w:tc>
        <w:tc>
          <w:tcPr>
            <w:tcW w:w="1400" w:type="dxa"/>
            <w:tcBorders>
              <w:top w:val="nil"/>
              <w:left w:val="nil"/>
              <w:bottom w:val="nil"/>
              <w:right w:val="nil"/>
            </w:tcBorders>
            <w:shd w:val="clear" w:color="000000" w:fill="FFFFFF"/>
            <w:vAlign w:val="center"/>
            <w:hideMark/>
          </w:tcPr>
          <w:p w:rsidR="009124B0" w:rsidRPr="00A34388" w:rsidRDefault="009124B0" w:rsidP="00730F86">
            <w:pPr>
              <w:spacing w:before="120"/>
              <w:jc w:val="right"/>
              <w:rPr>
                <w:rFonts w:cs="Arial"/>
                <w:color w:val="808080"/>
                <w:sz w:val="16"/>
                <w:szCs w:val="16"/>
                <w:lang w:val="es-ES_tradnl"/>
              </w:rPr>
            </w:pPr>
            <w:r w:rsidRPr="00332758">
              <w:rPr>
                <w:sz w:val="16"/>
                <w:lang w:val="es-ES_tradnl"/>
              </w:rPr>
              <w:t>9</w:t>
            </w:r>
            <w:r w:rsidR="00A91C43">
              <w:rPr>
                <w:sz w:val="16"/>
                <w:lang w:val="es-ES_tradnl"/>
              </w:rPr>
              <w:t>.</w:t>
            </w:r>
            <w:r w:rsidRPr="00332758">
              <w:rPr>
                <w:sz w:val="16"/>
                <w:lang w:val="es-ES_tradnl"/>
              </w:rPr>
              <w:t xml:space="preserve">942 </w:t>
            </w:r>
          </w:p>
        </w:tc>
        <w:tc>
          <w:tcPr>
            <w:tcW w:w="1400" w:type="dxa"/>
            <w:tcBorders>
              <w:top w:val="nil"/>
              <w:left w:val="nil"/>
              <w:bottom w:val="nil"/>
              <w:right w:val="single" w:sz="4" w:space="0" w:color="auto"/>
            </w:tcBorders>
            <w:shd w:val="clear" w:color="000000" w:fill="FFFFFF"/>
            <w:vAlign w:val="center"/>
            <w:hideMark/>
          </w:tcPr>
          <w:p w:rsidR="009124B0" w:rsidRPr="00332758" w:rsidRDefault="009124B0" w:rsidP="00730F86">
            <w:pPr>
              <w:spacing w:before="120"/>
              <w:jc w:val="right"/>
              <w:rPr>
                <w:rFonts w:cs="Arial"/>
                <w:sz w:val="16"/>
                <w:szCs w:val="16"/>
                <w:lang w:val="es-ES_tradnl"/>
              </w:rPr>
            </w:pPr>
            <w:r w:rsidRPr="00332758">
              <w:rPr>
                <w:sz w:val="16"/>
                <w:lang w:val="es-ES_tradnl"/>
              </w:rPr>
              <w:t>9</w:t>
            </w:r>
            <w:r w:rsidR="00A91C43">
              <w:rPr>
                <w:sz w:val="16"/>
                <w:lang w:val="es-ES_tradnl"/>
              </w:rPr>
              <w:t>.</w:t>
            </w:r>
            <w:r w:rsidRPr="00332758">
              <w:rPr>
                <w:sz w:val="16"/>
                <w:lang w:val="es-ES_tradnl"/>
              </w:rPr>
              <w:t xml:space="preserve">970 </w:t>
            </w:r>
          </w:p>
        </w:tc>
      </w:tr>
      <w:tr w:rsidR="009124B0" w:rsidRPr="00A34388" w:rsidTr="00730F86">
        <w:tc>
          <w:tcPr>
            <w:tcW w:w="501" w:type="dxa"/>
            <w:tcBorders>
              <w:top w:val="nil"/>
              <w:left w:val="single" w:sz="4" w:space="0" w:color="auto"/>
              <w:bottom w:val="single" w:sz="4" w:space="0" w:color="auto"/>
              <w:right w:val="nil"/>
            </w:tcBorders>
            <w:shd w:val="clear" w:color="000000" w:fill="FFFFFF"/>
            <w:noWrap/>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IX.3</w:t>
            </w:r>
          </w:p>
        </w:tc>
        <w:tc>
          <w:tcPr>
            <w:tcW w:w="4607" w:type="dxa"/>
            <w:tcBorders>
              <w:top w:val="nil"/>
              <w:left w:val="nil"/>
              <w:bottom w:val="single" w:sz="4" w:space="0" w:color="auto"/>
              <w:right w:val="nil"/>
            </w:tcBorders>
            <w:shd w:val="clear" w:color="000000" w:fill="FFFFFF"/>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Personal profesional bien dirigido, diversificado, motivado y con las competencias adecuadas.</w:t>
            </w:r>
          </w:p>
        </w:tc>
        <w:tc>
          <w:tcPr>
            <w:tcW w:w="1399" w:type="dxa"/>
            <w:tcBorders>
              <w:top w:val="nil"/>
              <w:left w:val="nil"/>
              <w:bottom w:val="single" w:sz="4" w:space="0" w:color="auto"/>
              <w:right w:val="nil"/>
            </w:tcBorders>
            <w:shd w:val="clear" w:color="000000" w:fill="FFFFFF"/>
            <w:vAlign w:val="center"/>
            <w:hideMark/>
          </w:tcPr>
          <w:p w:rsidR="009124B0" w:rsidRPr="00A34388" w:rsidRDefault="009124B0" w:rsidP="00730F86">
            <w:pPr>
              <w:spacing w:before="120" w:after="120"/>
              <w:jc w:val="right"/>
              <w:rPr>
                <w:rFonts w:cs="Arial"/>
                <w:color w:val="808080"/>
                <w:sz w:val="16"/>
                <w:szCs w:val="16"/>
                <w:lang w:val="es-ES_tradnl"/>
              </w:rPr>
            </w:pPr>
            <w:r w:rsidRPr="00332758">
              <w:rPr>
                <w:sz w:val="16"/>
                <w:lang w:val="es-ES_tradnl"/>
              </w:rPr>
              <w:t>12</w:t>
            </w:r>
            <w:r w:rsidR="00A91C43">
              <w:rPr>
                <w:sz w:val="16"/>
                <w:lang w:val="es-ES_tradnl"/>
              </w:rPr>
              <w:t>.</w:t>
            </w:r>
            <w:r w:rsidRPr="00332758">
              <w:rPr>
                <w:sz w:val="16"/>
                <w:lang w:val="es-ES_tradnl"/>
              </w:rPr>
              <w:t xml:space="preserve">703 </w:t>
            </w:r>
          </w:p>
        </w:tc>
        <w:tc>
          <w:tcPr>
            <w:tcW w:w="1400" w:type="dxa"/>
            <w:tcBorders>
              <w:top w:val="nil"/>
              <w:left w:val="nil"/>
              <w:bottom w:val="single" w:sz="4" w:space="0" w:color="auto"/>
              <w:right w:val="nil"/>
            </w:tcBorders>
            <w:shd w:val="clear" w:color="000000" w:fill="FFFFFF"/>
            <w:vAlign w:val="center"/>
            <w:hideMark/>
          </w:tcPr>
          <w:p w:rsidR="009124B0" w:rsidRPr="00A34388" w:rsidRDefault="009124B0" w:rsidP="00730F86">
            <w:pPr>
              <w:spacing w:before="120" w:after="120"/>
              <w:jc w:val="right"/>
              <w:rPr>
                <w:rFonts w:cs="Arial"/>
                <w:color w:val="808080"/>
                <w:sz w:val="16"/>
                <w:szCs w:val="16"/>
                <w:lang w:val="es-ES_tradnl"/>
              </w:rPr>
            </w:pPr>
            <w:r w:rsidRPr="00332758">
              <w:rPr>
                <w:sz w:val="16"/>
                <w:lang w:val="es-ES_tradnl"/>
              </w:rPr>
              <w:t>11</w:t>
            </w:r>
            <w:r w:rsidR="00A91C43">
              <w:rPr>
                <w:sz w:val="16"/>
                <w:lang w:val="es-ES_tradnl"/>
              </w:rPr>
              <w:t>.</w:t>
            </w:r>
            <w:r w:rsidRPr="00332758">
              <w:rPr>
                <w:sz w:val="16"/>
                <w:lang w:val="es-ES_tradnl"/>
              </w:rPr>
              <w:t xml:space="preserve">812 </w:t>
            </w:r>
          </w:p>
        </w:tc>
        <w:tc>
          <w:tcPr>
            <w:tcW w:w="1400" w:type="dxa"/>
            <w:tcBorders>
              <w:top w:val="nil"/>
              <w:left w:val="nil"/>
              <w:bottom w:val="single" w:sz="4" w:space="0" w:color="auto"/>
              <w:right w:val="single" w:sz="4" w:space="0" w:color="auto"/>
            </w:tcBorders>
            <w:shd w:val="clear" w:color="000000" w:fill="FFFFFF"/>
            <w:vAlign w:val="center"/>
            <w:hideMark/>
          </w:tcPr>
          <w:p w:rsidR="009124B0" w:rsidRPr="00332758" w:rsidRDefault="009124B0" w:rsidP="00730F86">
            <w:pPr>
              <w:spacing w:before="120" w:after="120"/>
              <w:jc w:val="right"/>
              <w:rPr>
                <w:rFonts w:cs="Arial"/>
                <w:sz w:val="16"/>
                <w:szCs w:val="16"/>
                <w:lang w:val="es-ES_tradnl"/>
              </w:rPr>
            </w:pPr>
            <w:r w:rsidRPr="00332758">
              <w:rPr>
                <w:sz w:val="16"/>
                <w:lang w:val="es-ES_tradnl"/>
              </w:rPr>
              <w:t>11</w:t>
            </w:r>
            <w:r w:rsidR="00A91C43">
              <w:rPr>
                <w:sz w:val="16"/>
                <w:lang w:val="es-ES_tradnl"/>
              </w:rPr>
              <w:t>.</w:t>
            </w:r>
            <w:r w:rsidRPr="00332758">
              <w:rPr>
                <w:sz w:val="16"/>
                <w:lang w:val="es-ES_tradnl"/>
              </w:rPr>
              <w:t>417</w:t>
            </w:r>
          </w:p>
        </w:tc>
      </w:tr>
      <w:tr w:rsidR="009124B0" w:rsidRPr="00A34388" w:rsidTr="00730F86">
        <w:tc>
          <w:tcPr>
            <w:tcW w:w="501" w:type="dxa"/>
            <w:tcBorders>
              <w:top w:val="nil"/>
              <w:left w:val="single" w:sz="4" w:space="0" w:color="auto"/>
              <w:bottom w:val="single" w:sz="4" w:space="0" w:color="auto"/>
              <w:right w:val="nil"/>
            </w:tcBorders>
            <w:shd w:val="clear" w:color="000000" w:fill="CCFFFF"/>
            <w:noWrap/>
            <w:vAlign w:val="bottom"/>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 </w:t>
            </w:r>
          </w:p>
        </w:tc>
        <w:tc>
          <w:tcPr>
            <w:tcW w:w="4607" w:type="dxa"/>
            <w:tcBorders>
              <w:top w:val="nil"/>
              <w:left w:val="nil"/>
              <w:bottom w:val="single" w:sz="4" w:space="0" w:color="auto"/>
              <w:right w:val="nil"/>
            </w:tcBorders>
            <w:shd w:val="clear" w:color="000000" w:fill="CCFFFF"/>
            <w:noWrap/>
            <w:vAlign w:val="center"/>
            <w:hideMark/>
          </w:tcPr>
          <w:p w:rsidR="009124B0" w:rsidRPr="00A34388" w:rsidRDefault="009124B0" w:rsidP="00730F86">
            <w:pPr>
              <w:spacing w:before="120" w:after="120"/>
              <w:rPr>
                <w:rFonts w:cs="Arial"/>
                <w:b/>
                <w:bCs/>
                <w:color w:val="808080"/>
                <w:sz w:val="16"/>
                <w:szCs w:val="16"/>
                <w:lang w:val="es-ES_tradnl"/>
              </w:rPr>
            </w:pPr>
            <w:r w:rsidRPr="00332758">
              <w:rPr>
                <w:b/>
                <w:sz w:val="16"/>
                <w:lang w:val="es-ES_tradnl"/>
              </w:rPr>
              <w:t>TOTAL:</w:t>
            </w:r>
          </w:p>
        </w:tc>
        <w:tc>
          <w:tcPr>
            <w:tcW w:w="1399" w:type="dxa"/>
            <w:tcBorders>
              <w:top w:val="nil"/>
              <w:left w:val="single" w:sz="4" w:space="0" w:color="auto"/>
              <w:bottom w:val="single" w:sz="4" w:space="0" w:color="auto"/>
              <w:right w:val="single" w:sz="4" w:space="0" w:color="auto"/>
            </w:tcBorders>
            <w:shd w:val="clear" w:color="000000" w:fill="CCFFFF"/>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493</w:t>
            </w:r>
          </w:p>
        </w:tc>
        <w:tc>
          <w:tcPr>
            <w:tcW w:w="1400" w:type="dxa"/>
            <w:tcBorders>
              <w:top w:val="nil"/>
              <w:left w:val="nil"/>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754</w:t>
            </w:r>
          </w:p>
        </w:tc>
        <w:tc>
          <w:tcPr>
            <w:tcW w:w="1400" w:type="dxa"/>
            <w:tcBorders>
              <w:top w:val="nil"/>
              <w:left w:val="nil"/>
              <w:bottom w:val="single" w:sz="4" w:space="0" w:color="auto"/>
              <w:right w:val="single" w:sz="4" w:space="0" w:color="auto"/>
            </w:tcBorders>
            <w:shd w:val="clear" w:color="000000" w:fill="CCFFFF"/>
            <w:vAlign w:val="center"/>
            <w:hideMark/>
          </w:tcPr>
          <w:p w:rsidR="009124B0" w:rsidRPr="00332758" w:rsidRDefault="009124B0" w:rsidP="00730F86">
            <w:pPr>
              <w:spacing w:before="120" w:after="120"/>
              <w:jc w:val="right"/>
              <w:rPr>
                <w:rFonts w:cs="Arial"/>
                <w:b/>
                <w:bCs/>
                <w:sz w:val="16"/>
                <w:szCs w:val="16"/>
                <w:lang w:val="es-ES_tradnl"/>
              </w:rPr>
            </w:pPr>
            <w:r w:rsidRPr="00332758">
              <w:rPr>
                <w:b/>
                <w:sz w:val="16"/>
                <w:lang w:val="es-ES_tradnl"/>
              </w:rPr>
              <w:t>21</w:t>
            </w:r>
            <w:r w:rsidR="00A91C43">
              <w:rPr>
                <w:b/>
                <w:sz w:val="16"/>
                <w:lang w:val="es-ES_tradnl"/>
              </w:rPr>
              <w:t>.</w:t>
            </w:r>
            <w:r w:rsidRPr="00332758">
              <w:rPr>
                <w:b/>
                <w:sz w:val="16"/>
                <w:lang w:val="es-ES_tradnl"/>
              </w:rPr>
              <w:t>387</w:t>
            </w:r>
          </w:p>
        </w:tc>
      </w:tr>
    </w:tbl>
    <w:p w:rsidR="009124B0" w:rsidRPr="00A34388" w:rsidRDefault="009124B0" w:rsidP="009124B0">
      <w:pPr>
        <w:spacing w:after="200" w:line="276" w:lineRule="auto"/>
        <w:rPr>
          <w:rFonts w:asciiTheme="minorHAnsi" w:eastAsiaTheme="minorHAnsi" w:hAnsiTheme="minorHAnsi" w:cstheme="minorBidi"/>
          <w:szCs w:val="20"/>
          <w:lang w:val="es-ES_tradnl"/>
        </w:rPr>
      </w:pPr>
    </w:p>
    <w:p w:rsidR="009124B0" w:rsidRPr="00A34388" w:rsidRDefault="009124B0" w:rsidP="009124B0">
      <w:pPr>
        <w:rPr>
          <w:rFonts w:eastAsiaTheme="minorEastAsia" w:cs="Arial"/>
          <w:color w:val="000000"/>
          <w:szCs w:val="20"/>
          <w:lang w:val="es-ES_tradnl"/>
        </w:rPr>
      </w:pPr>
    </w:p>
    <w:p w:rsidR="009124B0" w:rsidRPr="00A34388" w:rsidRDefault="009124B0" w:rsidP="009124B0">
      <w:pPr>
        <w:jc w:val="center"/>
        <w:rPr>
          <w:rFonts w:ascii="Times New Roman" w:eastAsiaTheme="minorEastAsia" w:hAnsi="Times New Roman"/>
          <w:szCs w:val="20"/>
          <w:lang w:val="es-ES_tradnl"/>
        </w:rPr>
      </w:pPr>
      <w:r w:rsidRPr="00A34388">
        <w:rPr>
          <w:rFonts w:eastAsiaTheme="minorEastAsia"/>
          <w:color w:val="000000"/>
          <w:lang w:val="es-ES_tradnl"/>
        </w:rPr>
        <w:t xml:space="preserve">Presupuesto y gastos reales (de personal y no relativos al personal) </w:t>
      </w:r>
    </w:p>
    <w:p w:rsidR="009124B0" w:rsidRPr="00332758" w:rsidRDefault="009124B0" w:rsidP="009124B0">
      <w:pPr>
        <w:jc w:val="center"/>
        <w:rPr>
          <w:rFonts w:eastAsiaTheme="minorEastAsia" w:cs="Arial"/>
          <w:i/>
          <w:iCs/>
          <w:szCs w:val="20"/>
          <w:lang w:val="es-ES_tradnl"/>
        </w:rPr>
      </w:pPr>
      <w:r w:rsidRPr="00332758">
        <w:rPr>
          <w:rFonts w:eastAsiaTheme="minorEastAsia"/>
          <w:i/>
          <w:lang w:val="es-ES_tradnl"/>
        </w:rPr>
        <w:t>(en miles de francos suizos)</w:t>
      </w:r>
    </w:p>
    <w:p w:rsidR="009124B0" w:rsidRPr="00A34388" w:rsidRDefault="009124B0" w:rsidP="009124B0">
      <w:pPr>
        <w:jc w:val="center"/>
        <w:rPr>
          <w:rFonts w:ascii="Times New Roman" w:eastAsiaTheme="minorEastAsia" w:hAnsi="Times New Roman"/>
          <w:sz w:val="24"/>
          <w:lang w:val="es-ES_tradnl"/>
        </w:rPr>
      </w:pPr>
    </w:p>
    <w:tbl>
      <w:tblPr>
        <w:tblW w:w="9371" w:type="dxa"/>
        <w:tblInd w:w="93" w:type="dxa"/>
        <w:tblLook w:val="04A0" w:firstRow="1" w:lastRow="0" w:firstColumn="1" w:lastColumn="0" w:noHBand="0" w:noVBand="1"/>
      </w:tblPr>
      <w:tblGrid>
        <w:gridCol w:w="2567"/>
        <w:gridCol w:w="1701"/>
        <w:gridCol w:w="1701"/>
        <w:gridCol w:w="1701"/>
        <w:gridCol w:w="1701"/>
      </w:tblGrid>
      <w:tr w:rsidR="009124B0" w:rsidRPr="00A34388" w:rsidTr="00730F86">
        <w:trPr>
          <w:trHeight w:val="466"/>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4B0" w:rsidRPr="00A34388" w:rsidRDefault="009124B0" w:rsidP="00730F86">
            <w:pPr>
              <w:spacing w:before="120" w:after="120"/>
              <w:rPr>
                <w:rFonts w:cs="Arial"/>
                <w:color w:val="000000"/>
                <w:sz w:val="16"/>
                <w:szCs w:val="16"/>
                <w:lang w:val="es-ES_tradnl"/>
              </w:rPr>
            </w:pPr>
            <w:r w:rsidRPr="00A34388">
              <w:rPr>
                <w:color w:val="000000"/>
                <w:sz w:val="16"/>
                <w:lang w:val="es-ES_tradnl"/>
              </w:rPr>
              <w:t> </w:t>
            </w:r>
          </w:p>
        </w:tc>
        <w:tc>
          <w:tcPr>
            <w:tcW w:w="170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Presupuesto aprobado 2012/13</w:t>
            </w:r>
          </w:p>
        </w:tc>
        <w:tc>
          <w:tcPr>
            <w:tcW w:w="170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808080"/>
                <w:sz w:val="16"/>
                <w:szCs w:val="16"/>
                <w:lang w:val="es-ES_tradnl"/>
              </w:rPr>
            </w:pPr>
            <w:r w:rsidRPr="00332758">
              <w:rPr>
                <w:sz w:val="16"/>
                <w:lang w:val="es-ES_tradnl"/>
              </w:rPr>
              <w:t>Gastos en 2012/13</w:t>
            </w:r>
          </w:p>
        </w:tc>
        <w:tc>
          <w:tcPr>
            <w:tcW w:w="1701" w:type="dxa"/>
            <w:tcBorders>
              <w:top w:val="single" w:sz="4" w:space="0" w:color="auto"/>
              <w:left w:val="nil"/>
              <w:bottom w:val="nil"/>
              <w:right w:val="single" w:sz="4" w:space="0" w:color="auto"/>
            </w:tcBorders>
            <w:shd w:val="clear" w:color="000000" w:fill="CCFFFF"/>
            <w:vAlign w:val="center"/>
            <w:hideMark/>
          </w:tcPr>
          <w:p w:rsidR="009124B0" w:rsidRPr="00A34388" w:rsidRDefault="009124B0" w:rsidP="00730F86">
            <w:pPr>
              <w:spacing w:before="120" w:after="120"/>
              <w:jc w:val="center"/>
              <w:rPr>
                <w:rFonts w:cs="Arial"/>
                <w:bCs/>
                <w:color w:val="000000"/>
                <w:sz w:val="16"/>
                <w:szCs w:val="16"/>
                <w:lang w:val="es-ES_tradnl"/>
              </w:rPr>
            </w:pPr>
            <w:r w:rsidRPr="00332758">
              <w:rPr>
                <w:sz w:val="16"/>
                <w:lang w:val="es-ES_tradnl"/>
              </w:rPr>
              <w:t>Índice de utilización</w:t>
            </w:r>
          </w:p>
        </w:tc>
      </w:tr>
      <w:tr w:rsidR="009124B0" w:rsidRPr="00A34388" w:rsidTr="00730F86">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Recursos de personal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16</w:t>
            </w:r>
            <w:r w:rsidR="00A91C43">
              <w:rPr>
                <w:sz w:val="16"/>
                <w:lang w:val="es-ES_tradnl"/>
              </w:rPr>
              <w:t>.</w:t>
            </w:r>
            <w:r w:rsidRPr="00332758">
              <w:rPr>
                <w:sz w:val="16"/>
                <w:lang w:val="es-ES_tradnl"/>
              </w:rPr>
              <w:t>832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17</w:t>
            </w:r>
            <w:r w:rsidR="00A91C43">
              <w:rPr>
                <w:sz w:val="16"/>
                <w:lang w:val="es-ES_tradnl"/>
              </w:rPr>
              <w:t>.</w:t>
            </w:r>
            <w:r w:rsidRPr="00332758">
              <w:rPr>
                <w:sz w:val="16"/>
                <w:lang w:val="es-ES_tradnl"/>
              </w:rPr>
              <w:t>294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17</w:t>
            </w:r>
            <w:r w:rsidR="00A91C43">
              <w:rPr>
                <w:sz w:val="16"/>
                <w:lang w:val="es-ES_tradnl"/>
              </w:rPr>
              <w:t>.</w:t>
            </w:r>
            <w:r w:rsidRPr="00332758">
              <w:rPr>
                <w:sz w:val="16"/>
                <w:lang w:val="es-ES_tradnl"/>
              </w:rPr>
              <w:t>294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100%</w:t>
            </w:r>
          </w:p>
        </w:tc>
      </w:tr>
      <w:tr w:rsidR="009124B0" w:rsidRPr="00A34388" w:rsidTr="00730F86">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rPr>
                <w:rFonts w:cs="Arial"/>
                <w:color w:val="808080"/>
                <w:sz w:val="16"/>
                <w:szCs w:val="16"/>
                <w:lang w:val="es-ES_tradnl"/>
              </w:rPr>
            </w:pPr>
            <w:r w:rsidRPr="00332758">
              <w:rPr>
                <w:sz w:val="16"/>
                <w:lang w:val="es-ES_tradnl"/>
              </w:rPr>
              <w:t xml:space="preserve">Recursos no relativos al personal </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4</w:t>
            </w:r>
            <w:r w:rsidR="00A91C43">
              <w:rPr>
                <w:sz w:val="16"/>
                <w:lang w:val="es-ES_tradnl"/>
              </w:rPr>
              <w:t>.</w:t>
            </w:r>
            <w:r w:rsidRPr="00332758">
              <w:rPr>
                <w:sz w:val="16"/>
                <w:lang w:val="es-ES_tradnl"/>
              </w:rPr>
              <w:t>661</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4</w:t>
            </w:r>
            <w:r w:rsidR="00A91C43">
              <w:rPr>
                <w:sz w:val="16"/>
                <w:lang w:val="es-ES_tradnl"/>
              </w:rPr>
              <w:t>.</w:t>
            </w:r>
            <w:r w:rsidRPr="00332758">
              <w:rPr>
                <w:sz w:val="16"/>
                <w:lang w:val="es-ES_tradnl"/>
              </w:rPr>
              <w:t>461</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color w:val="808080"/>
                <w:sz w:val="16"/>
                <w:szCs w:val="16"/>
                <w:lang w:val="es-ES_tradnl"/>
              </w:rPr>
            </w:pPr>
            <w:r w:rsidRPr="00332758">
              <w:rPr>
                <w:sz w:val="16"/>
                <w:lang w:val="es-ES_tradnl"/>
              </w:rPr>
              <w:t>4</w:t>
            </w:r>
            <w:r w:rsidR="00A91C43">
              <w:rPr>
                <w:sz w:val="16"/>
                <w:lang w:val="es-ES_tradnl"/>
              </w:rPr>
              <w:t>.</w:t>
            </w:r>
            <w:r w:rsidRPr="00332758">
              <w:rPr>
                <w:sz w:val="16"/>
                <w:lang w:val="es-ES_tradnl"/>
              </w:rPr>
              <w:t>093</w:t>
            </w:r>
          </w:p>
        </w:tc>
        <w:tc>
          <w:tcPr>
            <w:tcW w:w="1701"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sz w:val="16"/>
                <w:szCs w:val="16"/>
                <w:lang w:val="es-ES_tradnl"/>
              </w:rPr>
            </w:pPr>
            <w:r w:rsidRPr="00332758">
              <w:rPr>
                <w:sz w:val="16"/>
                <w:lang w:val="es-ES_tradnl"/>
              </w:rPr>
              <w:t>92%</w:t>
            </w:r>
          </w:p>
        </w:tc>
      </w:tr>
      <w:tr w:rsidR="009124B0" w:rsidRPr="00A34388" w:rsidTr="00730F86">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9124B0" w:rsidRPr="00A34388" w:rsidRDefault="009124B0" w:rsidP="00730F86">
            <w:pPr>
              <w:spacing w:before="120" w:after="120"/>
              <w:jc w:val="right"/>
              <w:rPr>
                <w:rFonts w:cs="Arial"/>
                <w:b/>
                <w:bCs/>
                <w:color w:val="808080"/>
                <w:sz w:val="16"/>
                <w:szCs w:val="16"/>
                <w:lang w:val="es-ES_tradnl"/>
              </w:rPr>
            </w:pPr>
            <w:r w:rsidRPr="00332758">
              <w:rPr>
                <w:b/>
                <w:sz w:val="16"/>
                <w:lang w:val="es-ES_tradnl"/>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bCs/>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493</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754</w:t>
            </w:r>
          </w:p>
        </w:tc>
        <w:tc>
          <w:tcPr>
            <w:tcW w:w="1701" w:type="dxa"/>
            <w:tcBorders>
              <w:top w:val="nil"/>
              <w:left w:val="nil"/>
              <w:bottom w:val="single" w:sz="4" w:space="0" w:color="auto"/>
              <w:right w:val="single" w:sz="4" w:space="0" w:color="auto"/>
            </w:tcBorders>
            <w:shd w:val="clear" w:color="auto" w:fill="auto"/>
            <w:vAlign w:val="center"/>
            <w:hideMark/>
          </w:tcPr>
          <w:p w:rsidR="009124B0" w:rsidRPr="00A34388" w:rsidRDefault="009124B0" w:rsidP="00730F86">
            <w:pPr>
              <w:spacing w:before="120" w:after="120"/>
              <w:jc w:val="center"/>
              <w:rPr>
                <w:rFonts w:cs="Arial"/>
                <w:b/>
                <w:color w:val="808080"/>
                <w:sz w:val="16"/>
                <w:szCs w:val="16"/>
                <w:lang w:val="es-ES_tradnl"/>
              </w:rPr>
            </w:pPr>
            <w:r w:rsidRPr="00332758">
              <w:rPr>
                <w:b/>
                <w:sz w:val="16"/>
                <w:lang w:val="es-ES_tradnl"/>
              </w:rPr>
              <w:t>21</w:t>
            </w:r>
            <w:r w:rsidR="00A91C43">
              <w:rPr>
                <w:b/>
                <w:sz w:val="16"/>
                <w:lang w:val="es-ES_tradnl"/>
              </w:rPr>
              <w:t>.</w:t>
            </w:r>
            <w:r w:rsidRPr="00332758">
              <w:rPr>
                <w:b/>
                <w:sz w:val="16"/>
                <w:lang w:val="es-ES_tradnl"/>
              </w:rPr>
              <w:t>387</w:t>
            </w:r>
          </w:p>
        </w:tc>
        <w:tc>
          <w:tcPr>
            <w:tcW w:w="1701" w:type="dxa"/>
            <w:tcBorders>
              <w:top w:val="nil"/>
              <w:left w:val="nil"/>
              <w:bottom w:val="single" w:sz="4" w:space="0" w:color="auto"/>
              <w:right w:val="single" w:sz="4" w:space="0" w:color="auto"/>
            </w:tcBorders>
            <w:shd w:val="clear" w:color="auto" w:fill="auto"/>
            <w:vAlign w:val="center"/>
            <w:hideMark/>
          </w:tcPr>
          <w:p w:rsidR="009124B0" w:rsidRPr="00332758" w:rsidRDefault="009124B0" w:rsidP="00730F86">
            <w:pPr>
              <w:spacing w:before="120" w:after="120"/>
              <w:jc w:val="center"/>
              <w:rPr>
                <w:rFonts w:cs="Arial"/>
                <w:b/>
                <w:sz w:val="16"/>
                <w:szCs w:val="16"/>
                <w:lang w:val="es-ES_tradnl"/>
              </w:rPr>
            </w:pPr>
            <w:r w:rsidRPr="00332758">
              <w:rPr>
                <w:b/>
                <w:sz w:val="16"/>
                <w:lang w:val="es-ES_tradnl"/>
              </w:rPr>
              <w:t>98%</w:t>
            </w:r>
          </w:p>
        </w:tc>
      </w:tr>
    </w:tbl>
    <w:p w:rsidR="009124B0" w:rsidRPr="00A34388" w:rsidRDefault="009124B0" w:rsidP="009124B0">
      <w:pPr>
        <w:rPr>
          <w:rFonts w:cs="Arial"/>
          <w:szCs w:val="22"/>
          <w:lang w:val="es-ES_tradnl"/>
        </w:rPr>
      </w:pPr>
    </w:p>
    <w:p w:rsidR="009124B0" w:rsidRPr="00A34388" w:rsidRDefault="009124B0" w:rsidP="009124B0">
      <w:pPr>
        <w:keepNext/>
        <w:autoSpaceDE w:val="0"/>
        <w:autoSpaceDN w:val="0"/>
        <w:rPr>
          <w:sz w:val="16"/>
          <w:szCs w:val="16"/>
          <w:lang w:val="es-ES_tradnl"/>
        </w:rPr>
      </w:pPr>
      <w:r w:rsidRPr="00332758">
        <w:rPr>
          <w:sz w:val="16"/>
          <w:lang w:val="es-ES_tradnl"/>
        </w:rPr>
        <w:t>NOTAS:</w:t>
      </w:r>
    </w:p>
    <w:p w:rsidR="009124B0" w:rsidRPr="00A34388" w:rsidRDefault="009124B0" w:rsidP="009124B0">
      <w:pPr>
        <w:keepNext/>
        <w:autoSpaceDE w:val="0"/>
        <w:autoSpaceDN w:val="0"/>
        <w:rPr>
          <w:sz w:val="16"/>
          <w:szCs w:val="16"/>
          <w:lang w:val="es-ES_tradnl"/>
        </w:rPr>
      </w:pPr>
    </w:p>
    <w:p w:rsidR="009124B0" w:rsidRPr="00A34388" w:rsidRDefault="009124B0" w:rsidP="009124B0">
      <w:pPr>
        <w:keepNext/>
        <w:autoSpaceDE w:val="0"/>
        <w:autoSpaceDN w:val="0"/>
        <w:rPr>
          <w:sz w:val="16"/>
          <w:szCs w:val="16"/>
          <w:lang w:val="es-ES_tradnl"/>
        </w:rPr>
      </w:pPr>
      <w:r w:rsidRPr="00332758">
        <w:rPr>
          <w:sz w:val="16"/>
          <w:lang w:val="es-ES_tradnl"/>
        </w:rPr>
        <w:t>1)  El presupuesto después de las transferencias refleja el presupuesto de los programas ajustado después de las transferencias efectuadas en 2012/13 en virtud del artículo 5.5 del Reglamento Financiero.</w:t>
      </w:r>
    </w:p>
    <w:p w:rsidR="009124B0" w:rsidRPr="00A34388" w:rsidRDefault="009124B0" w:rsidP="009124B0">
      <w:pPr>
        <w:keepNext/>
        <w:autoSpaceDE w:val="0"/>
        <w:autoSpaceDN w:val="0"/>
        <w:rPr>
          <w:sz w:val="16"/>
          <w:szCs w:val="16"/>
          <w:lang w:val="es-ES_tradnl"/>
        </w:rPr>
      </w:pPr>
    </w:p>
    <w:p w:rsidR="009124B0" w:rsidRPr="00A34388" w:rsidRDefault="009124B0" w:rsidP="004C0FD5">
      <w:pPr>
        <w:keepNext/>
        <w:autoSpaceDE w:val="0"/>
        <w:autoSpaceDN w:val="0"/>
        <w:jc w:val="both"/>
        <w:rPr>
          <w:sz w:val="16"/>
          <w:szCs w:val="16"/>
          <w:lang w:val="es-ES_tradnl"/>
        </w:rPr>
      </w:pPr>
      <w:r w:rsidRPr="00A34388">
        <w:rPr>
          <w:sz w:val="16"/>
          <w:lang w:val="es-ES_tradnl"/>
        </w:rPr>
        <w:t xml:space="preserve">2)  La asignación para el personal del presupuesto de 2012/13 después de las transferencias representa los gastos reales efectuados en el bienio.  </w:t>
      </w:r>
    </w:p>
    <w:p w:rsidR="009124B0" w:rsidRPr="00A34388" w:rsidRDefault="009124B0" w:rsidP="009124B0">
      <w:pPr>
        <w:keepNext/>
        <w:autoSpaceDE w:val="0"/>
        <w:autoSpaceDN w:val="0"/>
        <w:rPr>
          <w:sz w:val="16"/>
          <w:szCs w:val="16"/>
          <w:lang w:val="es-ES_tradnl"/>
        </w:rPr>
      </w:pPr>
    </w:p>
    <w:p w:rsidR="009124B0" w:rsidRPr="00A34388" w:rsidRDefault="009124B0" w:rsidP="009124B0">
      <w:pPr>
        <w:rPr>
          <w:rFonts w:cs="Arial"/>
          <w:szCs w:val="22"/>
          <w:lang w:val="es-ES_tradnl"/>
        </w:rPr>
      </w:pPr>
    </w:p>
    <w:p w:rsidR="009124B0" w:rsidRPr="00332758" w:rsidRDefault="009124B0" w:rsidP="009124B0">
      <w:pPr>
        <w:tabs>
          <w:tab w:val="left" w:pos="709"/>
        </w:tabs>
        <w:autoSpaceDE w:val="0"/>
        <w:autoSpaceDN w:val="0"/>
        <w:adjustRightInd w:val="0"/>
        <w:rPr>
          <w:rFonts w:cs="Arial"/>
          <w:szCs w:val="20"/>
          <w:u w:val="single"/>
          <w:lang w:val="es-ES_tradnl"/>
        </w:rPr>
      </w:pPr>
      <w:r w:rsidRPr="00332758">
        <w:rPr>
          <w:lang w:val="es-ES_tradnl"/>
        </w:rPr>
        <w:t>A.</w:t>
      </w:r>
      <w:r w:rsidRPr="00A34388">
        <w:rPr>
          <w:lang w:val="es-ES_tradnl"/>
        </w:rPr>
        <w:tab/>
      </w:r>
      <w:r w:rsidRPr="00332758">
        <w:rPr>
          <w:u w:val="single"/>
          <w:lang w:val="es-ES_tradnl"/>
        </w:rPr>
        <w:t>Presupuesto 2012/13 después de las transferencias</w:t>
      </w:r>
    </w:p>
    <w:p w:rsidR="009124B0" w:rsidRPr="00A34388" w:rsidRDefault="009124B0" w:rsidP="009124B0">
      <w:pPr>
        <w:rPr>
          <w:szCs w:val="20"/>
          <w:lang w:val="es-ES_tradnl"/>
        </w:rPr>
      </w:pPr>
    </w:p>
    <w:p w:rsidR="009124B0" w:rsidRPr="00A34388" w:rsidRDefault="009124B0" w:rsidP="009124B0">
      <w:pPr>
        <w:tabs>
          <w:tab w:val="left" w:pos="709"/>
        </w:tabs>
        <w:autoSpaceDE w:val="0"/>
        <w:autoSpaceDN w:val="0"/>
        <w:adjustRightInd w:val="0"/>
        <w:jc w:val="both"/>
        <w:rPr>
          <w:rFonts w:cs="Arial"/>
          <w:szCs w:val="20"/>
          <w:lang w:val="es-ES_tradnl"/>
        </w:rPr>
      </w:pPr>
      <w:r w:rsidRPr="00A34388">
        <w:rPr>
          <w:lang w:val="es-ES_tradnl"/>
        </w:rPr>
        <w:t>23.14.</w:t>
      </w:r>
      <w:r w:rsidRPr="00A34388">
        <w:rPr>
          <w:lang w:val="es-ES_tradnl"/>
        </w:rPr>
        <w:tab/>
        <w:t xml:space="preserve">El </w:t>
      </w:r>
      <w:r w:rsidR="004E328E" w:rsidRPr="00A34388">
        <w:rPr>
          <w:lang w:val="es-ES_tradnl"/>
        </w:rPr>
        <w:t xml:space="preserve">incremento </w:t>
      </w:r>
      <w:r w:rsidRPr="00A34388">
        <w:rPr>
          <w:lang w:val="es-ES_tradnl"/>
        </w:rPr>
        <w:t xml:space="preserve">neto global en los recursos asignados a este programa afecta principalmente al resultado IX.1 (Servicios de apoyo eficaces, eficientes, de calidad y orientados al cliente) y se debe principalmente a: </w:t>
      </w:r>
    </w:p>
    <w:p w:rsidR="009124B0" w:rsidRPr="00A34388" w:rsidRDefault="009124B0" w:rsidP="009124B0">
      <w:pPr>
        <w:tabs>
          <w:tab w:val="left" w:pos="709"/>
        </w:tabs>
        <w:autoSpaceDE w:val="0"/>
        <w:autoSpaceDN w:val="0"/>
        <w:adjustRightInd w:val="0"/>
        <w:jc w:val="both"/>
        <w:rPr>
          <w:rFonts w:cs="Arial"/>
          <w:szCs w:val="20"/>
          <w:lang w:val="es-ES_tradnl"/>
        </w:rPr>
      </w:pPr>
    </w:p>
    <w:p w:rsidR="009124B0" w:rsidRPr="00A34388" w:rsidRDefault="000A4C66" w:rsidP="009124B0">
      <w:pPr>
        <w:pStyle w:val="ListParagraph"/>
        <w:numPr>
          <w:ilvl w:val="0"/>
          <w:numId w:val="61"/>
        </w:numPr>
        <w:autoSpaceDE w:val="0"/>
        <w:autoSpaceDN w:val="0"/>
        <w:adjustRightInd w:val="0"/>
        <w:ind w:left="993" w:hanging="284"/>
        <w:jc w:val="both"/>
        <w:rPr>
          <w:rFonts w:cs="Arial"/>
          <w:lang w:val="es-ES_tradnl"/>
        </w:rPr>
      </w:pPr>
      <w:r w:rsidRPr="00A34388">
        <w:rPr>
          <w:lang w:val="es-ES_tradnl"/>
        </w:rPr>
        <w:t xml:space="preserve">los </w:t>
      </w:r>
      <w:r w:rsidR="009124B0" w:rsidRPr="00A34388">
        <w:rPr>
          <w:lang w:val="es-ES_tradnl"/>
        </w:rPr>
        <w:t xml:space="preserve">gastos adicionales de personal relacionados con la aplicación del nuevo Estatuto y Reglamento del Personal, la reforma de los contratos, y </w:t>
      </w:r>
      <w:r w:rsidR="003E3F45">
        <w:rPr>
          <w:lang w:val="es-ES_tradnl"/>
        </w:rPr>
        <w:t>la gestión de los</w:t>
      </w:r>
      <w:r w:rsidR="009124B0" w:rsidRPr="00A34388">
        <w:rPr>
          <w:lang w:val="es-ES_tradnl"/>
        </w:rPr>
        <w:t xml:space="preserve"> RR.HH. </w:t>
      </w:r>
      <w:r w:rsidR="003E3F45">
        <w:rPr>
          <w:lang w:val="es-ES_tradnl"/>
        </w:rPr>
        <w:t xml:space="preserve">en el marco del </w:t>
      </w:r>
      <w:r w:rsidR="009124B0" w:rsidRPr="00A34388">
        <w:rPr>
          <w:lang w:val="es-ES_tradnl"/>
        </w:rPr>
        <w:t xml:space="preserve">PRI;  </w:t>
      </w:r>
    </w:p>
    <w:p w:rsidR="009124B0" w:rsidRPr="00A34388" w:rsidRDefault="000A4C66" w:rsidP="009124B0">
      <w:pPr>
        <w:pStyle w:val="ListParagraph"/>
        <w:numPr>
          <w:ilvl w:val="0"/>
          <w:numId w:val="61"/>
        </w:numPr>
        <w:autoSpaceDE w:val="0"/>
        <w:autoSpaceDN w:val="0"/>
        <w:adjustRightInd w:val="0"/>
        <w:ind w:left="993" w:hanging="284"/>
        <w:jc w:val="both"/>
        <w:rPr>
          <w:rFonts w:cs="Arial"/>
          <w:lang w:val="es-ES_tradnl"/>
        </w:rPr>
      </w:pPr>
      <w:r w:rsidRPr="00A34388">
        <w:rPr>
          <w:lang w:val="es-ES_tradnl"/>
        </w:rPr>
        <w:t xml:space="preserve">una </w:t>
      </w:r>
      <w:r w:rsidR="009124B0" w:rsidRPr="00A34388">
        <w:rPr>
          <w:lang w:val="es-ES_tradnl"/>
        </w:rPr>
        <w:t xml:space="preserve">mayor orientación al cliente y </w:t>
      </w:r>
      <w:r w:rsidRPr="00A34388">
        <w:rPr>
          <w:lang w:val="es-ES_tradnl"/>
        </w:rPr>
        <w:t xml:space="preserve">la </w:t>
      </w:r>
      <w:r w:rsidR="009124B0" w:rsidRPr="00A34388">
        <w:rPr>
          <w:lang w:val="es-ES_tradnl"/>
        </w:rPr>
        <w:t xml:space="preserve">mejora de los servicios de apoyo que se prestan a </w:t>
      </w:r>
      <w:r w:rsidR="00DA158A" w:rsidRPr="00A34388">
        <w:rPr>
          <w:lang w:val="es-ES_tradnl"/>
        </w:rPr>
        <w:t xml:space="preserve">los </w:t>
      </w:r>
      <w:r w:rsidR="00054EC8">
        <w:rPr>
          <w:lang w:val="es-ES_tradnl"/>
        </w:rPr>
        <w:t>directivos</w:t>
      </w:r>
      <w:r w:rsidR="00DA158A" w:rsidRPr="00A34388">
        <w:rPr>
          <w:lang w:val="es-ES_tradnl"/>
        </w:rPr>
        <w:t xml:space="preserve"> </w:t>
      </w:r>
      <w:r w:rsidR="00054EC8">
        <w:rPr>
          <w:lang w:val="es-ES_tradnl"/>
        </w:rPr>
        <w:t>y al personal;</w:t>
      </w:r>
    </w:p>
    <w:p w:rsidR="009124B0" w:rsidRPr="00A34388" w:rsidRDefault="000A4C66" w:rsidP="009124B0">
      <w:pPr>
        <w:pStyle w:val="ListParagraph"/>
        <w:numPr>
          <w:ilvl w:val="0"/>
          <w:numId w:val="61"/>
        </w:numPr>
        <w:autoSpaceDE w:val="0"/>
        <w:autoSpaceDN w:val="0"/>
        <w:adjustRightInd w:val="0"/>
        <w:ind w:left="993" w:hanging="284"/>
        <w:jc w:val="both"/>
        <w:rPr>
          <w:rFonts w:cs="Arial"/>
          <w:lang w:val="es-ES_tradnl"/>
        </w:rPr>
      </w:pPr>
      <w:r w:rsidRPr="00A34388">
        <w:rPr>
          <w:lang w:val="es-ES_tradnl"/>
        </w:rPr>
        <w:t xml:space="preserve">el </w:t>
      </w:r>
      <w:r w:rsidR="009124B0" w:rsidRPr="00A34388">
        <w:rPr>
          <w:lang w:val="es-ES_tradnl"/>
        </w:rPr>
        <w:t xml:space="preserve">aumento de los costos del acuerdo concertado por la OMPI con la Oficina de las Naciones Unidas en Ginebra para que esta preste servicios médicos;  y </w:t>
      </w:r>
    </w:p>
    <w:p w:rsidR="009124B0" w:rsidRPr="00A34388" w:rsidRDefault="009124B0" w:rsidP="009124B0">
      <w:pPr>
        <w:pStyle w:val="ListParagraph"/>
        <w:numPr>
          <w:ilvl w:val="0"/>
          <w:numId w:val="61"/>
        </w:numPr>
        <w:autoSpaceDE w:val="0"/>
        <w:autoSpaceDN w:val="0"/>
        <w:adjustRightInd w:val="0"/>
        <w:ind w:left="993" w:hanging="284"/>
        <w:jc w:val="both"/>
        <w:rPr>
          <w:rFonts w:cs="Arial"/>
          <w:lang w:val="es-ES_tradnl"/>
        </w:rPr>
      </w:pPr>
      <w:r w:rsidRPr="00A34388">
        <w:rPr>
          <w:lang w:val="es-ES_tradnl"/>
        </w:rPr>
        <w:t xml:space="preserve">la mejora del apoyo relacionado con el equilibrio de género y la diversidad geográfica en el seno de la Organización. </w:t>
      </w:r>
    </w:p>
    <w:p w:rsidR="009124B0" w:rsidRPr="00A34388" w:rsidRDefault="009124B0" w:rsidP="009124B0">
      <w:pPr>
        <w:jc w:val="both"/>
        <w:rPr>
          <w:rFonts w:cs="Arial"/>
          <w:szCs w:val="20"/>
          <w:lang w:val="es-ES_tradnl"/>
        </w:rPr>
      </w:pPr>
    </w:p>
    <w:p w:rsidR="009124B0" w:rsidRPr="00A34388" w:rsidRDefault="009124B0" w:rsidP="009124B0">
      <w:pPr>
        <w:jc w:val="both"/>
        <w:rPr>
          <w:rFonts w:cs="Arial"/>
          <w:szCs w:val="20"/>
          <w:lang w:val="es-ES_tradnl"/>
        </w:rPr>
      </w:pPr>
      <w:r w:rsidRPr="00A34388">
        <w:rPr>
          <w:lang w:val="es-ES_tradnl"/>
        </w:rPr>
        <w:lastRenderedPageBreak/>
        <w:t xml:space="preserve">Lo </w:t>
      </w:r>
      <w:r w:rsidR="00DA158A" w:rsidRPr="00A34388">
        <w:rPr>
          <w:lang w:val="es-ES_tradnl"/>
        </w:rPr>
        <w:t xml:space="preserve">anterior </w:t>
      </w:r>
      <w:r w:rsidRPr="00A34388">
        <w:rPr>
          <w:lang w:val="es-ES_tradnl"/>
        </w:rPr>
        <w:t xml:space="preserve">también </w:t>
      </w:r>
      <w:r w:rsidR="00DA158A" w:rsidRPr="00A34388">
        <w:rPr>
          <w:lang w:val="es-ES_tradnl"/>
        </w:rPr>
        <w:t xml:space="preserve">propició </w:t>
      </w:r>
      <w:r w:rsidRPr="00A34388">
        <w:rPr>
          <w:lang w:val="es-ES_tradnl"/>
        </w:rPr>
        <w:t>un trasvase de recursos del resultado IX.3 (Personal profesional bien dirigido, diversificado, motivado y con las competencias adecuadas) al resultado IX.1 (Servicios de apoyo eficaces, eficientes, de calidad y orientados al cliente).</w:t>
      </w:r>
    </w:p>
    <w:p w:rsidR="009124B0" w:rsidRPr="00A34388" w:rsidRDefault="009124B0" w:rsidP="009124B0">
      <w:pPr>
        <w:jc w:val="both"/>
        <w:rPr>
          <w:rFonts w:cs="Arial"/>
          <w:szCs w:val="20"/>
          <w:lang w:val="es-ES_tradnl"/>
        </w:rPr>
      </w:pPr>
    </w:p>
    <w:p w:rsidR="009124B0" w:rsidRPr="00A34388" w:rsidRDefault="009124B0" w:rsidP="009124B0">
      <w:pPr>
        <w:tabs>
          <w:tab w:val="left" w:pos="709"/>
        </w:tabs>
        <w:jc w:val="both"/>
        <w:rPr>
          <w:rFonts w:cs="Arial"/>
          <w:szCs w:val="20"/>
          <w:u w:val="single"/>
          <w:lang w:val="es-ES_tradnl"/>
        </w:rPr>
      </w:pPr>
      <w:r w:rsidRPr="00A34388">
        <w:rPr>
          <w:lang w:val="es-ES_tradnl"/>
        </w:rPr>
        <w:t>B.</w:t>
      </w:r>
      <w:r w:rsidR="007C4A03" w:rsidRPr="00A34388">
        <w:rPr>
          <w:lang w:val="es-ES_tradnl"/>
        </w:rPr>
        <w:t xml:space="preserve"> </w:t>
      </w:r>
      <w:r w:rsidR="007C4A03" w:rsidRPr="00A34388">
        <w:rPr>
          <w:lang w:val="es-ES_tradnl"/>
        </w:rPr>
        <w:tab/>
      </w:r>
      <w:r w:rsidRPr="00A34388">
        <w:rPr>
          <w:u w:val="single"/>
          <w:lang w:val="es-ES_tradnl"/>
        </w:rPr>
        <w:t>Utilización del presupuesto</w:t>
      </w:r>
      <w:r w:rsidR="004847AD" w:rsidRPr="00A34388">
        <w:rPr>
          <w:u w:val="single"/>
          <w:lang w:val="es-ES_tradnl"/>
        </w:rPr>
        <w:t xml:space="preserve"> en</w:t>
      </w:r>
      <w:r w:rsidRPr="00A34388">
        <w:rPr>
          <w:u w:val="single"/>
          <w:lang w:val="es-ES_tradnl"/>
        </w:rPr>
        <w:t> 2012/13</w:t>
      </w:r>
    </w:p>
    <w:p w:rsidR="009124B0" w:rsidRPr="00A34388" w:rsidRDefault="009124B0" w:rsidP="009124B0">
      <w:pPr>
        <w:jc w:val="both"/>
        <w:rPr>
          <w:rFonts w:cs="Arial"/>
          <w:szCs w:val="20"/>
          <w:u w:val="single"/>
          <w:lang w:val="es-ES_tradnl"/>
        </w:rPr>
      </w:pPr>
    </w:p>
    <w:p w:rsidR="009124B0" w:rsidRPr="00A34388" w:rsidRDefault="009124B0" w:rsidP="009124B0">
      <w:pPr>
        <w:tabs>
          <w:tab w:val="left" w:pos="709"/>
        </w:tabs>
        <w:jc w:val="both"/>
        <w:rPr>
          <w:rFonts w:cs="Arial"/>
          <w:szCs w:val="20"/>
          <w:lang w:val="es-ES_tradnl"/>
        </w:rPr>
      </w:pPr>
      <w:r w:rsidRPr="00A34388">
        <w:rPr>
          <w:lang w:val="es-ES_tradnl"/>
        </w:rPr>
        <w:t>23.15.</w:t>
      </w:r>
      <w:r w:rsidRPr="00A34388">
        <w:rPr>
          <w:lang w:val="es-ES_tradnl"/>
        </w:rPr>
        <w:tab/>
        <w:t xml:space="preserve">El </w:t>
      </w:r>
      <w:r w:rsidR="004847AD" w:rsidRPr="00A34388">
        <w:rPr>
          <w:lang w:val="es-ES_tradnl"/>
        </w:rPr>
        <w:t xml:space="preserve">índice </w:t>
      </w:r>
      <w:r w:rsidRPr="00A34388">
        <w:rPr>
          <w:lang w:val="es-ES_tradnl"/>
        </w:rPr>
        <w:t xml:space="preserve">de utilización del presupuesto </w:t>
      </w:r>
      <w:r w:rsidR="004847AD" w:rsidRPr="00A34388">
        <w:rPr>
          <w:lang w:val="es-ES_tradnl"/>
        </w:rPr>
        <w:t xml:space="preserve">del 92% </w:t>
      </w:r>
      <w:r w:rsidRPr="00A34388">
        <w:rPr>
          <w:lang w:val="es-ES_tradnl"/>
        </w:rPr>
        <w:t xml:space="preserve">refleja unos gastos menores de lo </w:t>
      </w:r>
      <w:r w:rsidR="000A4C66" w:rsidRPr="00A34388">
        <w:rPr>
          <w:lang w:val="es-ES_tradnl"/>
        </w:rPr>
        <w:t xml:space="preserve"> esperado </w:t>
      </w:r>
      <w:r w:rsidRPr="00A34388">
        <w:rPr>
          <w:lang w:val="es-ES_tradnl"/>
        </w:rPr>
        <w:t>en:  salvaguardia por maternidad y enfermedad;  la Junta de Apelación de la OMPI y el Tribunal Administrativo de la Organización Internacional del Trabajo;  y las actividades de clasificación.</w:t>
      </w:r>
    </w:p>
    <w:p w:rsidR="009124B0" w:rsidRPr="00A34388" w:rsidRDefault="009124B0" w:rsidP="009124B0">
      <w:pPr>
        <w:rPr>
          <w:rFonts w:eastAsia="SimSun"/>
          <w:color w:val="000000"/>
          <w:szCs w:val="20"/>
          <w:lang w:val="es-ES_tradnl"/>
        </w:rPr>
      </w:pPr>
    </w:p>
    <w:p w:rsidR="00197073" w:rsidRPr="00A34388" w:rsidRDefault="00197073">
      <w:pPr>
        <w:rPr>
          <w:rFonts w:eastAsia="SimSun"/>
          <w:color w:val="000000"/>
          <w:szCs w:val="20"/>
          <w:lang w:val="es-ES_tradnl" w:eastAsia="zh-CN"/>
        </w:rPr>
      </w:pPr>
      <w:r w:rsidRPr="00A34388">
        <w:rPr>
          <w:rFonts w:eastAsia="SimSun"/>
          <w:color w:val="000000"/>
          <w:szCs w:val="20"/>
          <w:lang w:val="es-ES_tradnl" w:eastAsia="zh-CN"/>
        </w:rPr>
        <w:br w:type="page"/>
      </w:r>
    </w:p>
    <w:p w:rsidR="0053316D" w:rsidRPr="00A34388" w:rsidRDefault="0053316D" w:rsidP="0053316D">
      <w:pPr>
        <w:rPr>
          <w:rFonts w:eastAsia="SimSun"/>
          <w:color w:val="000000"/>
          <w:szCs w:val="20"/>
          <w:lang w:val="es-ES_tradnl" w:eastAsia="zh-CN"/>
        </w:rPr>
      </w:pPr>
    </w:p>
    <w:p w:rsidR="00F90BD6" w:rsidRPr="003934C8" w:rsidRDefault="00F90BD6" w:rsidP="00F90BD6">
      <w:pPr>
        <w:pStyle w:val="Heading3"/>
        <w:rPr>
          <w:rFonts w:hint="eastAsia"/>
          <w:lang w:val="es-ES"/>
        </w:rPr>
      </w:pPr>
      <w:bookmarkStart w:id="93" w:name="_Toc392852665"/>
      <w:bookmarkStart w:id="94" w:name="_Toc395279685"/>
      <w:r w:rsidRPr="003934C8">
        <w:rPr>
          <w:lang w:val="es-ES"/>
        </w:rPr>
        <w:t>Programa 24</w:t>
      </w:r>
      <w:r w:rsidRPr="003934C8">
        <w:rPr>
          <w:lang w:val="es-ES"/>
        </w:rPr>
        <w:tab/>
        <w:t>Servicios de apoyo generales</w:t>
      </w:r>
      <w:bookmarkEnd w:id="93"/>
      <w:bookmarkEnd w:id="94"/>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95" w:name="_Toc394914534"/>
      <w:r w:rsidRPr="00D42A38">
        <w:rPr>
          <w:b/>
          <w:sz w:val="22"/>
          <w:szCs w:val="22"/>
          <w:lang w:val="es-ES_tradnl"/>
        </w:rPr>
        <w:t>Director del Programa</w:t>
      </w:r>
      <w:r w:rsidRPr="00D42A38">
        <w:rPr>
          <w:b/>
          <w:sz w:val="22"/>
          <w:szCs w:val="22"/>
          <w:lang w:val="es-ES_tradnl"/>
        </w:rPr>
        <w:tab/>
        <w:t>Sr. A. Sundaram</w:t>
      </w:r>
      <w:bookmarkEnd w:id="95"/>
    </w:p>
    <w:p w:rsidR="0053316D" w:rsidRPr="00A34388" w:rsidRDefault="0053316D" w:rsidP="0053316D">
      <w:pPr>
        <w:ind w:left="2268" w:hanging="2268"/>
        <w:rPr>
          <w:rFonts w:cs="Arial"/>
          <w:b/>
          <w:szCs w:val="22"/>
          <w:lang w:val="es-ES_tradnl"/>
        </w:rPr>
      </w:pPr>
    </w:p>
    <w:p w:rsidR="0053316D" w:rsidRPr="00A34388" w:rsidRDefault="0053316D" w:rsidP="0053316D">
      <w:pPr>
        <w:ind w:left="2268" w:hanging="2268"/>
        <w:rPr>
          <w:rFonts w:cs="Arial"/>
          <w:b/>
          <w:bCs/>
          <w:szCs w:val="22"/>
          <w:lang w:val="es-ES_tradnl"/>
        </w:rPr>
      </w:pPr>
    </w:p>
    <w:p w:rsidR="0053316D" w:rsidRPr="00A34388" w:rsidRDefault="0053316D" w:rsidP="0053316D">
      <w:pPr>
        <w:rPr>
          <w:rFonts w:cs="Arial"/>
          <w:bCs/>
          <w:szCs w:val="22"/>
          <w:lang w:val="es-ES_tradnl"/>
        </w:rPr>
      </w:pPr>
      <w:r w:rsidRPr="00A34388">
        <w:rPr>
          <w:rFonts w:cs="Arial"/>
          <w:bCs/>
          <w:szCs w:val="22"/>
          <w:lang w:val="es-ES_tradnl"/>
        </w:rPr>
        <w:t>AVANCES LOGRADOS EN EL BIENIO 2012/13</w:t>
      </w:r>
    </w:p>
    <w:p w:rsidR="0053316D" w:rsidRPr="00A34388" w:rsidRDefault="0053316D" w:rsidP="0053316D">
      <w:pPr>
        <w:autoSpaceDE w:val="0"/>
        <w:autoSpaceDN w:val="0"/>
        <w:adjustRightInd w:val="0"/>
        <w:rPr>
          <w:rFonts w:cs="Arial"/>
          <w:szCs w:val="22"/>
          <w:lang w:val="es-ES_tradnl"/>
        </w:rPr>
      </w:pPr>
    </w:p>
    <w:p w:rsidR="0053316D" w:rsidRPr="00332758" w:rsidRDefault="0053316D" w:rsidP="0053316D">
      <w:pPr>
        <w:pStyle w:val="Style1"/>
        <w:numPr>
          <w:ilvl w:val="0"/>
          <w:numId w:val="0"/>
        </w:numPr>
        <w:tabs>
          <w:tab w:val="left" w:pos="709"/>
        </w:tabs>
        <w:jc w:val="both"/>
        <w:rPr>
          <w:rFonts w:cs="Arial"/>
          <w:szCs w:val="20"/>
          <w:lang w:val="es-ES_tradnl"/>
        </w:rPr>
      </w:pPr>
      <w:r w:rsidRPr="00A34388">
        <w:rPr>
          <w:rFonts w:cs="Arial"/>
          <w:szCs w:val="20"/>
          <w:lang w:val="es-ES_tradnl"/>
        </w:rPr>
        <w:t>24.1.</w:t>
      </w:r>
      <w:r w:rsidRPr="00A34388">
        <w:rPr>
          <w:rFonts w:cs="Arial"/>
          <w:szCs w:val="20"/>
          <w:lang w:val="es-ES_tradnl"/>
        </w:rPr>
        <w:tab/>
        <w:t xml:space="preserve">En 2012/13, se lograron avances satisfactorios en el capítulo de compras y viajes </w:t>
      </w:r>
      <w:r w:rsidR="000247D9" w:rsidRPr="00A34388">
        <w:rPr>
          <w:rFonts w:cs="Arial"/>
          <w:szCs w:val="20"/>
          <w:lang w:val="es-ES_tradnl"/>
        </w:rPr>
        <w:t xml:space="preserve">de cara a </w:t>
      </w:r>
      <w:r w:rsidRPr="00A34388">
        <w:rPr>
          <w:rFonts w:cs="Arial"/>
          <w:szCs w:val="20"/>
          <w:lang w:val="es-ES_tradnl"/>
        </w:rPr>
        <w:t xml:space="preserve">la consecución de los resultados previstos, como muestran los datos sobre </w:t>
      </w:r>
      <w:r w:rsidR="000247D9" w:rsidRPr="00A34388">
        <w:rPr>
          <w:rFonts w:cs="Arial"/>
          <w:szCs w:val="20"/>
          <w:lang w:val="es-ES_tradnl"/>
        </w:rPr>
        <w:t xml:space="preserve">el </w:t>
      </w:r>
      <w:r w:rsidRPr="00A34388">
        <w:rPr>
          <w:rFonts w:cs="Arial"/>
          <w:szCs w:val="20"/>
          <w:lang w:val="es-ES_tradnl"/>
        </w:rPr>
        <w:t xml:space="preserve">rendimiento que se </w:t>
      </w:r>
      <w:r w:rsidR="000247D9" w:rsidRPr="00A34388">
        <w:rPr>
          <w:rFonts w:cs="Arial"/>
          <w:szCs w:val="20"/>
          <w:lang w:val="es-ES_tradnl"/>
        </w:rPr>
        <w:t xml:space="preserve">exponen </w:t>
      </w:r>
      <w:r w:rsidRPr="00A34388">
        <w:rPr>
          <w:rFonts w:cs="Arial"/>
          <w:szCs w:val="20"/>
          <w:lang w:val="es-ES_tradnl"/>
        </w:rPr>
        <w:t xml:space="preserve">más adelante.  En lo que se refiere a los sistemas funcionales de soporte a las actividades de compras y viajes, cabe destacar, entre los principales logros del bienio, la actualización de los módulos de compras de la PRI y la integración de las solicitudes de viaje ajenas al personal en el sistema e-work.  </w:t>
      </w:r>
      <w:r w:rsidRPr="00332758">
        <w:rPr>
          <w:rFonts w:cs="Arial"/>
          <w:szCs w:val="20"/>
          <w:lang w:val="es-ES_tradnl"/>
        </w:rPr>
        <w:t>El marco normativo fue asimismo actualizado y mejorado con un nuevo procedimiento de compras para el proyecto de finalización de la nueva sala de conferencias, un código de conducta para la gestión de las relaciones con los proveedores y una nueva política de viajes que incluye la modificación del umbral de acceso a la clase ejecutiva.</w:t>
      </w:r>
    </w:p>
    <w:p w:rsidR="000247D9" w:rsidRPr="00332758" w:rsidRDefault="000247D9" w:rsidP="0053316D">
      <w:pPr>
        <w:pStyle w:val="Style1"/>
        <w:numPr>
          <w:ilvl w:val="0"/>
          <w:numId w:val="0"/>
        </w:numPr>
        <w:tabs>
          <w:tab w:val="left" w:pos="709"/>
        </w:tabs>
        <w:jc w:val="both"/>
        <w:rPr>
          <w:rFonts w:cs="Arial"/>
          <w:szCs w:val="20"/>
          <w:lang w:val="es-ES_tradnl"/>
        </w:rPr>
      </w:pPr>
    </w:p>
    <w:p w:rsidR="0053316D" w:rsidRPr="00A34388" w:rsidRDefault="0053316D" w:rsidP="0053316D">
      <w:pPr>
        <w:pStyle w:val="Style1"/>
        <w:numPr>
          <w:ilvl w:val="0"/>
          <w:numId w:val="0"/>
        </w:numPr>
        <w:tabs>
          <w:tab w:val="left" w:pos="709"/>
        </w:tabs>
        <w:jc w:val="both"/>
        <w:rPr>
          <w:rFonts w:cs="Arial"/>
          <w:szCs w:val="20"/>
          <w:lang w:val="es-ES_tradnl"/>
        </w:rPr>
      </w:pPr>
      <w:r w:rsidRPr="00A34388">
        <w:rPr>
          <w:rFonts w:cs="Arial"/>
          <w:szCs w:val="20"/>
          <w:lang w:val="es-ES_tradnl"/>
        </w:rPr>
        <w:t>24.2.</w:t>
      </w:r>
      <w:r w:rsidRPr="00A34388">
        <w:rPr>
          <w:rFonts w:cs="Arial"/>
          <w:szCs w:val="20"/>
          <w:lang w:val="es-ES_tradnl"/>
        </w:rPr>
        <w:tab/>
        <w:t xml:space="preserve">Siguieron lográndose economías gracias a las licitaciones realizadas en cooperación con otras organizaciones internacionales, obteniéndose un ahorro total de 1.911.500 francos suizos durante el bienio.  A raíz de la entrada en vigor del nuevo umbral de acceso a la clase ejecutiva (nueve horas), la reducción de los viáticos aplicables a los vuelos de un día para otro y el aumento de la antelación de la reserva de pasajes, se consiguió durante el bienio un ahorro total de 923.000 francos suizos.  </w:t>
      </w:r>
      <w:r w:rsidRPr="00332758">
        <w:rPr>
          <w:rFonts w:cs="Arial"/>
          <w:szCs w:val="20"/>
          <w:lang w:val="es-ES_tradnl"/>
        </w:rPr>
        <w:t>También se lograron ganancias adicionales de eficiencia interna, por ejemplo gracias a la reducción del tiempo de tramitación de visados y de solicitudes de viaje o asistencia a actos para terceros.</w:t>
      </w:r>
      <w:r w:rsidRPr="00A34388">
        <w:rPr>
          <w:rFonts w:cs="Arial"/>
          <w:szCs w:val="20"/>
          <w:lang w:val="es-ES_tradnl"/>
        </w:rPr>
        <w:t xml:space="preserve">  Asimismo, durante el bienio se consiguió reducir a la mitad el tiempo de tramitación de los pedidos de compra, mientras que el número de pedidos cancelados se redujo en un 30%. </w:t>
      </w:r>
    </w:p>
    <w:p w:rsidR="0053316D" w:rsidRPr="00A34388" w:rsidRDefault="0053316D" w:rsidP="0053316D">
      <w:pPr>
        <w:tabs>
          <w:tab w:val="left" w:pos="709"/>
        </w:tabs>
        <w:jc w:val="both"/>
        <w:rPr>
          <w:rFonts w:cs="Arial"/>
          <w:szCs w:val="20"/>
          <w:lang w:val="es-ES_tradnl"/>
        </w:rPr>
      </w:pPr>
    </w:p>
    <w:p w:rsidR="0053316D" w:rsidRPr="00332758" w:rsidRDefault="0053316D" w:rsidP="0053316D">
      <w:pPr>
        <w:tabs>
          <w:tab w:val="left" w:pos="709"/>
        </w:tabs>
        <w:jc w:val="both"/>
        <w:rPr>
          <w:rFonts w:cs="Arial"/>
          <w:szCs w:val="20"/>
          <w:lang w:val="es-ES_tradnl"/>
        </w:rPr>
      </w:pPr>
      <w:r w:rsidRPr="00332758">
        <w:rPr>
          <w:rFonts w:cs="Arial"/>
          <w:szCs w:val="20"/>
          <w:lang w:val="es-ES_tradnl"/>
        </w:rPr>
        <w:t>24.3.</w:t>
      </w:r>
      <w:r w:rsidRPr="00332758">
        <w:rPr>
          <w:rFonts w:cs="Arial"/>
          <w:szCs w:val="20"/>
          <w:lang w:val="es-ES_tradnl"/>
        </w:rPr>
        <w:tab/>
        <w:t xml:space="preserve">En cuanto a la gestión de las instalaciones, a finales de 2013 la Organización contaba con un total de 1.627 espacios de trabajo en todos sus edificios (incluyendo tanto los pertenecientes a la OMPI como los arrendados), lo que representa un incremento de 48 espacios de trabajo en comparación con </w:t>
      </w:r>
      <w:r w:rsidR="00066C4E" w:rsidRPr="00332758">
        <w:rPr>
          <w:rFonts w:cs="Arial"/>
          <w:szCs w:val="20"/>
          <w:lang w:val="es-ES_tradnl"/>
        </w:rPr>
        <w:t>el final del bienio anterior</w:t>
      </w:r>
      <w:r w:rsidRPr="00332758">
        <w:rPr>
          <w:rFonts w:cs="Arial"/>
          <w:szCs w:val="20"/>
          <w:lang w:val="es-ES_tradnl"/>
        </w:rPr>
        <w:t xml:space="preserve"> (1.579 lugares de trabajo).  De ellos, el 85</w:t>
      </w:r>
      <w:r w:rsidR="000247D9" w:rsidRPr="00332758">
        <w:rPr>
          <w:rFonts w:cs="Arial"/>
          <w:szCs w:val="20"/>
          <w:lang w:val="es-ES_tradnl"/>
        </w:rPr>
        <w:t>,</w:t>
      </w:r>
      <w:r w:rsidRPr="00332758">
        <w:rPr>
          <w:rFonts w:cs="Arial"/>
          <w:szCs w:val="20"/>
          <w:lang w:val="es-ES_tradnl"/>
        </w:rPr>
        <w:t>6% estaban ocupados a fines de 2013, en comparación con el 87% a fines de 2011.</w:t>
      </w:r>
      <w:r w:rsidRPr="00A34388">
        <w:rPr>
          <w:rFonts w:cs="Arial"/>
          <w:szCs w:val="20"/>
          <w:lang w:val="es-ES_tradnl"/>
        </w:rPr>
        <w:t xml:space="preserve">  </w:t>
      </w:r>
      <w:r w:rsidRPr="00332758">
        <w:rPr>
          <w:rFonts w:cs="Arial"/>
          <w:szCs w:val="20"/>
          <w:lang w:val="es-ES_tradnl"/>
        </w:rPr>
        <w:t xml:space="preserve">Este incremento del número de espacios de trabajo no ocupados se debe principalmente a una aplicación más estricta de la política de asignación del espacio de oficinas (publicada en diciembre de 2010) en todos los edificios.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332758">
        <w:rPr>
          <w:rFonts w:cs="Arial"/>
          <w:szCs w:val="20"/>
          <w:lang w:val="es-ES_tradnl"/>
        </w:rPr>
        <w:t>24.4.</w:t>
      </w:r>
      <w:r w:rsidRPr="00332758">
        <w:rPr>
          <w:rFonts w:cs="Arial"/>
          <w:szCs w:val="20"/>
          <w:lang w:val="es-ES_tradnl"/>
        </w:rPr>
        <w:tab/>
        <w:t>Como resultado de las antecedentes medidas, la Secretaría pudo continuar gestionando la demanda de espacios de trabajo y así eludir la necesidad de tomar en arriendo espacio suplementario fuera del recinto.  Además, se eliminó cierto volumen de documentos almacenados, material y equipo, lo que ha contribuido a un uso más eficiente y económico de las zonas de almacenamiento interiores y exteriores al recinto.</w:t>
      </w:r>
      <w:r w:rsidRPr="00A34388">
        <w:rPr>
          <w:rFonts w:cs="Arial"/>
          <w:szCs w:val="20"/>
          <w:lang w:val="es-ES_tradnl"/>
        </w:rPr>
        <w:t xml:space="preserve">  E</w:t>
      </w:r>
      <w:r w:rsidR="00C44150" w:rsidRPr="00A34388">
        <w:rPr>
          <w:rFonts w:cs="Arial"/>
          <w:szCs w:val="20"/>
          <w:lang w:val="es-ES_tradnl"/>
        </w:rPr>
        <w:t xml:space="preserve">llo permitió resolver el contrato de </w:t>
      </w:r>
      <w:r w:rsidRPr="00A34388">
        <w:rPr>
          <w:rFonts w:cs="Arial"/>
          <w:szCs w:val="20"/>
          <w:lang w:val="es-ES_tradnl"/>
        </w:rPr>
        <w:t xml:space="preserve">arrendamiento de dos áreas de almacenamiento ubicadas fuera del recinto durante 2012, poniéndose </w:t>
      </w:r>
      <w:r w:rsidR="00C44150" w:rsidRPr="00A34388">
        <w:rPr>
          <w:rFonts w:cs="Arial"/>
          <w:szCs w:val="20"/>
          <w:lang w:val="es-ES_tradnl"/>
        </w:rPr>
        <w:t xml:space="preserve">asimismo </w:t>
      </w:r>
      <w:r w:rsidRPr="00A34388">
        <w:rPr>
          <w:rFonts w:cs="Arial"/>
          <w:szCs w:val="20"/>
          <w:lang w:val="es-ES_tradnl"/>
        </w:rPr>
        <w:t xml:space="preserve">fin al arrendamiento de un total de 10 plazas de estacionamiento en 2013.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332758">
        <w:rPr>
          <w:rFonts w:cs="Arial"/>
          <w:szCs w:val="20"/>
          <w:lang w:val="es-ES_tradnl"/>
        </w:rPr>
        <w:t>24.5.</w:t>
      </w:r>
      <w:r w:rsidRPr="00332758">
        <w:rPr>
          <w:rFonts w:cs="Arial"/>
          <w:szCs w:val="20"/>
          <w:lang w:val="es-ES_tradnl"/>
        </w:rPr>
        <w:tab/>
        <w:t xml:space="preserve">Al objeto de mejorar la seguridad se implantó en todos los edificios (y en el nuevo edificio desde el primer momento) una política en virtud de la cual ciertos equipos informáticos voluminosos, archivadores y suministros de papel han de ubicarse obligatoriamente en emplazamientos cerrados que puedan ser aislados en caso de incendio u otros incidentes.  </w:t>
      </w:r>
      <w:r w:rsidRPr="00A34388">
        <w:rPr>
          <w:rFonts w:cs="Arial"/>
          <w:szCs w:val="20"/>
          <w:lang w:val="es-ES_tradnl"/>
        </w:rPr>
        <w:t xml:space="preserve">Algunos espacios de trabajo siguieron reservados en una misma planta del edificio del PCT para crear el necesario “espacio provisional” y posibilitar así las obras de renovación general de las fachadas y del sistema de refrigeración/calefacción que estaban previstas para el bienio 2014/15.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24.6.</w:t>
      </w:r>
      <w:r w:rsidRPr="00A34388">
        <w:rPr>
          <w:rFonts w:cs="Arial"/>
          <w:szCs w:val="20"/>
          <w:lang w:val="es-ES_tradnl"/>
        </w:rPr>
        <w:tab/>
        <w:t xml:space="preserve">En cuanto a las instalaciones técnicas, se realizó el mantenimiento habitual de las mismas y todas las instalaciones siguieron funcionando de manera adecuada.  En lo que se refiere al edificio del PCT, las conclusiones del estudio del segundo experto técnico se recibieron en 2013, y la sustitución del sistema de refrigeración/calefacción y la renovación de las fachadas se abordarán en el marco del plan maestro de mejoras de infraestructura aprobado por los Estados miembros en 2013.  Además, a mediados de 2013 se concluyó una alternativa más ecológica para la refrigeración de los edificios GBI y GBII, </w:t>
      </w:r>
      <w:r w:rsidRPr="00A34388">
        <w:rPr>
          <w:rFonts w:eastAsiaTheme="minorHAnsi" w:cs="Arial"/>
          <w:szCs w:val="20"/>
          <w:lang w:val="es-ES_tradnl"/>
        </w:rPr>
        <w:t>que utiliza el agu</w:t>
      </w:r>
      <w:r w:rsidR="003E3F45">
        <w:rPr>
          <w:rFonts w:eastAsiaTheme="minorHAnsi" w:cs="Arial"/>
          <w:szCs w:val="20"/>
          <w:lang w:val="es-ES_tradnl"/>
        </w:rPr>
        <w:t>a del lago Lemán (GLN</w:t>
      </w:r>
      <w:r w:rsidRPr="00A34388">
        <w:rPr>
          <w:rFonts w:eastAsiaTheme="minorHAnsi" w:cs="Arial"/>
          <w:szCs w:val="20"/>
          <w:lang w:val="es-ES_tradnl"/>
        </w:rPr>
        <w:t>)</w:t>
      </w:r>
      <w:r w:rsidRPr="00A34388">
        <w:rPr>
          <w:rFonts w:cs="Arial"/>
          <w:szCs w:val="20"/>
          <w:lang w:val="es-ES_tradnl"/>
        </w:rPr>
        <w:t>.</w:t>
      </w:r>
    </w:p>
    <w:p w:rsidR="0053316D" w:rsidRPr="00A34388" w:rsidRDefault="0053316D" w:rsidP="0053316D">
      <w:pPr>
        <w:tabs>
          <w:tab w:val="left" w:pos="709"/>
        </w:tabs>
        <w:jc w:val="both"/>
        <w:rPr>
          <w:rFonts w:cs="Arial"/>
          <w:szCs w:val="20"/>
          <w:lang w:val="es-ES_tradnl"/>
        </w:rPr>
      </w:pPr>
    </w:p>
    <w:p w:rsidR="00C44150" w:rsidRPr="00A34388" w:rsidRDefault="0053316D" w:rsidP="00C44150">
      <w:pPr>
        <w:jc w:val="both"/>
        <w:rPr>
          <w:rFonts w:eastAsiaTheme="minorHAnsi" w:cs="Arial"/>
          <w:szCs w:val="20"/>
          <w:lang w:val="es-ES_tradnl"/>
        </w:rPr>
      </w:pPr>
      <w:r w:rsidRPr="00A34388">
        <w:rPr>
          <w:rFonts w:cs="Arial"/>
          <w:szCs w:val="20"/>
          <w:lang w:val="es-ES_tradnl"/>
        </w:rPr>
        <w:t>24.7.</w:t>
      </w:r>
      <w:r w:rsidRPr="00A34388">
        <w:rPr>
          <w:rFonts w:cs="Arial"/>
          <w:szCs w:val="20"/>
          <w:lang w:val="es-ES_tradnl"/>
        </w:rPr>
        <w:tab/>
      </w:r>
      <w:r w:rsidR="00C44150" w:rsidRPr="00A34388">
        <w:rPr>
          <w:rFonts w:cs="Arial"/>
          <w:szCs w:val="20"/>
          <w:lang w:val="es-ES_tradnl"/>
        </w:rPr>
        <w:t xml:space="preserve">Las medidas encaminadas a reducir el consumo de electricidad dieron como resultado una reducción anual del mismo de aproximadamente un 2% (140.000 kWh) entre 2012 y 2013, lo que </w:t>
      </w:r>
      <w:r w:rsidR="00C44150" w:rsidRPr="00A34388">
        <w:rPr>
          <w:rFonts w:cs="Arial"/>
          <w:szCs w:val="20"/>
          <w:lang w:val="es-ES_tradnl"/>
        </w:rPr>
        <w:lastRenderedPageBreak/>
        <w:t>representa un ahorro de alrededor de 15.000 francos suizos.  Entre estas medidas se incluían:  i) la modernización de la instalación eléctrica en el edificio más antiguo del recinto de la OMPI (GBI), que quedó completada en 2013;  ii) la instalación de un sistema de refrigeración ecológico y eficiente en cuanto a los costos en el edificio GBI en 2012 y en el edificio GBII en 2013;  iii) la reducción en un 50% de las fuentes de iluminación en las superficies de oficinas del edificio AB en 2013;  y iv) la instalación de conmutadores automáticos en los pasillos de los edificios AB y GBI y de interruptores crepusculares en el edificio GBI en 2013.</w:t>
      </w:r>
    </w:p>
    <w:p w:rsidR="00C44150" w:rsidRPr="00A34388" w:rsidRDefault="00C44150" w:rsidP="00C44150">
      <w:pPr>
        <w:jc w:val="both"/>
        <w:rPr>
          <w:rFonts w:eastAsiaTheme="minorHAnsi" w:cs="Arial"/>
          <w:szCs w:val="20"/>
          <w:lang w:val="es-ES_tradnl"/>
        </w:rPr>
      </w:pPr>
    </w:p>
    <w:p w:rsidR="00114737" w:rsidRPr="00A34388" w:rsidRDefault="0053316D" w:rsidP="0053316D">
      <w:pPr>
        <w:keepNext/>
        <w:keepLines/>
        <w:tabs>
          <w:tab w:val="left" w:pos="709"/>
        </w:tabs>
        <w:jc w:val="both"/>
        <w:rPr>
          <w:rFonts w:cs="Arial"/>
          <w:szCs w:val="20"/>
          <w:lang w:val="es-ES_tradnl"/>
        </w:rPr>
      </w:pPr>
      <w:r w:rsidRPr="00A34388">
        <w:rPr>
          <w:rFonts w:cs="Arial"/>
          <w:szCs w:val="20"/>
          <w:lang w:val="es-ES_tradnl"/>
        </w:rPr>
        <w:t>24.8.</w:t>
      </w:r>
      <w:r w:rsidRPr="00A34388">
        <w:rPr>
          <w:rFonts w:cs="Arial"/>
          <w:szCs w:val="20"/>
          <w:lang w:val="es-ES_tradnl"/>
        </w:rPr>
        <w:tab/>
      </w:r>
      <w:r w:rsidR="00114737" w:rsidRPr="00A34388">
        <w:rPr>
          <w:rFonts w:cs="Arial"/>
          <w:szCs w:val="20"/>
          <w:lang w:val="es-ES_tradnl"/>
        </w:rPr>
        <w:t xml:space="preserve">El consumo de agua se recortó en aproximadamente un 7% desde agosto de 2013 gracias a la conexión de una de las unidades de refrigeración del centro de datos del edificio AB </w:t>
      </w:r>
      <w:r w:rsidR="00114737" w:rsidRPr="00A34388">
        <w:rPr>
          <w:rFonts w:eastAsiaTheme="minorHAnsi" w:cs="Arial"/>
          <w:szCs w:val="20"/>
          <w:lang w:val="es-ES_tradnl"/>
        </w:rPr>
        <w:t>al sistema de refrigeración GLN</w:t>
      </w:r>
      <w:r w:rsidR="00114737" w:rsidRPr="00A34388">
        <w:rPr>
          <w:rFonts w:cs="Arial"/>
          <w:szCs w:val="20"/>
          <w:lang w:val="es-ES_tradnl"/>
        </w:rPr>
        <w:t xml:space="preserve">, lo que significó un ahorro de alrededor de 12.000 francos suizos en 2013.  </w:t>
      </w:r>
      <w:r w:rsidR="00114737" w:rsidRPr="00A34388">
        <w:rPr>
          <w:rFonts w:eastAsiaTheme="minorHAnsi" w:cs="Arial"/>
          <w:szCs w:val="20"/>
          <w:lang w:val="es-ES_tradnl"/>
        </w:rPr>
        <w:t>Asimismo, la modernización de los sistemas de refrigeración y calefacción individuales de los despachos principales del nuevo edificio quedó concluida a mediados de 2013, y gracias a ella se controla más adecuadamente la temperatura de un total de 19 despachos</w:t>
      </w:r>
      <w:r w:rsidR="00114737" w:rsidRPr="00A34388">
        <w:rPr>
          <w:rFonts w:cs="Arial"/>
          <w:szCs w:val="20"/>
          <w:lang w:val="es-ES_tradnl"/>
        </w:rPr>
        <w:t>.</w:t>
      </w:r>
    </w:p>
    <w:p w:rsidR="00114737" w:rsidRPr="00A34388" w:rsidRDefault="00114737" w:rsidP="0053316D">
      <w:pPr>
        <w:keepNext/>
        <w:keepLines/>
        <w:tabs>
          <w:tab w:val="left" w:pos="709"/>
        </w:tabs>
        <w:jc w:val="both"/>
        <w:rPr>
          <w:rFonts w:cs="Arial"/>
          <w:szCs w:val="20"/>
          <w:lang w:val="es-ES_tradnl"/>
        </w:rPr>
      </w:pPr>
    </w:p>
    <w:p w:rsidR="0053316D" w:rsidRPr="00A34388" w:rsidRDefault="0053316D" w:rsidP="0053316D">
      <w:pPr>
        <w:pStyle w:val="NoSpacing"/>
        <w:tabs>
          <w:tab w:val="left" w:pos="709"/>
        </w:tabs>
        <w:jc w:val="both"/>
        <w:rPr>
          <w:rFonts w:ascii="Arial" w:hAnsi="Arial" w:cs="Arial"/>
          <w:sz w:val="20"/>
          <w:szCs w:val="20"/>
          <w:lang w:val="es-ES_tradnl"/>
        </w:rPr>
      </w:pPr>
      <w:r w:rsidRPr="00A34388">
        <w:rPr>
          <w:rFonts w:ascii="Arial" w:hAnsi="Arial" w:cs="Arial"/>
          <w:sz w:val="20"/>
          <w:szCs w:val="20"/>
          <w:lang w:val="es-ES_tradnl"/>
        </w:rPr>
        <w:t>24.9.</w:t>
      </w:r>
      <w:r w:rsidRPr="00A34388">
        <w:rPr>
          <w:rFonts w:ascii="Arial" w:hAnsi="Arial" w:cs="Arial"/>
          <w:sz w:val="20"/>
          <w:szCs w:val="20"/>
          <w:lang w:val="es-ES_tradnl"/>
        </w:rPr>
        <w:tab/>
        <w:t>La mejora y ampliación de una de las salas de reuniones de la planta baja del nuevo edificio (con capacidad para 80 personas y tres cabinas de interpretación) se puso en marcha en 2013, finalizándose en enero de 2014.  Se dispuso una sala de reuniones provisional (con capacidad para 45 personas y tres cabinas de interpretación) en el piso 13 del edificio AB, en principio para compensar la escasez de salas de reuniones durante la realización de las obras en el nuevo edificio.  Sin embargo, en vista de que, gracias a su funcionalidad e instalaciones específicas, esta sala cubre un gran número de necesidades, se adoptó la decisión de mantenerla en funcionamiento en 2014 y evaluar de nuevo su situación una vez finalizadas todas las nuevas instalaciones para reuniones y concluido el proyecto de la nueva sala de conferencias.</w:t>
      </w:r>
    </w:p>
    <w:p w:rsidR="0053316D" w:rsidRPr="00A34388" w:rsidRDefault="0053316D" w:rsidP="0053316D">
      <w:pPr>
        <w:tabs>
          <w:tab w:val="left" w:pos="709"/>
          <w:tab w:val="left" w:pos="1440"/>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24.10.</w:t>
      </w:r>
      <w:r w:rsidRPr="00A34388">
        <w:rPr>
          <w:rFonts w:cs="Arial"/>
          <w:szCs w:val="20"/>
          <w:lang w:val="es-ES_tradnl"/>
        </w:rPr>
        <w:tab/>
        <w:t xml:space="preserve">Con respecto a la gestión de activos, la Junta de Fiscalización de Bienes prosiguió su revisión para instaurar procedimientos </w:t>
      </w:r>
      <w:r w:rsidR="003E3F45">
        <w:rPr>
          <w:rFonts w:cs="Arial"/>
          <w:szCs w:val="20"/>
          <w:lang w:val="es-ES_tradnl"/>
        </w:rPr>
        <w:t>d</w:t>
      </w:r>
      <w:r w:rsidRPr="00A34388">
        <w:rPr>
          <w:rFonts w:cs="Arial"/>
          <w:szCs w:val="20"/>
          <w:lang w:val="es-ES_tradnl"/>
        </w:rPr>
        <w:t xml:space="preserve">e inventario más sencillos y congruentes.  Se establecieron en 2012 nuevos procedimientos tendentes en particular a aumentar el umbral del seguimiento de artículos de 100  a 1.000 francos suizos y el umbral de capitalización de artículos de 1.000 a 5.000 francos suizos (análoga entre otras organizaciones de las NN.UU.), racionalizando así los procesos de bajo valor añadido .  </w:t>
      </w:r>
      <w:r w:rsidRPr="00332758">
        <w:rPr>
          <w:rFonts w:cs="Arial"/>
          <w:szCs w:val="20"/>
          <w:lang w:val="es-ES_tradnl"/>
        </w:rPr>
        <w:t>Se implementó plenamente la interfaz con los aspectos financieros de la gestión de activos, arrumbando la anterior práctica de la doble introducción de datos con obvia conciliación periódica.</w:t>
      </w:r>
      <w:r w:rsidRPr="00A34388">
        <w:rPr>
          <w:rFonts w:cs="Arial"/>
          <w:szCs w:val="20"/>
          <w:lang w:val="es-ES_tradnl"/>
        </w:rPr>
        <w:t xml:space="preserve">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332758">
        <w:rPr>
          <w:rFonts w:cs="Arial"/>
          <w:szCs w:val="20"/>
          <w:lang w:val="es-ES_tradnl"/>
        </w:rPr>
        <w:t>24.11.</w:t>
      </w:r>
      <w:r w:rsidRPr="00332758">
        <w:rPr>
          <w:rFonts w:cs="Arial"/>
          <w:szCs w:val="20"/>
          <w:lang w:val="es-ES_tradnl"/>
        </w:rPr>
        <w:tab/>
        <w:t>En el marco del Proyecto de Accesibilidad de la OMPI, que era parte integrante del PAE</w:t>
      </w:r>
      <w:r w:rsidR="002A7E3D" w:rsidRPr="00332758">
        <w:rPr>
          <w:rFonts w:cs="Arial"/>
          <w:szCs w:val="20"/>
          <w:lang w:val="es-ES_tradnl"/>
        </w:rPr>
        <w:t xml:space="preserve"> hasta 2012</w:t>
      </w:r>
      <w:r w:rsidRPr="00332758">
        <w:rPr>
          <w:rFonts w:cs="Arial"/>
          <w:szCs w:val="20"/>
          <w:lang w:val="es-ES_tradnl"/>
        </w:rPr>
        <w:t>, un arquitecto especializado realizó en 2012 una auditoría completa de accesibilidad física en todos los edificios existentes del recinto de la OMPI.</w:t>
      </w:r>
      <w:r w:rsidRPr="00A34388">
        <w:rPr>
          <w:rFonts w:cs="Arial"/>
          <w:szCs w:val="20"/>
          <w:lang w:val="es-ES_tradnl"/>
        </w:rPr>
        <w:t xml:space="preserve">  La detallada serie de recomendaciones que arrojó esa auditoría fue revisada en 2013 con el fin de establecer una lista jerarquizada de posibles mejoras que debían establecerse a finales de 2013.  En la primera mitad de 2013 se llevó a cabo una auditoría similar con respecto a la futura nueva sala de conferencias.  En año 2013 se introdujeron una serie de innovaciones en los edificios existentes, en la nueva sala de conferencias (durante su construcción) y durante la renovación de algunas partes del edificio AB (entre otros elementos, rampas para acceso de sillas de ruedas y bandas antideslizantes en escaleras y escalones).</w:t>
      </w:r>
    </w:p>
    <w:p w:rsidR="0053316D" w:rsidRPr="00A34388" w:rsidRDefault="0053316D" w:rsidP="0053316D">
      <w:pPr>
        <w:tabs>
          <w:tab w:val="left" w:pos="709"/>
        </w:tabs>
        <w:jc w:val="both"/>
        <w:rPr>
          <w:rFonts w:cs="Arial"/>
          <w:szCs w:val="20"/>
          <w:lang w:val="es-ES_tradnl"/>
        </w:rPr>
      </w:pPr>
    </w:p>
    <w:p w:rsidR="0053316D" w:rsidRPr="00332758" w:rsidRDefault="0053316D" w:rsidP="0053316D">
      <w:pPr>
        <w:tabs>
          <w:tab w:val="left" w:pos="709"/>
        </w:tabs>
        <w:jc w:val="both"/>
        <w:rPr>
          <w:rFonts w:cs="Arial"/>
          <w:szCs w:val="20"/>
          <w:lang w:val="es-ES_tradnl"/>
        </w:rPr>
      </w:pPr>
      <w:r w:rsidRPr="00332758">
        <w:rPr>
          <w:rFonts w:cs="Arial"/>
          <w:szCs w:val="20"/>
          <w:lang w:val="es-ES_tradnl"/>
        </w:rPr>
        <w:t>24.12.</w:t>
      </w:r>
      <w:r w:rsidRPr="00332758">
        <w:rPr>
          <w:rFonts w:cs="Arial"/>
          <w:szCs w:val="20"/>
          <w:lang w:val="es-ES_tradnl"/>
        </w:rPr>
        <w:tab/>
        <w:t>En el marco de la responsabilidad medioambiental de la OMPI (otra iniciativa del PAE) se emprendieron en 2012 y 2013 una serie de actividades tendentes al fomento de la concien</w:t>
      </w:r>
      <w:r w:rsidR="00C6436B" w:rsidRPr="00332758">
        <w:rPr>
          <w:rFonts w:cs="Arial"/>
          <w:szCs w:val="20"/>
          <w:lang w:val="es-ES_tradnl"/>
        </w:rPr>
        <w:t xml:space="preserve">ciación </w:t>
      </w:r>
      <w:r w:rsidRPr="00332758">
        <w:rPr>
          <w:rFonts w:cs="Arial"/>
          <w:szCs w:val="20"/>
          <w:lang w:val="es-ES_tradnl"/>
        </w:rPr>
        <w:t>medioambiental del personal y/o a la adopción de medidas concretas y prácticas.  Dichas medidas hacían referencia a:  temas relacionados con los locales (p. ej. la modernización de las instalaciones técnicas con incorporación de soluciones más ecológicas, la modernización de la instalación eléctrica para reducir el consumo de electricidad, la conclusión del acuerdo con el proveedor de electricidad local, la renovación para el nuevo edificio de la tarifa eléctrica que presenta el máximo porcentaje de contribución a la producción de electricidad renovable del Cantón de Ginebra, la introducción de criterios medioambientales en ciertas licitaciones (p. ej. servicios de cafetería, máquinas expendedoras, artículos de cafetería biodegradables, productos de limpieza, mejora del reciclaje), el uso de medios alternativos para los desplazamientos entre el hogar y el lugar de trabajo (días o meses de movilidad a base de transporte público y alquiler gratuito de bicicletas eléctricas y reparación de bicicletas).  Además, la OMPI tomó parte en diversas iniciativas en el contexto interinstitucional de las NN.UU., sobre todo por medio del Programa de las Naciones Unidas para el medio ambiente (PNUMA) y la iniciativa "Por unas Naciones Unidas sostenibles" ("SUN"), la participación en la compilación anual de datos para la Calculadora de gases del efecto invernadero o la asistencia a las reuniones de la red interinstitucional de administradores de instalaciones en 2012 y 2013.</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keepNext/>
        <w:keepLines/>
        <w:tabs>
          <w:tab w:val="left" w:pos="709"/>
        </w:tabs>
        <w:jc w:val="both"/>
        <w:rPr>
          <w:rFonts w:cs="Arial"/>
          <w:bCs/>
          <w:szCs w:val="20"/>
          <w:lang w:val="es-ES_tradnl"/>
        </w:rPr>
      </w:pPr>
      <w:r w:rsidRPr="00332758">
        <w:rPr>
          <w:rFonts w:cs="Arial"/>
          <w:szCs w:val="20"/>
          <w:lang w:val="es-ES_tradnl"/>
        </w:rPr>
        <w:lastRenderedPageBreak/>
        <w:t>24.13.</w:t>
      </w:r>
      <w:r w:rsidRPr="00332758">
        <w:rPr>
          <w:rFonts w:cs="Arial"/>
          <w:szCs w:val="20"/>
          <w:lang w:val="es-ES_tradnl"/>
        </w:rPr>
        <w:tab/>
        <w:t xml:space="preserve">En consonancia con la estrategia de la OMPI que apunta a reducir progresivamente la flota de vehículos de la Organización y sustituir los vehículos existentes por alternativas respetuosas con el medio ambiente, cuatro de los 11 vehículos de la OMPI fueron vendidos en el bienio.  </w:t>
      </w:r>
      <w:r w:rsidRPr="00A34388">
        <w:rPr>
          <w:rFonts w:cs="Arial"/>
          <w:szCs w:val="20"/>
          <w:lang w:val="es-ES_tradnl"/>
        </w:rPr>
        <w:t>En 2013 se adquirió un nuevo vehículo híbrido para reducir las emisiones de dióxido de carbono</w:t>
      </w:r>
      <w:r w:rsidRPr="00A34388">
        <w:rPr>
          <w:rFonts w:cs="Arial"/>
          <w:bCs/>
          <w:szCs w:val="20"/>
          <w:lang w:val="es-ES_tradnl"/>
        </w:rPr>
        <w:t xml:space="preserve">.  </w:t>
      </w:r>
      <w:r w:rsidRPr="00332758">
        <w:rPr>
          <w:rFonts w:cs="Arial"/>
          <w:bCs/>
          <w:szCs w:val="20"/>
          <w:lang w:val="es-ES_tradnl"/>
        </w:rPr>
        <w:t>Además, el programa ha asumido la responsabilidad gestora por el uso de todos los vehículos oficiales en el conjunto de la Organización.</w:t>
      </w:r>
      <w:r w:rsidRPr="00A34388">
        <w:rPr>
          <w:rFonts w:cs="Arial"/>
          <w:bCs/>
          <w:szCs w:val="20"/>
          <w:lang w:val="es-ES_tradnl"/>
        </w:rPr>
        <w:t xml:space="preserve">  </w:t>
      </w:r>
    </w:p>
    <w:p w:rsidR="0053316D" w:rsidRPr="00A34388" w:rsidRDefault="0053316D" w:rsidP="0053316D">
      <w:pPr>
        <w:tabs>
          <w:tab w:val="left" w:pos="709"/>
        </w:tabs>
        <w:jc w:val="both"/>
        <w:rPr>
          <w:rFonts w:cs="Arial"/>
          <w:bCs/>
          <w:szCs w:val="22"/>
          <w:lang w:val="es-ES_tradnl"/>
        </w:rPr>
      </w:pPr>
    </w:p>
    <w:p w:rsidR="0053316D" w:rsidRPr="00A34388" w:rsidRDefault="0053316D" w:rsidP="0053316D">
      <w:pPr>
        <w:rPr>
          <w:rFonts w:cs="Arial"/>
          <w:bCs/>
          <w:szCs w:val="22"/>
          <w:lang w:val="es-ES_tradnl"/>
        </w:rPr>
      </w:pPr>
    </w:p>
    <w:p w:rsidR="0053316D" w:rsidRPr="00A34388" w:rsidRDefault="0053316D" w:rsidP="0053316D">
      <w:pPr>
        <w:rPr>
          <w:lang w:val="es-ES_tradnl"/>
        </w:rPr>
      </w:pPr>
      <w:r w:rsidRPr="00332758">
        <w:rPr>
          <w:lang w:val="es-ES_tradnl"/>
        </w:rPr>
        <w:t>DATOS SOBRE EL RENDIMIENTO</w:t>
      </w:r>
    </w:p>
    <w:p w:rsidR="0053316D" w:rsidRPr="00A34388" w:rsidRDefault="0053316D" w:rsidP="0053316D">
      <w:pPr>
        <w:rPr>
          <w:b/>
          <w:sz w:val="16"/>
          <w:szCs w:val="16"/>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1"/>
        <w:gridCol w:w="1659"/>
        <w:gridCol w:w="1269"/>
        <w:gridCol w:w="123"/>
        <w:gridCol w:w="3383"/>
        <w:gridCol w:w="222"/>
        <w:gridCol w:w="1150"/>
      </w:tblGrid>
      <w:tr w:rsidR="0053316D" w:rsidRPr="00A9508D" w:rsidTr="0053316D">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53316D" w:rsidRPr="00A34388" w:rsidTr="0053316D">
        <w:trPr>
          <w:cantSplit/>
        </w:trPr>
        <w:tc>
          <w:tcPr>
            <w:tcW w:w="836"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00"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764" w:type="pct"/>
            <w:gridSpan w:val="2"/>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8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gridSpan w:val="2"/>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36"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Disminución de los costos de adquisición de productos y servicios por la OMPI (derivada de invitaciones a presentar ofertas, negociaciones o prácticas de globalización de las Naciones Unidas).</w:t>
            </w:r>
          </w:p>
        </w:tc>
        <w:tc>
          <w:tcPr>
            <w:tcW w:w="900" w:type="pct"/>
            <w:tcBorders>
              <w:top w:val="nil"/>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500.000 francos suizos (valor previsto en el presupuesto por programas de 2010/11)</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ascii="ArialMT" w:hAnsi="ArialMT" w:cs="ArialMT"/>
                <w:sz w:val="16"/>
                <w:szCs w:val="16"/>
                <w:lang w:val="es-ES_tradnl"/>
              </w:rPr>
            </w:pPr>
            <w:r w:rsidRPr="00A34388">
              <w:rPr>
                <w:rFonts w:ascii="ArialMT" w:hAnsi="ArialMT" w:cs="ArialMT"/>
                <w:sz w:val="16"/>
                <w:szCs w:val="16"/>
                <w:lang w:val="es-ES_tradnl"/>
              </w:rPr>
              <w:t>Al menos 500.000 francos suizos</w:t>
            </w:r>
          </w:p>
          <w:p w:rsidR="0053316D" w:rsidRPr="00A34388" w:rsidRDefault="0053316D">
            <w:pPr>
              <w:spacing w:line="276" w:lineRule="auto"/>
              <w:rPr>
                <w:rFonts w:cs="Arial"/>
                <w:sz w:val="16"/>
                <w:szCs w:val="16"/>
                <w:lang w:val="es-ES_tradnl" w:bidi="th-TH"/>
              </w:rPr>
            </w:pPr>
            <w:r w:rsidRPr="00A34388">
              <w:rPr>
                <w:rFonts w:ascii="ArialMT" w:hAnsi="ArialMT" w:cs="ArialMT"/>
                <w:sz w:val="16"/>
                <w:szCs w:val="16"/>
                <w:lang w:val="es-ES_tradnl"/>
              </w:rPr>
              <w:t>(valor previsto en el presupuesto por programas de 2010/11)</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1.911.500 francos suizos incluida la estimación de evitación de costos publicada por el CPAG.</w:t>
            </w:r>
          </w:p>
        </w:tc>
        <w:tc>
          <w:tcPr>
            <w:tcW w:w="682" w:type="pct"/>
            <w:gridSpan w:val="2"/>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53316D">
        <w:trPr>
          <w:cantSplit/>
        </w:trPr>
        <w:tc>
          <w:tcPr>
            <w:tcW w:w="836"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usuarios internos satisfechos con los servicios de adquisiciones.</w:t>
            </w:r>
          </w:p>
        </w:tc>
        <w:tc>
          <w:tcPr>
            <w:tcW w:w="900" w:type="pct"/>
            <w:tcBorders>
              <w:top w:val="nil"/>
              <w:left w:val="nil"/>
              <w:bottom w:val="nil"/>
              <w:right w:val="nil"/>
            </w:tcBorders>
          </w:tcPr>
          <w:p w:rsidR="0053316D" w:rsidRPr="00A34388" w:rsidRDefault="0053316D">
            <w:pPr>
              <w:pStyle w:val="Default"/>
              <w:spacing w:line="276" w:lineRule="auto"/>
              <w:rPr>
                <w:color w:val="002060"/>
                <w:sz w:val="16"/>
                <w:szCs w:val="16"/>
                <w:lang w:val="es-ES_tradnl"/>
              </w:rPr>
            </w:pPr>
            <w:r w:rsidRPr="00A34388">
              <w:rPr>
                <w:i/>
                <w:color w:val="002060"/>
                <w:sz w:val="16"/>
                <w:szCs w:val="16"/>
                <w:lang w:val="es-ES_tradnl"/>
              </w:rPr>
              <w:t>Referencia actualizada a finales de 2011:  75%</w:t>
            </w:r>
          </w:p>
          <w:p w:rsidR="0053316D" w:rsidRPr="00A34388" w:rsidRDefault="0053316D">
            <w:pPr>
              <w:spacing w:line="276" w:lineRule="auto"/>
              <w:rPr>
                <w:rFonts w:cs="Arial"/>
                <w:i/>
                <w:sz w:val="8"/>
                <w:szCs w:val="8"/>
                <w:lang w:val="es-ES_tradnl"/>
              </w:rPr>
            </w:pPr>
          </w:p>
          <w:p w:rsidR="0053316D" w:rsidRPr="00A34388" w:rsidRDefault="0053316D" w:rsidP="00727123">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presupuesto por programas 2012/13:</w:t>
            </w:r>
            <w:r w:rsidRPr="00A34388">
              <w:rPr>
                <w:rFonts w:cs="Arial"/>
                <w:sz w:val="16"/>
                <w:szCs w:val="16"/>
                <w:lang w:val="es-ES_tradnl"/>
              </w:rPr>
              <w:br/>
            </w:r>
            <w:r w:rsidR="00127ECC" w:rsidRPr="00A34388">
              <w:rPr>
                <w:rFonts w:cs="Arial"/>
                <w:sz w:val="16"/>
                <w:szCs w:val="16"/>
                <w:lang w:val="es-ES_tradnl"/>
              </w:rPr>
              <w:t xml:space="preserve">Por </w:t>
            </w:r>
            <w:r w:rsidRPr="00A34388">
              <w:rPr>
                <w:rFonts w:cs="Arial"/>
                <w:sz w:val="16"/>
                <w:szCs w:val="16"/>
                <w:lang w:val="es-ES_tradnl"/>
              </w:rPr>
              <w:t>determinar (</w:t>
            </w:r>
            <w:r w:rsidR="00127ECC" w:rsidRPr="00A34388">
              <w:rPr>
                <w:rFonts w:cs="Arial"/>
                <w:sz w:val="16"/>
                <w:szCs w:val="16"/>
                <w:lang w:val="es-ES_tradnl"/>
              </w:rPr>
              <w:t xml:space="preserve">fines </w:t>
            </w:r>
            <w:r w:rsidRPr="00A34388">
              <w:rPr>
                <w:rFonts w:cs="Arial"/>
                <w:sz w:val="16"/>
                <w:szCs w:val="16"/>
                <w:lang w:val="es-ES_tradnl"/>
              </w:rPr>
              <w:t>de 2011)</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spacing w:line="276" w:lineRule="auto"/>
              <w:rPr>
                <w:rFonts w:ascii="ArialMT" w:hAnsi="ArialMT" w:cs="ArialMT"/>
                <w:sz w:val="16"/>
                <w:szCs w:val="16"/>
                <w:lang w:val="es-ES_tradnl"/>
              </w:rPr>
            </w:pPr>
            <w:r w:rsidRPr="00332758">
              <w:rPr>
                <w:rFonts w:ascii="ArialMT" w:hAnsi="ArialMT" w:cs="ArialMT"/>
                <w:sz w:val="16"/>
                <w:szCs w:val="16"/>
                <w:lang w:val="es-ES_tradnl"/>
              </w:rPr>
              <w:t>Por determinar a fines de 2011.</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73%</w:t>
            </w:r>
          </w:p>
        </w:tc>
        <w:tc>
          <w:tcPr>
            <w:tcW w:w="682" w:type="pct"/>
            <w:gridSpan w:val="2"/>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after="120" w:line="276" w:lineRule="auto"/>
              <w:jc w:val="center"/>
              <w:rPr>
                <w:rFonts w:cs="Arial"/>
                <w:bCs/>
                <w:sz w:val="16"/>
                <w:szCs w:val="16"/>
                <w:lang w:val="es-ES_tradnl"/>
              </w:rPr>
            </w:pPr>
            <w:r w:rsidRPr="00332758">
              <w:rPr>
                <w:rStyle w:val="Style5"/>
                <w:rFonts w:cs="Arial"/>
                <w:sz w:val="16"/>
                <w:szCs w:val="16"/>
                <w:lang w:val="es-ES_tradnl"/>
              </w:rPr>
              <w:t>No mensurable</w:t>
            </w:r>
          </w:p>
        </w:tc>
      </w:tr>
      <w:tr w:rsidR="0053316D" w:rsidRPr="00A34388" w:rsidTr="0053316D">
        <w:trPr>
          <w:cantSplit/>
        </w:trPr>
        <w:tc>
          <w:tcPr>
            <w:tcW w:w="836"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gastos efectuados con arreglo a las prácticas vigentes en NN.UU.</w:t>
            </w:r>
          </w:p>
        </w:tc>
        <w:tc>
          <w:tcPr>
            <w:tcW w:w="900" w:type="pct"/>
            <w:tcBorders>
              <w:top w:val="nil"/>
              <w:left w:val="nil"/>
              <w:bottom w:val="nil"/>
              <w:right w:val="nil"/>
            </w:tcBorders>
          </w:tcPr>
          <w:p w:rsidR="0053316D" w:rsidRPr="00A34388" w:rsidRDefault="0053316D">
            <w:pPr>
              <w:spacing w:line="276" w:lineRule="auto"/>
              <w:rPr>
                <w:color w:val="002060"/>
                <w:sz w:val="16"/>
                <w:szCs w:val="16"/>
                <w:lang w:val="es-ES_tradnl"/>
              </w:rPr>
            </w:pPr>
            <w:r w:rsidRPr="00A34388">
              <w:rPr>
                <w:i/>
                <w:color w:val="002060"/>
                <w:sz w:val="16"/>
                <w:szCs w:val="16"/>
                <w:lang w:val="es-ES_tradnl"/>
              </w:rPr>
              <w:t>Referencia actualizada a finales de 2011:</w:t>
            </w:r>
            <w:r w:rsidRPr="00A34388">
              <w:rPr>
                <w:color w:val="002060"/>
                <w:sz w:val="16"/>
                <w:szCs w:val="16"/>
                <w:lang w:val="es-ES_tradnl"/>
              </w:rPr>
              <w:t xml:space="preserve">  </w:t>
            </w:r>
            <w:r w:rsidRPr="00A34388">
              <w:rPr>
                <w:rFonts w:cs="Arial"/>
                <w:color w:val="002060"/>
                <w:sz w:val="16"/>
                <w:szCs w:val="16"/>
                <w:lang w:val="es-ES_tradnl" w:bidi="th-TH"/>
              </w:rPr>
              <w:t>10%</w:t>
            </w:r>
          </w:p>
          <w:p w:rsidR="0053316D" w:rsidRPr="00A34388" w:rsidRDefault="0053316D">
            <w:pPr>
              <w:spacing w:line="276" w:lineRule="auto"/>
              <w:rPr>
                <w:color w:val="002060"/>
                <w:sz w:val="8"/>
                <w:szCs w:val="8"/>
                <w:lang w:val="es-ES_tradnl"/>
              </w:rPr>
            </w:pPr>
          </w:p>
          <w:p w:rsidR="0053316D" w:rsidRPr="00A34388" w:rsidRDefault="0053316D" w:rsidP="00727123">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presupuesto por programas 2012/13:</w:t>
            </w:r>
            <w:r w:rsidRPr="00A34388">
              <w:rPr>
                <w:rFonts w:cs="Arial"/>
                <w:sz w:val="16"/>
                <w:szCs w:val="16"/>
                <w:lang w:val="es-ES_tradnl"/>
              </w:rPr>
              <w:br/>
            </w:r>
            <w:r w:rsidR="00127ECC" w:rsidRPr="00A34388">
              <w:rPr>
                <w:rFonts w:cs="Arial"/>
                <w:sz w:val="16"/>
                <w:szCs w:val="16"/>
                <w:lang w:val="es-ES_tradnl"/>
              </w:rPr>
              <w:t xml:space="preserve">Por </w:t>
            </w:r>
            <w:r w:rsidRPr="00A34388">
              <w:rPr>
                <w:rFonts w:cs="Arial"/>
                <w:sz w:val="16"/>
                <w:szCs w:val="16"/>
                <w:lang w:val="es-ES_tradnl"/>
              </w:rPr>
              <w:t>determinar (</w:t>
            </w:r>
            <w:r w:rsidR="00127ECC" w:rsidRPr="00A34388">
              <w:rPr>
                <w:rFonts w:cs="Arial"/>
                <w:sz w:val="16"/>
                <w:szCs w:val="16"/>
                <w:lang w:val="es-ES_tradnl"/>
              </w:rPr>
              <w:t xml:space="preserve">fines </w:t>
            </w:r>
            <w:r w:rsidRPr="00A34388">
              <w:rPr>
                <w:rFonts w:cs="Arial"/>
                <w:sz w:val="16"/>
                <w:szCs w:val="16"/>
                <w:lang w:val="es-ES_tradnl"/>
              </w:rPr>
              <w:t>de 2011)</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 determinar a fines de 2011.</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4%</w:t>
            </w:r>
          </w:p>
        </w:tc>
        <w:tc>
          <w:tcPr>
            <w:tcW w:w="682" w:type="pct"/>
            <w:gridSpan w:val="2"/>
            <w:tcBorders>
              <w:top w:val="nil"/>
              <w:left w:val="nil"/>
              <w:bottom w:val="nil"/>
              <w:right w:val="single" w:sz="4" w:space="0" w:color="auto"/>
            </w:tcBorders>
            <w:hideMark/>
          </w:tcPr>
          <w:p w:rsidR="0053316D" w:rsidRPr="00332758" w:rsidRDefault="0053316D">
            <w:pPr>
              <w:keepNext/>
              <w:keepLines/>
              <w:spacing w:line="276" w:lineRule="auto"/>
              <w:jc w:val="center"/>
              <w:rPr>
                <w:rFonts w:cs="Arial"/>
                <w:bCs/>
                <w:sz w:val="16"/>
                <w:szCs w:val="16"/>
                <w:lang w:val="es-ES_tradnl"/>
              </w:rPr>
            </w:pPr>
            <w:r w:rsidRPr="00332758">
              <w:rPr>
                <w:rStyle w:val="Style5"/>
                <w:rFonts w:cs="Arial"/>
                <w:sz w:val="16"/>
                <w:szCs w:val="16"/>
                <w:lang w:val="es-ES_tradnl"/>
              </w:rPr>
              <w:t>No mensurable</w:t>
            </w:r>
          </w:p>
        </w:tc>
      </w:tr>
      <w:tr w:rsidR="0053316D" w:rsidRPr="00A34388" w:rsidTr="00A6031C">
        <w:trPr>
          <w:cantSplit/>
        </w:trPr>
        <w:tc>
          <w:tcPr>
            <w:tcW w:w="836"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Tiempo de tramitación de las autorizaciones electrónicas de viaje (e-TA) y peticiones electrónicas de actividades (e-ER) (condicionado al cumplimiento del plazo previsto).</w:t>
            </w:r>
          </w:p>
        </w:tc>
        <w:tc>
          <w:tcPr>
            <w:tcW w:w="900" w:type="pct"/>
            <w:tcBorders>
              <w:top w:val="nil"/>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e-TA - 1 día e-ER = 2 horas</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ascii="ArialMT" w:hAnsi="ArialMT" w:cs="ArialMT"/>
                <w:sz w:val="16"/>
                <w:szCs w:val="16"/>
                <w:lang w:val="es-ES_tradnl"/>
              </w:rPr>
            </w:pPr>
            <w:r w:rsidRPr="00A34388">
              <w:rPr>
                <w:rFonts w:ascii="ArialMT" w:hAnsi="ArialMT" w:cs="ArialMT"/>
                <w:sz w:val="16"/>
                <w:szCs w:val="16"/>
                <w:lang w:val="es-ES_tradnl"/>
              </w:rPr>
              <w:t>e-TA = 1 día</w:t>
            </w:r>
          </w:p>
          <w:p w:rsidR="0053316D" w:rsidRPr="00A34388" w:rsidRDefault="0053316D">
            <w:pPr>
              <w:spacing w:line="276" w:lineRule="auto"/>
              <w:rPr>
                <w:rFonts w:cs="Arial"/>
                <w:sz w:val="16"/>
                <w:szCs w:val="16"/>
                <w:lang w:val="es-ES_tradnl" w:bidi="th-TH"/>
              </w:rPr>
            </w:pPr>
            <w:r w:rsidRPr="00A34388">
              <w:rPr>
                <w:rFonts w:ascii="ArialMT" w:hAnsi="ArialMT" w:cs="ArialMT"/>
                <w:sz w:val="16"/>
                <w:szCs w:val="16"/>
                <w:lang w:val="es-ES_tradnl"/>
              </w:rPr>
              <w:t>e-ER = 2 horas</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e-TA &lt; 1 día</w:t>
            </w:r>
          </w:p>
          <w:p w:rsidR="0053316D" w:rsidRPr="00A34388" w:rsidRDefault="0053316D">
            <w:pPr>
              <w:spacing w:line="276" w:lineRule="auto"/>
              <w:rPr>
                <w:rFonts w:cs="Arial"/>
                <w:sz w:val="16"/>
                <w:szCs w:val="16"/>
                <w:lang w:val="es-ES_tradnl" w:bidi="th-TH"/>
              </w:rPr>
            </w:pPr>
            <w:r w:rsidRPr="00A34388">
              <w:rPr>
                <w:rFonts w:ascii="ArialMT" w:hAnsi="ArialMT" w:cs="ArialMT"/>
                <w:sz w:val="16"/>
                <w:szCs w:val="16"/>
                <w:lang w:val="es-ES_tradnl"/>
              </w:rPr>
              <w:t>e-ER = 2 horas</w:t>
            </w:r>
          </w:p>
        </w:tc>
        <w:tc>
          <w:tcPr>
            <w:tcW w:w="682" w:type="pct"/>
            <w:gridSpan w:val="2"/>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A6031C">
        <w:trPr>
          <w:cantSplit/>
        </w:trPr>
        <w:tc>
          <w:tcPr>
            <w:tcW w:w="836"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Tiempo de tramitación de visados para terceros.</w:t>
            </w:r>
          </w:p>
        </w:tc>
        <w:tc>
          <w:tcPr>
            <w:tcW w:w="900" w:type="pct"/>
            <w:tcBorders>
              <w:top w:val="nil"/>
              <w:left w:val="nil"/>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4 a 5 días</w:t>
            </w:r>
          </w:p>
        </w:tc>
        <w:tc>
          <w:tcPr>
            <w:tcW w:w="764" w:type="pct"/>
            <w:gridSpan w:val="2"/>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ascii="ArialMT" w:hAnsi="ArialMT" w:cs="ArialMT"/>
                <w:sz w:val="16"/>
                <w:szCs w:val="16"/>
                <w:lang w:val="es-ES_tradnl"/>
              </w:rPr>
            </w:pPr>
            <w:r w:rsidRPr="00332758">
              <w:rPr>
                <w:rFonts w:ascii="ArialMT" w:hAnsi="ArialMT" w:cs="ArialMT"/>
                <w:sz w:val="16"/>
                <w:szCs w:val="16"/>
                <w:lang w:val="es-ES_tradnl"/>
              </w:rPr>
              <w:t>2 a 3 días</w:t>
            </w:r>
          </w:p>
        </w:tc>
        <w:tc>
          <w:tcPr>
            <w:tcW w:w="1818"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&lt; 2 días</w:t>
            </w:r>
          </w:p>
        </w:tc>
        <w:tc>
          <w:tcPr>
            <w:tcW w:w="682" w:type="pct"/>
            <w:gridSpan w:val="2"/>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after="120"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A6031C">
        <w:trPr>
          <w:cantSplit/>
        </w:trPr>
        <w:tc>
          <w:tcPr>
            <w:tcW w:w="836" w:type="pct"/>
            <w:tcBorders>
              <w:top w:val="single" w:sz="4" w:space="0" w:color="auto"/>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lastRenderedPageBreak/>
              <w:t>Reducción de los costos de viaje gracias a las conferencias electrónicas y las videoconferencias.</w:t>
            </w:r>
          </w:p>
        </w:tc>
        <w:tc>
          <w:tcPr>
            <w:tcW w:w="900" w:type="pct"/>
            <w:tcBorders>
              <w:top w:val="single" w:sz="4" w:space="0" w:color="auto"/>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 determinar.</w:t>
            </w:r>
          </w:p>
        </w:tc>
        <w:tc>
          <w:tcPr>
            <w:tcW w:w="764" w:type="pct"/>
            <w:gridSpan w:val="2"/>
            <w:tcBorders>
              <w:top w:val="single" w:sz="4" w:space="0" w:color="auto"/>
              <w:left w:val="nil"/>
              <w:bottom w:val="nil"/>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 determinar.</w:t>
            </w:r>
          </w:p>
        </w:tc>
        <w:tc>
          <w:tcPr>
            <w:tcW w:w="1818" w:type="pct"/>
            <w:tcBorders>
              <w:top w:val="single" w:sz="4" w:space="0" w:color="auto"/>
              <w:left w:val="nil"/>
              <w:bottom w:val="nil"/>
              <w:right w:val="nil"/>
            </w:tcBorders>
            <w:shd w:val="clear" w:color="auto" w:fill="FFFFFF"/>
            <w:tcMar>
              <w:top w:w="110" w:type="dxa"/>
              <w:left w:w="108" w:type="dxa"/>
              <w:bottom w:w="0" w:type="dxa"/>
              <w:right w:w="108" w:type="dxa"/>
            </w:tcMar>
          </w:tcPr>
          <w:p w:rsidR="0053316D" w:rsidRPr="00A34388" w:rsidRDefault="002B591B">
            <w:pPr>
              <w:spacing w:line="276" w:lineRule="auto"/>
              <w:rPr>
                <w:rFonts w:cs="Arial"/>
                <w:sz w:val="16"/>
                <w:szCs w:val="16"/>
                <w:lang w:val="es-ES_tradnl" w:bidi="th-TH"/>
              </w:rPr>
            </w:pPr>
            <w:r w:rsidRPr="00A34388">
              <w:rPr>
                <w:rFonts w:cs="Arial"/>
                <w:sz w:val="16"/>
                <w:szCs w:val="16"/>
                <w:lang w:val="es-ES_tradnl" w:bidi="th-TH"/>
              </w:rPr>
              <w:t xml:space="preserve">En sintonía con el </w:t>
            </w:r>
            <w:r w:rsidR="0053316D" w:rsidRPr="00A34388">
              <w:rPr>
                <w:rFonts w:cs="Arial"/>
                <w:sz w:val="16"/>
                <w:szCs w:val="16"/>
                <w:lang w:val="es-ES_tradnl" w:bidi="th-TH"/>
              </w:rPr>
              <w:t xml:space="preserve">compromiso de la OMPI de reducir </w:t>
            </w:r>
            <w:r w:rsidRPr="00A34388">
              <w:rPr>
                <w:rFonts w:cs="Arial"/>
                <w:sz w:val="16"/>
                <w:szCs w:val="16"/>
                <w:lang w:val="es-ES_tradnl" w:bidi="th-TH"/>
              </w:rPr>
              <w:t xml:space="preserve">los </w:t>
            </w:r>
            <w:r w:rsidR="0053316D" w:rsidRPr="00A34388">
              <w:rPr>
                <w:rFonts w:cs="Arial"/>
                <w:sz w:val="16"/>
                <w:szCs w:val="16"/>
                <w:lang w:val="es-ES_tradnl" w:bidi="th-TH"/>
              </w:rPr>
              <w:t xml:space="preserve">costos de viajes, durante el bienio se ha realizado un esfuerzo concertado para </w:t>
            </w:r>
            <w:r w:rsidRPr="00A34388">
              <w:rPr>
                <w:rFonts w:cs="Arial"/>
                <w:sz w:val="16"/>
                <w:szCs w:val="16"/>
                <w:lang w:val="es-ES_tradnl" w:bidi="th-TH"/>
              </w:rPr>
              <w:t xml:space="preserve">recurrir </w:t>
            </w:r>
            <w:r w:rsidR="007E07E4" w:rsidRPr="00A34388">
              <w:rPr>
                <w:rFonts w:cs="Arial"/>
                <w:sz w:val="16"/>
                <w:szCs w:val="16"/>
                <w:lang w:val="es-ES_tradnl" w:bidi="th-TH"/>
              </w:rPr>
              <w:t xml:space="preserve">en mayor medida </w:t>
            </w:r>
            <w:r w:rsidRPr="00A34388">
              <w:rPr>
                <w:rFonts w:cs="Arial"/>
                <w:sz w:val="16"/>
                <w:szCs w:val="16"/>
                <w:lang w:val="es-ES_tradnl" w:bidi="th-TH"/>
              </w:rPr>
              <w:t xml:space="preserve">a </w:t>
            </w:r>
            <w:r w:rsidR="0053316D" w:rsidRPr="00A34388">
              <w:rPr>
                <w:rFonts w:cs="Arial"/>
                <w:sz w:val="16"/>
                <w:szCs w:val="16"/>
                <w:lang w:val="es-ES_tradnl" w:bidi="th-TH"/>
              </w:rPr>
              <w:t>las tecnologías de conferencias electrónicas:</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Videoconferencias:</w:t>
            </w:r>
          </w:p>
          <w:p w:rsidR="0053316D" w:rsidRPr="00A34388" w:rsidRDefault="0053316D" w:rsidP="0053316D">
            <w:pPr>
              <w:pStyle w:val="ListParagraph"/>
              <w:numPr>
                <w:ilvl w:val="0"/>
                <w:numId w:val="83"/>
              </w:numPr>
              <w:spacing w:line="276" w:lineRule="auto"/>
              <w:rPr>
                <w:rFonts w:cs="Arial"/>
                <w:sz w:val="16"/>
                <w:szCs w:val="16"/>
                <w:lang w:val="es-ES_tradnl" w:bidi="th-TH"/>
              </w:rPr>
            </w:pPr>
            <w:r w:rsidRPr="00A34388">
              <w:rPr>
                <w:rFonts w:cs="Arial"/>
                <w:sz w:val="16"/>
                <w:szCs w:val="16"/>
                <w:lang w:val="es-ES_tradnl" w:bidi="th-TH"/>
              </w:rPr>
              <w:t>2012:  49 llamadas, con un total de 73 horas</w:t>
            </w:r>
          </w:p>
          <w:p w:rsidR="0053316D" w:rsidRPr="00A34388" w:rsidRDefault="0053316D" w:rsidP="0053316D">
            <w:pPr>
              <w:pStyle w:val="ListParagraph"/>
              <w:numPr>
                <w:ilvl w:val="0"/>
                <w:numId w:val="83"/>
              </w:numPr>
              <w:spacing w:line="276" w:lineRule="auto"/>
              <w:rPr>
                <w:rFonts w:cs="Arial"/>
                <w:sz w:val="16"/>
                <w:szCs w:val="16"/>
                <w:lang w:val="es-ES_tradnl" w:bidi="th-TH"/>
              </w:rPr>
            </w:pPr>
            <w:r w:rsidRPr="00A34388">
              <w:rPr>
                <w:rFonts w:cs="Arial"/>
                <w:sz w:val="16"/>
                <w:szCs w:val="16"/>
                <w:lang w:val="es-ES_tradnl" w:bidi="th-TH"/>
              </w:rPr>
              <w:t>2013:  57 llamadas, con un total de 94 horas</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A través de las aplicaciones WebEx/GoToMeeting:</w:t>
            </w:r>
          </w:p>
          <w:p w:rsidR="0053316D" w:rsidRPr="00A34388" w:rsidRDefault="0053316D" w:rsidP="0053316D">
            <w:pPr>
              <w:pStyle w:val="ListParagraph"/>
              <w:numPr>
                <w:ilvl w:val="0"/>
                <w:numId w:val="83"/>
              </w:numPr>
              <w:spacing w:line="276" w:lineRule="auto"/>
              <w:rPr>
                <w:rFonts w:cs="Arial"/>
                <w:sz w:val="16"/>
                <w:szCs w:val="16"/>
                <w:lang w:val="es-ES_tradnl" w:bidi="th-TH"/>
              </w:rPr>
            </w:pPr>
            <w:r w:rsidRPr="00A34388">
              <w:rPr>
                <w:rFonts w:cs="Arial"/>
                <w:sz w:val="16"/>
                <w:szCs w:val="16"/>
                <w:lang w:val="es-ES_tradnl" w:bidi="th-TH"/>
              </w:rPr>
              <w:t xml:space="preserve">2012:  51 actos (15 reuniones; </w:t>
            </w:r>
            <w:r w:rsidR="00267DA6" w:rsidRPr="00A34388">
              <w:rPr>
                <w:rFonts w:cs="Arial"/>
                <w:sz w:val="16"/>
                <w:szCs w:val="16"/>
                <w:lang w:val="es-ES_tradnl" w:bidi="th-TH"/>
              </w:rPr>
              <w:t xml:space="preserve"> </w:t>
            </w:r>
            <w:r w:rsidRPr="00A34388">
              <w:rPr>
                <w:rFonts w:cs="Arial"/>
                <w:sz w:val="16"/>
                <w:szCs w:val="16"/>
                <w:lang w:val="es-ES_tradnl" w:bidi="th-TH"/>
              </w:rPr>
              <w:t xml:space="preserve">36 entrevistas de candidatos (RR.HH.)) </w:t>
            </w:r>
          </w:p>
          <w:p w:rsidR="0053316D" w:rsidRPr="00A34388" w:rsidRDefault="0053316D" w:rsidP="0053316D">
            <w:pPr>
              <w:pStyle w:val="ListParagraph"/>
              <w:numPr>
                <w:ilvl w:val="0"/>
                <w:numId w:val="83"/>
              </w:numPr>
              <w:spacing w:line="276" w:lineRule="auto"/>
              <w:rPr>
                <w:rFonts w:cs="Arial"/>
                <w:sz w:val="16"/>
                <w:szCs w:val="16"/>
                <w:lang w:val="es-ES_tradnl" w:bidi="th-TH"/>
              </w:rPr>
            </w:pPr>
            <w:r w:rsidRPr="00A34388">
              <w:rPr>
                <w:rFonts w:cs="Arial"/>
                <w:sz w:val="16"/>
                <w:szCs w:val="16"/>
                <w:lang w:val="es-ES_tradnl" w:bidi="th-TH"/>
              </w:rPr>
              <w:t xml:space="preserve">2013:  63 actos (26 reuniones; </w:t>
            </w:r>
            <w:r w:rsidR="00267DA6" w:rsidRPr="00A34388">
              <w:rPr>
                <w:rFonts w:cs="Arial"/>
                <w:sz w:val="16"/>
                <w:szCs w:val="16"/>
                <w:lang w:val="es-ES_tradnl" w:bidi="th-TH"/>
              </w:rPr>
              <w:t xml:space="preserve"> </w:t>
            </w:r>
            <w:r w:rsidRPr="00A34388">
              <w:rPr>
                <w:rFonts w:cs="Arial"/>
                <w:sz w:val="16"/>
                <w:szCs w:val="16"/>
                <w:lang w:val="es-ES_tradnl" w:bidi="th-TH"/>
              </w:rPr>
              <w:t xml:space="preserve">37 entrevistas de candidatos (RR.HH.))  </w:t>
            </w:r>
          </w:p>
        </w:tc>
        <w:tc>
          <w:tcPr>
            <w:tcW w:w="682" w:type="pct"/>
            <w:gridSpan w:val="2"/>
            <w:tcBorders>
              <w:top w:val="single" w:sz="4" w:space="0" w:color="auto"/>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after="120" w:line="276" w:lineRule="auto"/>
              <w:jc w:val="center"/>
              <w:rPr>
                <w:rFonts w:cs="Arial"/>
                <w:bCs/>
                <w:sz w:val="16"/>
                <w:szCs w:val="16"/>
                <w:lang w:val="es-ES_tradnl"/>
              </w:rPr>
            </w:pPr>
            <w:r w:rsidRPr="00332758">
              <w:rPr>
                <w:rStyle w:val="Style5"/>
                <w:rFonts w:cs="Arial"/>
                <w:sz w:val="16"/>
                <w:szCs w:val="16"/>
                <w:lang w:val="es-ES_tradnl"/>
              </w:rPr>
              <w:t>No mensurable</w:t>
            </w:r>
          </w:p>
        </w:tc>
      </w:tr>
      <w:tr w:rsidR="0053316D" w:rsidRPr="00A34388" w:rsidTr="0053316D">
        <w:trPr>
          <w:cantSplit/>
        </w:trPr>
        <w:tc>
          <w:tcPr>
            <w:tcW w:w="836" w:type="pct"/>
            <w:tcBorders>
              <w:top w:val="nil"/>
              <w:left w:val="single" w:sz="4" w:space="0" w:color="auto"/>
              <w:bottom w:val="nil"/>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Alquiler de espacios de trabajo adicionales e instalaciones conexas (sobre la base del mismo número de empleados de nómina registrado a fines de 2011).</w:t>
            </w:r>
            <w:r w:rsidRPr="00A34388">
              <w:rPr>
                <w:rFonts w:cs="Arial"/>
                <w:sz w:val="16"/>
                <w:szCs w:val="16"/>
                <w:lang w:val="es-ES_tradnl"/>
              </w:rPr>
              <w:t xml:space="preserve"> </w:t>
            </w:r>
          </w:p>
          <w:p w:rsidR="0053316D" w:rsidRPr="00A34388" w:rsidRDefault="0053316D">
            <w:pPr>
              <w:spacing w:line="276" w:lineRule="auto"/>
              <w:rPr>
                <w:rFonts w:cs="Arial"/>
                <w:sz w:val="16"/>
                <w:szCs w:val="16"/>
                <w:lang w:val="es-ES_tradnl"/>
              </w:rPr>
            </w:pPr>
          </w:p>
        </w:tc>
        <w:tc>
          <w:tcPr>
            <w:tcW w:w="900" w:type="pct"/>
            <w:tcBorders>
              <w:top w:val="nil"/>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80 espacios de trabajo</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pPr>
              <w:spacing w:line="276" w:lineRule="auto"/>
              <w:rPr>
                <w:rFonts w:ascii="ArialMT" w:hAnsi="ArialMT" w:cs="ArialMT"/>
                <w:sz w:val="16"/>
                <w:szCs w:val="16"/>
                <w:lang w:val="es-ES_tradnl"/>
              </w:rPr>
            </w:pPr>
            <w:r w:rsidRPr="00332758">
              <w:rPr>
                <w:rFonts w:ascii="ArialMT" w:hAnsi="ArialMT" w:cs="ArialMT"/>
                <w:sz w:val="16"/>
                <w:szCs w:val="16"/>
                <w:lang w:val="es-ES_tradnl"/>
              </w:rPr>
              <w:t>80 espacios de trabajo</w:t>
            </w:r>
          </w:p>
        </w:tc>
        <w:tc>
          <w:tcPr>
            <w:tcW w:w="18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rsidP="002B591B">
            <w:pPr>
              <w:spacing w:line="276" w:lineRule="auto"/>
              <w:rPr>
                <w:rFonts w:cs="Arial"/>
                <w:sz w:val="16"/>
                <w:szCs w:val="16"/>
                <w:lang w:val="es-ES_tradnl"/>
              </w:rPr>
            </w:pPr>
            <w:r w:rsidRPr="00A34388">
              <w:rPr>
                <w:rFonts w:cs="Arial"/>
                <w:sz w:val="16"/>
                <w:szCs w:val="16"/>
                <w:lang w:val="es-ES_tradnl"/>
              </w:rPr>
              <w:t>80 espacios de trabajo (</w:t>
            </w:r>
            <w:r w:rsidR="002B591B" w:rsidRPr="00A34388">
              <w:rPr>
                <w:rFonts w:cs="Arial"/>
                <w:sz w:val="16"/>
                <w:szCs w:val="16"/>
                <w:lang w:val="es-ES_tradnl"/>
              </w:rPr>
              <w:t>n</w:t>
            </w:r>
            <w:r w:rsidRPr="00A34388">
              <w:rPr>
                <w:rFonts w:cs="Arial"/>
                <w:sz w:val="16"/>
                <w:szCs w:val="16"/>
                <w:lang w:val="es-ES_tradnl"/>
              </w:rPr>
              <w:t>o fue necesario alquilar espacio adicional para oficinas  durante el bienio).</w:t>
            </w:r>
          </w:p>
        </w:tc>
        <w:tc>
          <w:tcPr>
            <w:tcW w:w="682" w:type="pct"/>
            <w:gridSpan w:val="2"/>
            <w:tcBorders>
              <w:top w:val="nil"/>
              <w:left w:val="nil"/>
              <w:bottom w:val="nil"/>
              <w:right w:val="single" w:sz="4" w:space="0" w:color="auto"/>
            </w:tcBorders>
            <w:hideMark/>
          </w:tcPr>
          <w:p w:rsidR="0053316D" w:rsidRPr="00A34388" w:rsidRDefault="0053316D">
            <w:pPr>
              <w:keepNext/>
              <w:keepLines/>
              <w:spacing w:line="276" w:lineRule="auto"/>
              <w:jc w:val="center"/>
              <w:rPr>
                <w:rFonts w:cs="Arial"/>
                <w:bCs/>
                <w:color w:val="333333"/>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53316D">
        <w:trPr>
          <w:cantSplit/>
        </w:trPr>
        <w:tc>
          <w:tcPr>
            <w:tcW w:w="836" w:type="pct"/>
            <w:tcBorders>
              <w:top w:val="nil"/>
              <w:left w:val="single" w:sz="4" w:space="0" w:color="auto"/>
              <w:bottom w:val="single" w:sz="4" w:space="0" w:color="auto"/>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Número de instalaciones técnicas principales (eléctricas, sanitarias, calefacción y refrigeración) que sido objeto de mejoras conforme a las normas aplicables (por definir).</w:t>
            </w:r>
          </w:p>
          <w:p w:rsidR="0053316D" w:rsidRPr="00A34388" w:rsidRDefault="0053316D">
            <w:pPr>
              <w:spacing w:line="276" w:lineRule="auto"/>
              <w:rPr>
                <w:rFonts w:cs="Arial"/>
                <w:sz w:val="16"/>
                <w:szCs w:val="16"/>
                <w:lang w:val="es-ES_tradnl"/>
              </w:rPr>
            </w:pPr>
          </w:p>
        </w:tc>
        <w:tc>
          <w:tcPr>
            <w:tcW w:w="900" w:type="pct"/>
            <w:tcBorders>
              <w:top w:val="nil"/>
              <w:left w:val="nil"/>
              <w:bottom w:val="single" w:sz="4" w:space="0" w:color="auto"/>
              <w:right w:val="nil"/>
            </w:tcBorders>
          </w:tcPr>
          <w:p w:rsidR="0053316D" w:rsidRPr="00B263E7" w:rsidRDefault="0053316D">
            <w:pPr>
              <w:spacing w:line="276" w:lineRule="auto"/>
              <w:rPr>
                <w:rFonts w:cs="Arial"/>
                <w:color w:val="002060"/>
                <w:sz w:val="16"/>
                <w:szCs w:val="16"/>
                <w:lang w:val="es-ES_tradnl"/>
              </w:rPr>
            </w:pPr>
            <w:r w:rsidRPr="00B263E7">
              <w:rPr>
                <w:i/>
                <w:color w:val="002060"/>
                <w:sz w:val="16"/>
                <w:szCs w:val="16"/>
                <w:lang w:val="es-ES_tradnl"/>
              </w:rPr>
              <w:t>Referencia actualizada a finales de 2011:</w:t>
            </w:r>
            <w:r w:rsidRPr="00B263E7">
              <w:rPr>
                <w:color w:val="002060"/>
                <w:sz w:val="16"/>
                <w:szCs w:val="16"/>
                <w:lang w:val="es-ES_tradnl"/>
              </w:rPr>
              <w:t xml:space="preserve">  </w:t>
            </w:r>
            <w:r w:rsidRPr="00B263E7">
              <w:rPr>
                <w:rFonts w:cs="Arial"/>
                <w:color w:val="002060"/>
                <w:sz w:val="16"/>
                <w:szCs w:val="16"/>
                <w:lang w:val="es-ES_tradnl"/>
              </w:rPr>
              <w:t>Modernización o sustitución de una instalación de refrigeración por lo menos en un edificio con objeto de cumplir la norma establecida en virtud de los requisitos de la instalación que utiliza el agua del Lago Lemán.  Se han de definir normas adicionales para otras instalaciones.</w:t>
            </w:r>
          </w:p>
          <w:p w:rsidR="0053316D" w:rsidRPr="00A34388" w:rsidRDefault="0053316D">
            <w:pPr>
              <w:spacing w:line="276" w:lineRule="auto"/>
              <w:rPr>
                <w:color w:val="002060"/>
                <w:sz w:val="8"/>
                <w:szCs w:val="8"/>
                <w:lang w:val="es-ES_tradnl"/>
              </w:rPr>
            </w:pPr>
          </w:p>
          <w:p w:rsidR="0053316D" w:rsidRPr="00A34388" w:rsidRDefault="0053316D">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 xml:space="preserve">presupuesto por programas 2012/13: </w:t>
            </w:r>
            <w:r w:rsidR="007E4D96" w:rsidRPr="00A34388">
              <w:rPr>
                <w:rFonts w:cs="Arial"/>
                <w:i/>
                <w:sz w:val="16"/>
                <w:szCs w:val="16"/>
                <w:lang w:val="es-ES_tradnl"/>
              </w:rPr>
              <w:t xml:space="preserve"> </w:t>
            </w:r>
            <w:r w:rsidRPr="00A34388">
              <w:rPr>
                <w:rFonts w:cs="Arial"/>
                <w:i/>
                <w:sz w:val="16"/>
                <w:szCs w:val="16"/>
                <w:lang w:val="es-ES_tradnl"/>
              </w:rPr>
              <w:t>n/a</w:t>
            </w:r>
          </w:p>
          <w:p w:rsidR="0053316D" w:rsidRPr="00A34388" w:rsidRDefault="0053316D">
            <w:pPr>
              <w:spacing w:line="276" w:lineRule="auto"/>
              <w:rPr>
                <w:rFonts w:cs="Arial"/>
                <w:sz w:val="16"/>
                <w:szCs w:val="16"/>
                <w:lang w:val="es-ES_tradnl"/>
              </w:rPr>
            </w:pPr>
          </w:p>
        </w:tc>
        <w:tc>
          <w:tcPr>
            <w:tcW w:w="764" w:type="pct"/>
            <w:gridSpan w:val="2"/>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n.d.</w:t>
            </w:r>
          </w:p>
        </w:tc>
        <w:tc>
          <w:tcPr>
            <w:tcW w:w="1818"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rPr>
            </w:pPr>
            <w:r w:rsidRPr="00A34388">
              <w:rPr>
                <w:rFonts w:cs="Arial"/>
                <w:sz w:val="16"/>
                <w:szCs w:val="16"/>
                <w:lang w:val="es-ES_tradnl"/>
              </w:rPr>
              <w:t xml:space="preserve">Las instalaciones de refrigeración de los edificios GBI y GBII que utilizan agua del lago Lemán fueron </w:t>
            </w:r>
            <w:r w:rsidR="00F47CF6" w:rsidRPr="00A34388">
              <w:rPr>
                <w:rFonts w:cs="Arial"/>
                <w:sz w:val="16"/>
                <w:szCs w:val="16"/>
                <w:lang w:val="es-ES_tradnl"/>
              </w:rPr>
              <w:t xml:space="preserve">modernizadas </w:t>
            </w:r>
            <w:r w:rsidRPr="00A34388">
              <w:rPr>
                <w:rFonts w:cs="Arial"/>
                <w:sz w:val="16"/>
                <w:szCs w:val="16"/>
                <w:lang w:val="es-ES_tradnl"/>
              </w:rPr>
              <w:t>y quedaron completadas, respectivamente, en 2012 y en junio de 2013.</w:t>
            </w:r>
          </w:p>
          <w:p w:rsidR="0053316D" w:rsidRPr="00A34388" w:rsidRDefault="0053316D">
            <w:pPr>
              <w:spacing w:line="276" w:lineRule="auto"/>
              <w:rPr>
                <w:rFonts w:cs="Arial"/>
                <w:sz w:val="16"/>
                <w:szCs w:val="16"/>
                <w:lang w:val="es-ES_tradnl"/>
              </w:rPr>
            </w:pPr>
          </w:p>
          <w:p w:rsidR="0053316D" w:rsidRPr="00A34388" w:rsidRDefault="0053316D">
            <w:pPr>
              <w:spacing w:line="276" w:lineRule="auto"/>
              <w:rPr>
                <w:rFonts w:cs="Arial"/>
                <w:sz w:val="16"/>
                <w:szCs w:val="16"/>
                <w:lang w:val="es-ES_tradnl"/>
              </w:rPr>
            </w:pPr>
            <w:r w:rsidRPr="00332758">
              <w:rPr>
                <w:rFonts w:cs="Arial"/>
                <w:sz w:val="16"/>
                <w:szCs w:val="16"/>
                <w:lang w:val="es-ES_tradnl"/>
              </w:rPr>
              <w:t xml:space="preserve">Se inició </w:t>
            </w:r>
            <w:r w:rsidR="00675CDF" w:rsidRPr="00332758">
              <w:rPr>
                <w:rFonts w:cs="Arial"/>
                <w:sz w:val="16"/>
                <w:szCs w:val="16"/>
                <w:lang w:val="es-ES_tradnl"/>
              </w:rPr>
              <w:t xml:space="preserve">en 2012 </w:t>
            </w:r>
            <w:r w:rsidRPr="00332758">
              <w:rPr>
                <w:rFonts w:cs="Arial"/>
                <w:sz w:val="16"/>
                <w:szCs w:val="16"/>
                <w:lang w:val="es-ES_tradnl"/>
              </w:rPr>
              <w:t>la modernización de las  instalaciones eléctricas del edificio más antiguo (GBI) con objeto de cumplir la legislación local que había sido promulgada recientemente, con el beneficio añadido de establecer un marco técnico para la reducción del consumo de electricidad.</w:t>
            </w:r>
            <w:r w:rsidRPr="00A34388">
              <w:rPr>
                <w:rFonts w:cs="Arial"/>
                <w:sz w:val="16"/>
                <w:szCs w:val="16"/>
                <w:lang w:val="es-ES_tradnl"/>
              </w:rPr>
              <w:t xml:space="preserve"> </w:t>
            </w:r>
            <w:r w:rsidR="00537926" w:rsidRPr="00A34388">
              <w:rPr>
                <w:rFonts w:cs="Arial"/>
                <w:sz w:val="16"/>
                <w:szCs w:val="16"/>
                <w:lang w:val="es-ES_tradnl"/>
              </w:rPr>
              <w:t xml:space="preserve"> </w:t>
            </w:r>
            <w:r w:rsidRPr="00A34388">
              <w:rPr>
                <w:rFonts w:cs="Arial"/>
                <w:sz w:val="16"/>
                <w:szCs w:val="16"/>
                <w:lang w:val="es-ES_tradnl"/>
              </w:rPr>
              <w:t>Quedó finalizada en 2013.</w:t>
            </w:r>
          </w:p>
        </w:tc>
        <w:tc>
          <w:tcPr>
            <w:tcW w:w="682" w:type="pct"/>
            <w:gridSpan w:val="2"/>
            <w:tcBorders>
              <w:top w:val="nil"/>
              <w:left w:val="nil"/>
              <w:bottom w:val="single" w:sz="4" w:space="0" w:color="auto"/>
              <w:right w:val="single" w:sz="4" w:space="0" w:color="auto"/>
            </w:tcBorders>
            <w:hideMark/>
          </w:tcPr>
          <w:p w:rsidR="0053316D" w:rsidRPr="00A34388" w:rsidRDefault="0053316D">
            <w:pPr>
              <w:keepNext/>
              <w:keepLines/>
              <w:spacing w:line="276" w:lineRule="auto"/>
              <w:jc w:val="center"/>
              <w:rPr>
                <w:rFonts w:cs="Arial"/>
                <w:bCs/>
                <w:color w:val="333333"/>
                <w:sz w:val="16"/>
                <w:szCs w:val="16"/>
                <w:lang w:val="es-ES_tradnl"/>
              </w:rPr>
            </w:pPr>
            <w:r w:rsidRPr="00A34388">
              <w:rPr>
                <w:rStyle w:val="Style5"/>
                <w:rFonts w:cs="Arial"/>
                <w:color w:val="595959" w:themeColor="text1" w:themeTint="A6"/>
                <w:sz w:val="16"/>
                <w:szCs w:val="16"/>
                <w:lang w:val="es-ES_tradnl"/>
              </w:rPr>
              <w:t>No mensurable</w:t>
            </w:r>
          </w:p>
        </w:tc>
      </w:tr>
      <w:tr w:rsidR="0053316D" w:rsidRPr="00A9508D" w:rsidTr="0053316D">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rsidP="00A6031C">
            <w:pPr>
              <w:keepNext/>
              <w:keepLines/>
              <w:tabs>
                <w:tab w:val="left" w:pos="1452"/>
              </w:tabs>
              <w:spacing w:before="120" w:after="120" w:line="276" w:lineRule="auto"/>
              <w:ind w:left="1452" w:hanging="1452"/>
              <w:rPr>
                <w:rFonts w:cs="Arial"/>
                <w:bCs/>
                <w:sz w:val="16"/>
                <w:szCs w:val="16"/>
                <w:lang w:val="es-ES_tradnl"/>
              </w:rPr>
            </w:pPr>
            <w:r w:rsidRPr="00332758">
              <w:rPr>
                <w:rFonts w:cs="Arial"/>
                <w:b/>
                <w:bCs/>
                <w:sz w:val="16"/>
                <w:szCs w:val="16"/>
                <w:lang w:val="es-ES_tradnl"/>
              </w:rPr>
              <w:lastRenderedPageBreak/>
              <w:t>Resultado previsto:</w:t>
            </w:r>
            <w:r w:rsidRPr="00332758">
              <w:rPr>
                <w:rFonts w:cs="Arial"/>
                <w:bCs/>
                <w:sz w:val="16"/>
                <w:szCs w:val="16"/>
                <w:lang w:val="es-ES_tradnl"/>
              </w:rPr>
              <w:t xml:space="preserve">  Reducción de las repercusiones de las actividades de la OMPI sobre el medio ambiente.</w:t>
            </w:r>
          </w:p>
        </w:tc>
      </w:tr>
      <w:tr w:rsidR="0053316D" w:rsidRPr="00A34388" w:rsidTr="0053316D">
        <w:trPr>
          <w:cantSplit/>
        </w:trPr>
        <w:tc>
          <w:tcPr>
            <w:tcW w:w="836" w:type="pct"/>
            <w:tcBorders>
              <w:top w:val="single" w:sz="4" w:space="0" w:color="auto"/>
              <w:left w:val="single" w:sz="4" w:space="0" w:color="auto"/>
              <w:bottom w:val="nil"/>
              <w:right w:val="nil"/>
            </w:tcBorders>
            <w:vAlign w:val="center"/>
            <w:hideMark/>
          </w:tcPr>
          <w:p w:rsidR="0053316D" w:rsidRPr="00A34388" w:rsidRDefault="0053316D" w:rsidP="00A6031C">
            <w:pPr>
              <w:keepNext/>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00" w:type="pct"/>
            <w:tcBorders>
              <w:top w:val="single" w:sz="4" w:space="0" w:color="auto"/>
              <w:left w:val="nil"/>
              <w:bottom w:val="nil"/>
              <w:right w:val="nil"/>
            </w:tcBorders>
            <w:vAlign w:val="center"/>
            <w:hideMark/>
          </w:tcPr>
          <w:p w:rsidR="0053316D" w:rsidRPr="00A34388" w:rsidRDefault="0053316D" w:rsidP="00A6031C">
            <w:pPr>
              <w:keepNext/>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764" w:type="pct"/>
            <w:gridSpan w:val="2"/>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rsidP="00A6031C">
            <w:pPr>
              <w:keepNext/>
              <w:spacing w:line="276" w:lineRule="auto"/>
              <w:rPr>
                <w:rFonts w:cs="Arial"/>
                <w:b/>
                <w:color w:val="808080"/>
                <w:sz w:val="16"/>
                <w:szCs w:val="16"/>
                <w:lang w:val="es-ES_tradnl"/>
              </w:rPr>
            </w:pPr>
            <w:r w:rsidRPr="00332758">
              <w:rPr>
                <w:rFonts w:cs="Arial"/>
                <w:b/>
                <w:sz w:val="16"/>
                <w:szCs w:val="16"/>
                <w:lang w:val="es-ES_tradnl"/>
              </w:rPr>
              <w:t>Objetivos</w:t>
            </w:r>
          </w:p>
        </w:tc>
        <w:tc>
          <w:tcPr>
            <w:tcW w:w="18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rsidP="00A6031C">
            <w:pPr>
              <w:keepNext/>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gridSpan w:val="2"/>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rsidP="00A6031C">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36" w:type="pct"/>
            <w:tcBorders>
              <w:top w:val="nil"/>
              <w:left w:val="single" w:sz="4" w:space="0" w:color="auto"/>
              <w:bottom w:val="nil"/>
              <w:right w:val="nil"/>
            </w:tcBorders>
            <w:hideMark/>
          </w:tcPr>
          <w:p w:rsidR="0053316D" w:rsidRPr="00A34388" w:rsidRDefault="0053316D" w:rsidP="00A6031C">
            <w:pPr>
              <w:keepNext/>
              <w:spacing w:line="276" w:lineRule="auto"/>
              <w:rPr>
                <w:rFonts w:cs="Arial"/>
                <w:sz w:val="16"/>
                <w:szCs w:val="16"/>
                <w:lang w:val="es-ES_tradnl"/>
              </w:rPr>
            </w:pPr>
            <w:r w:rsidRPr="00332758">
              <w:rPr>
                <w:rFonts w:cs="Arial"/>
                <w:sz w:val="16"/>
                <w:szCs w:val="16"/>
                <w:lang w:val="es-ES_tradnl"/>
              </w:rPr>
              <w:t>Número de programas dotados de indicadores, referencias de base y objetivos relativos a la mejora ambiental.</w:t>
            </w:r>
            <w:r w:rsidRPr="00A34388">
              <w:rPr>
                <w:rFonts w:cs="Arial"/>
                <w:sz w:val="16"/>
                <w:szCs w:val="16"/>
                <w:lang w:val="es-ES_tradnl"/>
              </w:rPr>
              <w:t xml:space="preserve">  </w:t>
            </w:r>
          </w:p>
        </w:tc>
        <w:tc>
          <w:tcPr>
            <w:tcW w:w="900" w:type="pct"/>
            <w:tcBorders>
              <w:top w:val="nil"/>
              <w:left w:val="nil"/>
              <w:bottom w:val="nil"/>
              <w:right w:val="nil"/>
            </w:tcBorders>
          </w:tcPr>
          <w:p w:rsidR="0053316D" w:rsidRPr="00A34388" w:rsidRDefault="0053316D" w:rsidP="00A6031C">
            <w:pPr>
              <w:keepNext/>
              <w:spacing w:line="276" w:lineRule="auto"/>
              <w:rPr>
                <w:color w:val="002060"/>
                <w:sz w:val="16"/>
                <w:szCs w:val="16"/>
                <w:lang w:val="es-ES_tradnl"/>
              </w:rPr>
            </w:pPr>
            <w:r w:rsidRPr="00A34388">
              <w:rPr>
                <w:i/>
                <w:color w:val="002060"/>
                <w:sz w:val="16"/>
                <w:szCs w:val="16"/>
                <w:lang w:val="es-ES_tradnl"/>
              </w:rPr>
              <w:t>Referencia actualizada a finales de 2011:</w:t>
            </w:r>
            <w:r w:rsidRPr="00A34388">
              <w:rPr>
                <w:color w:val="002060"/>
                <w:sz w:val="16"/>
                <w:szCs w:val="16"/>
                <w:lang w:val="es-ES_tradnl"/>
              </w:rPr>
              <w:t xml:space="preserve">  cuatro programas </w:t>
            </w:r>
            <w:r w:rsidRPr="00A34388">
              <w:rPr>
                <w:rFonts w:cs="Arial"/>
                <w:color w:val="002060"/>
                <w:sz w:val="16"/>
                <w:szCs w:val="16"/>
                <w:lang w:val="es-ES_tradnl"/>
              </w:rPr>
              <w:t>en 2011</w:t>
            </w:r>
          </w:p>
          <w:p w:rsidR="0053316D" w:rsidRPr="00A34388" w:rsidRDefault="0053316D" w:rsidP="00A6031C">
            <w:pPr>
              <w:keepNext/>
              <w:spacing w:line="276" w:lineRule="auto"/>
              <w:rPr>
                <w:color w:val="002060"/>
                <w:sz w:val="8"/>
                <w:szCs w:val="8"/>
                <w:lang w:val="es-ES_tradnl"/>
              </w:rPr>
            </w:pPr>
          </w:p>
          <w:p w:rsidR="0053316D" w:rsidRPr="00A34388" w:rsidRDefault="0053316D" w:rsidP="00A6031C">
            <w:pPr>
              <w:keepNext/>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presupuesto por programas 2012/13:</w:t>
            </w:r>
            <w:r w:rsidRPr="00A34388">
              <w:rPr>
                <w:rFonts w:cs="Arial"/>
                <w:sz w:val="16"/>
                <w:szCs w:val="16"/>
                <w:lang w:val="es-ES_tradnl"/>
              </w:rPr>
              <w:br/>
            </w:r>
            <w:r w:rsidR="00127ECC" w:rsidRPr="00A34388">
              <w:rPr>
                <w:rFonts w:cs="Arial"/>
                <w:sz w:val="16"/>
                <w:szCs w:val="16"/>
                <w:lang w:val="es-ES_tradnl"/>
              </w:rPr>
              <w:t xml:space="preserve">Por </w:t>
            </w:r>
            <w:r w:rsidRPr="00A34388">
              <w:rPr>
                <w:rFonts w:cs="Arial"/>
                <w:sz w:val="16"/>
                <w:szCs w:val="16"/>
                <w:lang w:val="es-ES_tradnl"/>
              </w:rPr>
              <w:t xml:space="preserve">determinar a </w:t>
            </w:r>
            <w:r w:rsidR="00127ECC" w:rsidRPr="00A34388">
              <w:rPr>
                <w:rFonts w:cs="Arial"/>
                <w:sz w:val="16"/>
                <w:szCs w:val="16"/>
                <w:lang w:val="es-ES_tradnl"/>
              </w:rPr>
              <w:t xml:space="preserve">fines </w:t>
            </w:r>
            <w:r w:rsidRPr="00A34388">
              <w:rPr>
                <w:rFonts w:cs="Arial"/>
                <w:sz w:val="16"/>
                <w:szCs w:val="16"/>
                <w:lang w:val="es-ES_tradnl"/>
              </w:rPr>
              <w:t>de 2011</w:t>
            </w:r>
          </w:p>
        </w:tc>
        <w:tc>
          <w:tcPr>
            <w:tcW w:w="764" w:type="pct"/>
            <w:gridSpan w:val="2"/>
            <w:tcBorders>
              <w:top w:val="nil"/>
              <w:left w:val="nil"/>
              <w:bottom w:val="nil"/>
              <w:right w:val="nil"/>
            </w:tcBorders>
            <w:tcMar>
              <w:top w:w="110" w:type="dxa"/>
              <w:left w:w="108" w:type="dxa"/>
              <w:bottom w:w="0" w:type="dxa"/>
              <w:right w:w="108" w:type="dxa"/>
            </w:tcMar>
            <w:hideMark/>
          </w:tcPr>
          <w:p w:rsidR="0053316D" w:rsidRPr="00A34388" w:rsidRDefault="0053316D" w:rsidP="00A6031C">
            <w:pPr>
              <w:keepNext/>
              <w:spacing w:line="276" w:lineRule="auto"/>
              <w:rPr>
                <w:rFonts w:cs="Arial"/>
                <w:sz w:val="16"/>
                <w:szCs w:val="16"/>
                <w:lang w:val="es-ES_tradnl"/>
              </w:rPr>
            </w:pPr>
            <w:r w:rsidRPr="00A34388">
              <w:rPr>
                <w:rFonts w:cs="Arial"/>
                <w:sz w:val="16"/>
                <w:szCs w:val="16"/>
                <w:lang w:val="es-ES_tradnl"/>
              </w:rPr>
              <w:t>Todos los programas</w:t>
            </w:r>
          </w:p>
        </w:tc>
        <w:tc>
          <w:tcPr>
            <w:tcW w:w="1818" w:type="pct"/>
            <w:tcBorders>
              <w:top w:val="nil"/>
              <w:left w:val="nil"/>
              <w:bottom w:val="nil"/>
              <w:right w:val="nil"/>
            </w:tcBorders>
            <w:shd w:val="clear" w:color="auto" w:fill="FFFFFF"/>
            <w:tcMar>
              <w:top w:w="110" w:type="dxa"/>
              <w:left w:w="108" w:type="dxa"/>
              <w:bottom w:w="0" w:type="dxa"/>
              <w:right w:w="108" w:type="dxa"/>
            </w:tcMar>
          </w:tcPr>
          <w:p w:rsidR="0053316D" w:rsidRPr="00A34388" w:rsidRDefault="0053316D" w:rsidP="00A6031C">
            <w:pPr>
              <w:keepNext/>
              <w:spacing w:line="276" w:lineRule="auto"/>
              <w:rPr>
                <w:rFonts w:cs="Arial"/>
                <w:sz w:val="16"/>
                <w:szCs w:val="16"/>
                <w:lang w:val="es-ES_tradnl" w:bidi="th-TH"/>
              </w:rPr>
            </w:pPr>
            <w:r w:rsidRPr="00332758">
              <w:rPr>
                <w:rFonts w:cs="Arial"/>
                <w:sz w:val="16"/>
                <w:szCs w:val="16"/>
                <w:lang w:val="es-ES_tradnl" w:bidi="th-TH"/>
              </w:rPr>
              <w:t>En cuatro programas de 2012 se reflejó la responsabilidad ambiental:</w:t>
            </w:r>
          </w:p>
          <w:p w:rsidR="0053316D" w:rsidRPr="00A34388" w:rsidRDefault="0053316D" w:rsidP="00A6031C">
            <w:pPr>
              <w:keepNext/>
              <w:spacing w:line="276" w:lineRule="auto"/>
              <w:rPr>
                <w:rFonts w:cs="Arial"/>
                <w:sz w:val="16"/>
                <w:szCs w:val="16"/>
                <w:u w:val="single"/>
                <w:lang w:val="es-ES_tradnl" w:bidi="th-TH"/>
              </w:rPr>
            </w:pPr>
          </w:p>
          <w:p w:rsidR="0053316D" w:rsidRPr="00A34388" w:rsidRDefault="007F2148" w:rsidP="00A6031C">
            <w:pPr>
              <w:keepNext/>
              <w:spacing w:line="276" w:lineRule="auto"/>
              <w:rPr>
                <w:rFonts w:cs="Arial"/>
                <w:sz w:val="16"/>
                <w:szCs w:val="16"/>
                <w:lang w:val="es-ES_tradnl" w:bidi="th-TH"/>
              </w:rPr>
            </w:pPr>
            <w:r w:rsidRPr="00A34388">
              <w:rPr>
                <w:rFonts w:cs="Arial"/>
                <w:sz w:val="16"/>
                <w:szCs w:val="16"/>
                <w:u w:val="single"/>
                <w:lang w:val="es-ES_tradnl" w:bidi="th-TH"/>
              </w:rPr>
              <w:t>Programa 24</w:t>
            </w:r>
            <w:r w:rsidRPr="00A34388">
              <w:rPr>
                <w:rFonts w:cs="Arial"/>
                <w:sz w:val="16"/>
                <w:szCs w:val="16"/>
                <w:lang w:val="es-ES_tradnl" w:bidi="th-TH"/>
              </w:rPr>
              <w:t>:  instalación del sistema de uso de agua del lago Lemán en los edificios GBI y GBII en 2012 y 2013;  se siguió optando por la tarifa eléctrica que supon</w:t>
            </w:r>
            <w:r w:rsidR="002B591B" w:rsidRPr="00A34388">
              <w:rPr>
                <w:rFonts w:cs="Arial"/>
                <w:sz w:val="16"/>
                <w:szCs w:val="16"/>
                <w:lang w:val="es-ES_tradnl" w:bidi="th-TH"/>
              </w:rPr>
              <w:t>e</w:t>
            </w:r>
            <w:r w:rsidRPr="00A34388">
              <w:rPr>
                <w:rFonts w:cs="Arial"/>
                <w:sz w:val="16"/>
                <w:szCs w:val="16"/>
                <w:lang w:val="es-ES_tradnl" w:bidi="th-TH"/>
              </w:rPr>
              <w:t xml:space="preserve"> la mayor contribución a la inversión en energías renovables (para el nuevo edificio);  reducción del 2% del consumo de electricidad gracias a la </w:t>
            </w:r>
            <w:r w:rsidR="002B591B" w:rsidRPr="00A34388">
              <w:rPr>
                <w:rFonts w:cs="Arial"/>
                <w:sz w:val="16"/>
                <w:szCs w:val="16"/>
                <w:lang w:val="es-ES_tradnl" w:bidi="th-TH"/>
              </w:rPr>
              <w:t xml:space="preserve">aplicación </w:t>
            </w:r>
            <w:r w:rsidRPr="00A34388">
              <w:rPr>
                <w:rFonts w:cs="Arial"/>
                <w:sz w:val="16"/>
                <w:szCs w:val="16"/>
                <w:lang w:val="es-ES_tradnl" w:bidi="th-TH"/>
              </w:rPr>
              <w:t xml:space="preserve">de una serie de medidas destinadas a </w:t>
            </w:r>
            <w:r w:rsidR="002B591B" w:rsidRPr="00A34388">
              <w:rPr>
                <w:rFonts w:cs="Arial"/>
                <w:sz w:val="16"/>
                <w:szCs w:val="16"/>
                <w:lang w:val="es-ES_tradnl" w:bidi="th-TH"/>
              </w:rPr>
              <w:t xml:space="preserve">modernizar </w:t>
            </w:r>
            <w:r w:rsidRPr="00A34388">
              <w:rPr>
                <w:rFonts w:cs="Arial"/>
                <w:sz w:val="16"/>
                <w:szCs w:val="16"/>
                <w:lang w:val="es-ES_tradnl" w:bidi="th-TH"/>
              </w:rPr>
              <w:t xml:space="preserve">las instalaciones;  reducción del 7% </w:t>
            </w:r>
            <w:r w:rsidR="00127ECC" w:rsidRPr="00A34388">
              <w:rPr>
                <w:rFonts w:cs="Arial"/>
                <w:sz w:val="16"/>
                <w:szCs w:val="16"/>
                <w:lang w:val="es-ES_tradnl" w:bidi="th-TH"/>
              </w:rPr>
              <w:t>d</w:t>
            </w:r>
            <w:r w:rsidRPr="00A34388">
              <w:rPr>
                <w:rFonts w:cs="Arial"/>
                <w:sz w:val="16"/>
                <w:szCs w:val="16"/>
                <w:lang w:val="es-ES_tradnl" w:bidi="th-TH"/>
              </w:rPr>
              <w:t xml:space="preserve">el consumo de agua </w:t>
            </w:r>
            <w:r w:rsidR="00F47CF6" w:rsidRPr="00A34388">
              <w:rPr>
                <w:rFonts w:cs="Arial"/>
                <w:sz w:val="16"/>
                <w:szCs w:val="16"/>
                <w:lang w:val="es-ES_tradnl" w:bidi="th-TH"/>
              </w:rPr>
              <w:t xml:space="preserve">gracias a </w:t>
            </w:r>
            <w:r w:rsidRPr="00A34388">
              <w:rPr>
                <w:rFonts w:cs="Arial"/>
                <w:sz w:val="16"/>
                <w:szCs w:val="16"/>
                <w:lang w:val="es-ES_tradnl" w:bidi="th-TH"/>
              </w:rPr>
              <w:t xml:space="preserve">la </w:t>
            </w:r>
            <w:r w:rsidR="00F47CF6" w:rsidRPr="00A34388">
              <w:rPr>
                <w:rFonts w:cs="Arial"/>
                <w:sz w:val="16"/>
                <w:szCs w:val="16"/>
                <w:lang w:val="es-ES_tradnl" w:bidi="th-TH"/>
              </w:rPr>
              <w:t xml:space="preserve">modernización </w:t>
            </w:r>
            <w:r w:rsidRPr="00A34388">
              <w:rPr>
                <w:rFonts w:cs="Arial"/>
                <w:sz w:val="16"/>
                <w:szCs w:val="16"/>
                <w:lang w:val="es-ES_tradnl" w:bidi="th-TH"/>
              </w:rPr>
              <w:t>de la instalación de refrigeración en uno de los centros de datos;  inclusión de criterios medioambientales entre los requisitos de las licitaciones y en al menos tres nuevos contratos (servicios de cafetería, máquinas expendedoras, productos de limpieza, etcétera).</w:t>
            </w:r>
          </w:p>
          <w:p w:rsidR="0053316D" w:rsidRPr="00A34388" w:rsidRDefault="0053316D" w:rsidP="00A6031C">
            <w:pPr>
              <w:keepNext/>
              <w:spacing w:line="276" w:lineRule="auto"/>
              <w:rPr>
                <w:rFonts w:cs="Arial"/>
                <w:sz w:val="16"/>
                <w:szCs w:val="16"/>
                <w:lang w:val="es-ES_tradnl" w:bidi="th-TH"/>
              </w:rPr>
            </w:pPr>
          </w:p>
          <w:p w:rsidR="0053316D" w:rsidRPr="00A34388" w:rsidRDefault="0053316D" w:rsidP="00A6031C">
            <w:pPr>
              <w:keepNext/>
              <w:spacing w:line="276" w:lineRule="auto"/>
              <w:rPr>
                <w:rFonts w:cs="Arial"/>
                <w:sz w:val="16"/>
                <w:szCs w:val="16"/>
                <w:lang w:val="es-ES_tradnl" w:bidi="th-TH"/>
              </w:rPr>
            </w:pPr>
            <w:r w:rsidRPr="00A34388">
              <w:rPr>
                <w:rFonts w:cs="Arial"/>
                <w:color w:val="000000"/>
                <w:sz w:val="16"/>
                <w:szCs w:val="16"/>
                <w:u w:val="single"/>
                <w:lang w:val="es-ES_tradnl" w:bidi="th-TH"/>
              </w:rPr>
              <w:t>Programa 29:</w:t>
            </w:r>
            <w:r w:rsidRPr="00332758">
              <w:rPr>
                <w:rFonts w:cs="Arial"/>
                <w:sz w:val="16"/>
                <w:szCs w:val="16"/>
                <w:lang w:val="es-ES_tradnl" w:bidi="th-TH"/>
              </w:rPr>
              <w:t xml:space="preserve">  Se incluyó el sistema de agua del lago Lemán en la fase de construcción de la nueva sala de conferencias y en otras zonas modernizadas del edificio AB.</w:t>
            </w:r>
          </w:p>
          <w:p w:rsidR="0053316D" w:rsidRPr="00A34388" w:rsidRDefault="0053316D" w:rsidP="00A6031C">
            <w:pPr>
              <w:keepNext/>
              <w:spacing w:line="276" w:lineRule="auto"/>
              <w:rPr>
                <w:rFonts w:cs="Arial"/>
                <w:sz w:val="16"/>
                <w:szCs w:val="16"/>
                <w:lang w:val="es-ES_tradnl" w:bidi="th-TH"/>
              </w:rPr>
            </w:pPr>
          </w:p>
          <w:p w:rsidR="0053316D" w:rsidRPr="00A34388" w:rsidRDefault="0053316D" w:rsidP="00A6031C">
            <w:pPr>
              <w:keepNext/>
              <w:spacing w:line="276" w:lineRule="auto"/>
              <w:rPr>
                <w:rFonts w:cs="Arial"/>
                <w:sz w:val="16"/>
                <w:szCs w:val="16"/>
                <w:lang w:val="es-ES_tradnl" w:bidi="th-TH"/>
              </w:rPr>
            </w:pPr>
            <w:r w:rsidRPr="00A34388">
              <w:rPr>
                <w:rFonts w:cs="Arial"/>
                <w:sz w:val="16"/>
                <w:szCs w:val="16"/>
                <w:u w:val="single"/>
                <w:lang w:val="es-ES_tradnl" w:bidi="th-TH"/>
              </w:rPr>
              <w:t>Programa 28</w:t>
            </w:r>
            <w:r w:rsidRPr="00A34388">
              <w:rPr>
                <w:rFonts w:cs="Arial"/>
                <w:sz w:val="16"/>
                <w:szCs w:val="16"/>
                <w:lang w:val="es-ES_tradnl" w:bidi="th-TH"/>
              </w:rPr>
              <w:t>:   Aplicación de un enfoque dinámico consistente en la sustitución de vehículos antiguos por nuevos automóviles híbridos para reducir las emisiones de dióxido de carbono y el consumo de energía.</w:t>
            </w:r>
          </w:p>
          <w:p w:rsidR="0053316D" w:rsidRPr="00A34388" w:rsidRDefault="0053316D" w:rsidP="00A6031C">
            <w:pPr>
              <w:keepNext/>
              <w:spacing w:line="276" w:lineRule="auto"/>
              <w:rPr>
                <w:rFonts w:cs="Arial"/>
                <w:sz w:val="16"/>
                <w:szCs w:val="16"/>
                <w:lang w:val="es-ES_tradnl" w:bidi="th-TH"/>
              </w:rPr>
            </w:pPr>
          </w:p>
          <w:p w:rsidR="0053316D" w:rsidRPr="00A34388" w:rsidRDefault="0053316D" w:rsidP="00A6031C">
            <w:pPr>
              <w:keepNext/>
              <w:spacing w:line="276" w:lineRule="auto"/>
              <w:rPr>
                <w:rFonts w:cs="Arial"/>
                <w:sz w:val="16"/>
                <w:szCs w:val="16"/>
                <w:lang w:val="es-ES_tradnl" w:bidi="th-TH"/>
              </w:rPr>
            </w:pPr>
            <w:r w:rsidRPr="00A34388">
              <w:rPr>
                <w:rFonts w:cs="Arial"/>
                <w:color w:val="000000"/>
                <w:sz w:val="16"/>
                <w:szCs w:val="16"/>
                <w:u w:val="single"/>
                <w:lang w:val="es-ES_tradnl" w:bidi="th-TH"/>
              </w:rPr>
              <w:t>Programa 19:</w:t>
            </w:r>
            <w:r w:rsidRPr="00332758">
              <w:rPr>
                <w:rFonts w:cs="Arial"/>
                <w:sz w:val="16"/>
                <w:szCs w:val="16"/>
                <w:lang w:val="es-ES_tradnl" w:bidi="th-TH"/>
              </w:rPr>
              <w:t xml:space="preserve">  Publicación de varios artículos sobre cuestiones ambientales en la Revista de la OMPI.</w:t>
            </w:r>
          </w:p>
        </w:tc>
        <w:tc>
          <w:tcPr>
            <w:tcW w:w="682" w:type="pct"/>
            <w:gridSpan w:val="2"/>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rsidP="00A6031C">
            <w:pPr>
              <w:keepNext/>
              <w:keepLines/>
              <w:spacing w:line="276" w:lineRule="auto"/>
              <w:jc w:val="center"/>
              <w:rPr>
                <w:rFonts w:cs="Arial"/>
                <w:bCs/>
                <w:sz w:val="16"/>
                <w:szCs w:val="16"/>
                <w:lang w:val="es-ES_tradnl"/>
              </w:rPr>
            </w:pPr>
            <w:r w:rsidRPr="00A34388">
              <w:rPr>
                <w:rFonts w:cs="Arial"/>
                <w:bCs/>
                <w:color w:val="FF0000"/>
                <w:sz w:val="16"/>
                <w:szCs w:val="16"/>
                <w:lang w:val="es-ES_tradnl"/>
              </w:rPr>
              <w:t>No</w:t>
            </w:r>
            <w:r w:rsidRPr="00A34388">
              <w:rPr>
                <w:rFonts w:cs="Arial"/>
                <w:bCs/>
                <w:color w:val="FF0000"/>
                <w:sz w:val="16"/>
                <w:szCs w:val="16"/>
                <w:lang w:val="es-ES_tradnl"/>
              </w:rPr>
              <w:br/>
              <w:t>logrado</w:t>
            </w:r>
          </w:p>
        </w:tc>
      </w:tr>
      <w:tr w:rsidR="0053316D" w:rsidRPr="00A34388" w:rsidTr="0053316D">
        <w:trPr>
          <w:cantSplit/>
        </w:trPr>
        <w:tc>
          <w:tcPr>
            <w:tcW w:w="836"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reducción de las emisiones de carbono respecto del consumo de energía</w:t>
            </w:r>
          </w:p>
        </w:tc>
        <w:tc>
          <w:tcPr>
            <w:tcW w:w="900" w:type="pct"/>
            <w:tcBorders>
              <w:top w:val="nil"/>
              <w:left w:val="nil"/>
              <w:bottom w:val="single" w:sz="4" w:space="0" w:color="auto"/>
              <w:right w:val="nil"/>
            </w:tcBorders>
          </w:tcPr>
          <w:p w:rsidR="0053316D" w:rsidRPr="00472839" w:rsidRDefault="0053316D">
            <w:pPr>
              <w:spacing w:line="276" w:lineRule="auto"/>
              <w:rPr>
                <w:i/>
                <w:color w:val="002060"/>
                <w:sz w:val="16"/>
                <w:szCs w:val="16"/>
                <w:lang w:val="es-ES_tradnl"/>
              </w:rPr>
            </w:pPr>
            <w:r w:rsidRPr="00472839">
              <w:rPr>
                <w:i/>
                <w:color w:val="002060"/>
                <w:sz w:val="16"/>
                <w:szCs w:val="16"/>
                <w:lang w:val="es-ES_tradnl"/>
              </w:rPr>
              <w:t>Referencia actualizada a fines de 2011:</w:t>
            </w:r>
          </w:p>
          <w:p w:rsidR="0053316D" w:rsidRPr="00472839" w:rsidRDefault="0053316D">
            <w:pPr>
              <w:spacing w:line="276" w:lineRule="auto"/>
              <w:rPr>
                <w:rFonts w:cs="Arial"/>
                <w:color w:val="002060"/>
                <w:sz w:val="16"/>
                <w:szCs w:val="16"/>
                <w:lang w:val="es-ES_tradnl"/>
              </w:rPr>
            </w:pPr>
            <w:r w:rsidRPr="00472839">
              <w:rPr>
                <w:rFonts w:cs="Arial"/>
                <w:color w:val="002060"/>
                <w:sz w:val="16"/>
                <w:szCs w:val="16"/>
                <w:lang w:val="es-ES_tradnl"/>
              </w:rPr>
              <w:t>Una reducción del 2% de la emisión de gases de efecto invernadero o su compensación por medio de la inversión en la producción local sostenible de energía.</w:t>
            </w:r>
          </w:p>
          <w:p w:rsidR="0053316D" w:rsidRPr="00A34388" w:rsidRDefault="0053316D">
            <w:pPr>
              <w:spacing w:line="276" w:lineRule="auto"/>
              <w:rPr>
                <w:rFonts w:cs="Arial"/>
                <w:i/>
                <w:sz w:val="8"/>
                <w:szCs w:val="8"/>
                <w:lang w:val="es-ES_tradnl"/>
              </w:rPr>
            </w:pPr>
          </w:p>
          <w:p w:rsidR="0053316D" w:rsidRPr="00A34388" w:rsidRDefault="0053316D" w:rsidP="00127ECC">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presupuesto por programas 2012/13:</w:t>
            </w:r>
            <w:r w:rsidRPr="00A34388">
              <w:rPr>
                <w:rFonts w:cs="Arial"/>
                <w:sz w:val="16"/>
                <w:szCs w:val="16"/>
                <w:lang w:val="es-ES_tradnl"/>
              </w:rPr>
              <w:br/>
            </w:r>
            <w:r w:rsidR="00127ECC" w:rsidRPr="00A34388">
              <w:rPr>
                <w:rFonts w:cs="Arial"/>
                <w:sz w:val="16"/>
                <w:szCs w:val="16"/>
                <w:lang w:val="es-ES_tradnl"/>
              </w:rPr>
              <w:t xml:space="preserve">Por </w:t>
            </w:r>
            <w:r w:rsidRPr="00A34388">
              <w:rPr>
                <w:rFonts w:cs="Arial"/>
                <w:sz w:val="16"/>
                <w:szCs w:val="16"/>
                <w:lang w:val="es-ES_tradnl"/>
              </w:rPr>
              <w:t xml:space="preserve">determinar a </w:t>
            </w:r>
            <w:r w:rsidR="00127ECC" w:rsidRPr="00A34388">
              <w:rPr>
                <w:rFonts w:cs="Arial"/>
                <w:sz w:val="16"/>
                <w:szCs w:val="16"/>
                <w:lang w:val="es-ES_tradnl"/>
              </w:rPr>
              <w:t xml:space="preserve">fines </w:t>
            </w:r>
            <w:r w:rsidRPr="00A34388">
              <w:rPr>
                <w:rFonts w:cs="Arial"/>
                <w:sz w:val="16"/>
                <w:szCs w:val="16"/>
                <w:lang w:val="es-ES_tradnl"/>
              </w:rPr>
              <w:t>de 2011</w:t>
            </w:r>
          </w:p>
        </w:tc>
        <w:tc>
          <w:tcPr>
            <w:tcW w:w="764" w:type="pct"/>
            <w:gridSpan w:val="2"/>
            <w:tcBorders>
              <w:top w:val="nil"/>
              <w:left w:val="nil"/>
              <w:bottom w:val="single" w:sz="4" w:space="0" w:color="auto"/>
              <w:right w:val="nil"/>
            </w:tcBorders>
            <w:tcMar>
              <w:top w:w="110" w:type="dxa"/>
              <w:left w:w="108" w:type="dxa"/>
              <w:bottom w:w="0" w:type="dxa"/>
              <w:right w:w="108" w:type="dxa"/>
            </w:tcMar>
            <w:hideMark/>
          </w:tcPr>
          <w:p w:rsidR="0053316D" w:rsidRPr="00A34388" w:rsidRDefault="002B591B" w:rsidP="002B591B">
            <w:pPr>
              <w:spacing w:line="276" w:lineRule="auto"/>
              <w:rPr>
                <w:rFonts w:cs="Arial"/>
                <w:sz w:val="16"/>
                <w:szCs w:val="16"/>
                <w:lang w:val="es-ES_tradnl"/>
              </w:rPr>
            </w:pPr>
            <w:r w:rsidRPr="00332758">
              <w:rPr>
                <w:rFonts w:cs="Arial"/>
                <w:sz w:val="16"/>
                <w:szCs w:val="16"/>
                <w:lang w:val="es-ES_tradnl"/>
              </w:rPr>
              <w:t xml:space="preserve">Por </w:t>
            </w:r>
            <w:r w:rsidR="0053316D" w:rsidRPr="00332758">
              <w:rPr>
                <w:rFonts w:cs="Arial"/>
                <w:sz w:val="16"/>
                <w:szCs w:val="16"/>
                <w:lang w:val="es-ES_tradnl"/>
              </w:rPr>
              <w:t>determinar a fines de 2011.</w:t>
            </w:r>
          </w:p>
        </w:tc>
        <w:tc>
          <w:tcPr>
            <w:tcW w:w="1818"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Compensación mediante la producción local sostenible de energía al seleccionarse (para el nuevo edificio) la tarifa que ofrezca la mayor contribución a la inversión en energías renovables.</w:t>
            </w:r>
          </w:p>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 xml:space="preserve"> </w:t>
            </w:r>
          </w:p>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 xml:space="preserve">En 2012 se prescindió de tres vehículos de modelos antiguos de la flota oficial de la OMPI y de otro en enero de 2013, lo que permitirá reducir la emisión de gases de efecto invernadero a partir de 2013. </w:t>
            </w:r>
            <w:r w:rsidR="00537926" w:rsidRPr="00332758">
              <w:rPr>
                <w:rFonts w:cs="Arial"/>
                <w:sz w:val="16"/>
                <w:szCs w:val="16"/>
                <w:lang w:val="es-ES_tradnl" w:bidi="th-TH"/>
              </w:rPr>
              <w:t xml:space="preserve"> </w:t>
            </w:r>
            <w:r w:rsidRPr="00A34388">
              <w:rPr>
                <w:rFonts w:cs="Arial"/>
                <w:sz w:val="16"/>
                <w:szCs w:val="16"/>
                <w:lang w:val="es-ES_tradnl" w:bidi="th-TH"/>
              </w:rPr>
              <w:t>Se adquirió un nuevo vehículo híbrido en 2013.</w:t>
            </w:r>
          </w:p>
          <w:p w:rsidR="0053316D" w:rsidRPr="00A34388" w:rsidRDefault="0053316D">
            <w:pPr>
              <w:spacing w:line="276" w:lineRule="auto"/>
              <w:jc w:val="both"/>
              <w:rPr>
                <w:rFonts w:cs="Arial"/>
                <w:sz w:val="16"/>
                <w:szCs w:val="16"/>
                <w:lang w:val="es-ES_tradnl"/>
              </w:rPr>
            </w:pPr>
          </w:p>
        </w:tc>
        <w:tc>
          <w:tcPr>
            <w:tcW w:w="682" w:type="pct"/>
            <w:gridSpan w:val="2"/>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Style w:val="Style5"/>
                <w:rFonts w:cs="Arial"/>
                <w:color w:val="595959" w:themeColor="text1" w:themeTint="A6"/>
                <w:sz w:val="16"/>
                <w:szCs w:val="16"/>
                <w:lang w:val="es-ES_tradnl"/>
              </w:rPr>
              <w:t xml:space="preserve">No mensurable </w:t>
            </w:r>
          </w:p>
        </w:tc>
      </w:tr>
      <w:tr w:rsidR="0053316D" w:rsidRPr="00A9508D" w:rsidTr="0053316D">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keepNext/>
              <w:keepLines/>
              <w:tabs>
                <w:tab w:val="left" w:pos="1452"/>
              </w:tabs>
              <w:spacing w:before="120" w:after="120" w:line="276" w:lineRule="auto"/>
              <w:ind w:left="1452" w:hanging="1452"/>
              <w:rPr>
                <w:rFonts w:cs="Arial"/>
                <w:b/>
                <w:bCs/>
                <w:sz w:val="16"/>
                <w:szCs w:val="16"/>
                <w:lang w:val="es-ES_tradnl"/>
              </w:rPr>
            </w:pPr>
            <w:r w:rsidRPr="00A34388">
              <w:rPr>
                <w:rFonts w:cs="Arial"/>
                <w:b/>
                <w:bCs/>
                <w:color w:val="000000"/>
                <w:sz w:val="16"/>
                <w:szCs w:val="16"/>
                <w:lang w:val="es-ES_tradnl"/>
              </w:rPr>
              <w:lastRenderedPageBreak/>
              <w:t>Resultado previsto:</w:t>
            </w:r>
            <w:r w:rsidRPr="00332758">
              <w:rPr>
                <w:rFonts w:cs="Arial"/>
                <w:bCs/>
                <w:sz w:val="16"/>
                <w:szCs w:val="16"/>
                <w:lang w:val="es-ES_tradnl"/>
              </w:rPr>
              <w:t xml:space="preserve"> </w:t>
            </w:r>
            <w:r w:rsidRPr="00A34388">
              <w:rPr>
                <w:rFonts w:cs="Arial"/>
                <w:b/>
                <w:bCs/>
                <w:color w:val="000000"/>
                <w:sz w:val="16"/>
                <w:szCs w:val="16"/>
                <w:lang w:val="es-ES_tradnl"/>
              </w:rPr>
              <w:t xml:space="preserve"> Mejora de acceso físico al recinto de la OMPI.</w:t>
            </w:r>
          </w:p>
        </w:tc>
      </w:tr>
      <w:tr w:rsidR="0053316D" w:rsidRPr="00A34388" w:rsidTr="0053316D">
        <w:trPr>
          <w:cantSplit/>
        </w:trPr>
        <w:tc>
          <w:tcPr>
            <w:tcW w:w="836" w:type="pct"/>
            <w:tcBorders>
              <w:top w:val="single" w:sz="4" w:space="0" w:color="auto"/>
              <w:left w:val="single" w:sz="4" w:space="0" w:color="auto"/>
              <w:bottom w:val="nil"/>
              <w:right w:val="nil"/>
            </w:tcBorders>
            <w:vAlign w:val="center"/>
            <w:hideMark/>
          </w:tcPr>
          <w:p w:rsidR="0053316D" w:rsidRPr="00A34388" w:rsidRDefault="0053316D">
            <w:pPr>
              <w:keepNext/>
              <w:keepLines/>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00" w:type="pct"/>
            <w:tcBorders>
              <w:top w:val="single" w:sz="4" w:space="0" w:color="auto"/>
              <w:left w:val="nil"/>
              <w:bottom w:val="nil"/>
              <w:right w:val="nil"/>
            </w:tcBorders>
            <w:vAlign w:val="center"/>
            <w:hideMark/>
          </w:tcPr>
          <w:p w:rsidR="0053316D" w:rsidRPr="00A34388" w:rsidRDefault="0053316D">
            <w:pPr>
              <w:keepNext/>
              <w:keepLines/>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688"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keepNext/>
              <w:keepLines/>
              <w:spacing w:line="276" w:lineRule="auto"/>
              <w:rPr>
                <w:rFonts w:cs="Arial"/>
                <w:b/>
                <w:color w:val="808080"/>
                <w:sz w:val="16"/>
                <w:szCs w:val="16"/>
                <w:lang w:val="es-ES_tradnl"/>
              </w:rPr>
            </w:pPr>
            <w:r w:rsidRPr="00332758">
              <w:rPr>
                <w:rFonts w:cs="Arial"/>
                <w:b/>
                <w:sz w:val="16"/>
                <w:szCs w:val="16"/>
                <w:lang w:val="es-ES_tradnl"/>
              </w:rPr>
              <w:t>Objetivos</w:t>
            </w:r>
          </w:p>
        </w:tc>
        <w:tc>
          <w:tcPr>
            <w:tcW w:w="2023" w:type="pct"/>
            <w:gridSpan w:val="3"/>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keepNext/>
              <w:keepLines/>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553"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36"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Número de programas pertinentes dotados de indicadores, referencias de base y objetivos relativos a la accesibilidad física.</w:t>
            </w:r>
            <w:r w:rsidRPr="00A34388">
              <w:rPr>
                <w:rFonts w:cs="Arial"/>
                <w:sz w:val="16"/>
                <w:szCs w:val="16"/>
                <w:lang w:val="es-ES_tradnl"/>
              </w:rPr>
              <w:t xml:space="preserve"> </w:t>
            </w:r>
          </w:p>
        </w:tc>
        <w:tc>
          <w:tcPr>
            <w:tcW w:w="900" w:type="pct"/>
            <w:tcBorders>
              <w:top w:val="nil"/>
              <w:left w:val="nil"/>
              <w:bottom w:val="single" w:sz="4" w:space="0" w:color="auto"/>
              <w:right w:val="nil"/>
            </w:tcBorders>
          </w:tcPr>
          <w:p w:rsidR="0053316D" w:rsidRPr="00A34388" w:rsidRDefault="0053316D">
            <w:pPr>
              <w:spacing w:line="276" w:lineRule="auto"/>
              <w:rPr>
                <w:color w:val="002060"/>
                <w:sz w:val="16"/>
                <w:szCs w:val="16"/>
                <w:lang w:val="es-ES_tradnl"/>
              </w:rPr>
            </w:pPr>
            <w:r w:rsidRPr="00A34388">
              <w:rPr>
                <w:i/>
                <w:color w:val="002060"/>
                <w:sz w:val="16"/>
                <w:szCs w:val="16"/>
                <w:lang w:val="es-ES_tradnl"/>
              </w:rPr>
              <w:t>Referencia actualizada a finales de 2011:  Al menos un programa por año del bienio</w:t>
            </w:r>
          </w:p>
          <w:p w:rsidR="0053316D" w:rsidRPr="00A34388" w:rsidRDefault="0053316D">
            <w:pPr>
              <w:spacing w:line="276" w:lineRule="auto"/>
              <w:rPr>
                <w:rFonts w:cs="Arial"/>
                <w:i/>
                <w:sz w:val="8"/>
                <w:szCs w:val="8"/>
                <w:lang w:val="es-ES_tradnl"/>
              </w:rPr>
            </w:pPr>
          </w:p>
          <w:p w:rsidR="0053316D" w:rsidRPr="00A34388" w:rsidRDefault="0053316D" w:rsidP="00127ECC">
            <w:pPr>
              <w:spacing w:line="276" w:lineRule="auto"/>
              <w:rPr>
                <w:rFonts w:cs="Arial"/>
                <w:sz w:val="16"/>
                <w:szCs w:val="16"/>
                <w:lang w:val="es-ES_tradnl"/>
              </w:rPr>
            </w:pPr>
            <w:r w:rsidRPr="00A34388">
              <w:rPr>
                <w:rFonts w:cs="Arial"/>
                <w:i/>
                <w:sz w:val="16"/>
                <w:szCs w:val="16"/>
                <w:lang w:val="es-ES_tradnl"/>
              </w:rPr>
              <w:t xml:space="preserve">Referencia original:  presupuesto por programas 2012/13:  </w:t>
            </w:r>
            <w:r w:rsidR="00127ECC" w:rsidRPr="00A34388">
              <w:rPr>
                <w:rFonts w:cs="Arial"/>
                <w:sz w:val="16"/>
                <w:szCs w:val="16"/>
                <w:lang w:val="es-ES_tradnl"/>
              </w:rPr>
              <w:t xml:space="preserve">Por </w:t>
            </w:r>
            <w:r w:rsidRPr="00A34388">
              <w:rPr>
                <w:rFonts w:cs="Arial"/>
                <w:sz w:val="16"/>
                <w:szCs w:val="16"/>
                <w:lang w:val="es-ES_tradnl"/>
              </w:rPr>
              <w:t xml:space="preserve">determinar a </w:t>
            </w:r>
            <w:r w:rsidR="00127ECC" w:rsidRPr="00A34388">
              <w:rPr>
                <w:rFonts w:cs="Arial"/>
                <w:sz w:val="16"/>
                <w:szCs w:val="16"/>
                <w:lang w:val="es-ES_tradnl"/>
              </w:rPr>
              <w:t xml:space="preserve">fines </w:t>
            </w:r>
            <w:r w:rsidRPr="00A34388">
              <w:rPr>
                <w:rFonts w:cs="Arial"/>
                <w:sz w:val="16"/>
                <w:szCs w:val="16"/>
                <w:lang w:val="es-ES_tradnl"/>
              </w:rPr>
              <w:t>de 2011</w:t>
            </w:r>
          </w:p>
        </w:tc>
        <w:tc>
          <w:tcPr>
            <w:tcW w:w="688"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A34388">
              <w:rPr>
                <w:rFonts w:cs="Arial"/>
                <w:sz w:val="16"/>
                <w:szCs w:val="16"/>
                <w:lang w:val="es-ES_tradnl"/>
              </w:rPr>
              <w:t>Todos los programas conexos</w:t>
            </w:r>
          </w:p>
        </w:tc>
        <w:tc>
          <w:tcPr>
            <w:tcW w:w="2023" w:type="pct"/>
            <w:gridSpan w:val="3"/>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Tres programas conexos de un total de seis:</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u w:val="single"/>
                <w:lang w:val="es-ES_tradnl" w:bidi="th-TH"/>
              </w:rPr>
              <w:t>Programa 24</w:t>
            </w:r>
            <w:r w:rsidRPr="00A34388">
              <w:rPr>
                <w:rFonts w:cs="Arial"/>
                <w:sz w:val="16"/>
                <w:szCs w:val="16"/>
                <w:lang w:val="es-ES_tradnl" w:bidi="th-TH"/>
              </w:rPr>
              <w:t>:   tras una auditoría física de los edificios existentes (2012) se introdujeron l</w:t>
            </w:r>
            <w:r w:rsidR="00711C94" w:rsidRPr="00A34388">
              <w:rPr>
                <w:rFonts w:cs="Arial"/>
                <w:sz w:val="16"/>
                <w:szCs w:val="16"/>
                <w:lang w:val="es-ES_tradnl" w:bidi="th-TH"/>
              </w:rPr>
              <w:t>o</w:t>
            </w:r>
            <w:r w:rsidRPr="00A34388">
              <w:rPr>
                <w:rFonts w:cs="Arial"/>
                <w:sz w:val="16"/>
                <w:szCs w:val="16"/>
                <w:lang w:val="es-ES_tradnl" w:bidi="th-TH"/>
              </w:rPr>
              <w:t xml:space="preserve">s siguientes </w:t>
            </w:r>
            <w:r w:rsidR="00711C94" w:rsidRPr="00A34388">
              <w:rPr>
                <w:rFonts w:cs="Arial"/>
                <w:sz w:val="16"/>
                <w:szCs w:val="16"/>
                <w:lang w:val="es-ES_tradnl" w:bidi="th-TH"/>
              </w:rPr>
              <w:t xml:space="preserve">cambios </w:t>
            </w:r>
            <w:r w:rsidRPr="00A34388">
              <w:rPr>
                <w:rFonts w:cs="Arial"/>
                <w:sz w:val="16"/>
                <w:szCs w:val="16"/>
                <w:lang w:val="es-ES_tradnl" w:bidi="th-TH"/>
              </w:rPr>
              <w:t>en 2013:</w:t>
            </w:r>
          </w:p>
          <w:p w:rsidR="0053316D" w:rsidRPr="00A34388" w:rsidRDefault="0053316D">
            <w:pPr>
              <w:spacing w:line="276" w:lineRule="auto"/>
              <w:rPr>
                <w:rFonts w:cs="Arial"/>
                <w:sz w:val="8"/>
                <w:szCs w:val="8"/>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w:t>
            </w:r>
            <w:r w:rsidR="0053316D" w:rsidRPr="00A34388">
              <w:rPr>
                <w:rFonts w:cs="Arial"/>
                <w:sz w:val="16"/>
                <w:szCs w:val="16"/>
                <w:lang w:val="es-ES_tradnl" w:bidi="th-TH"/>
              </w:rPr>
              <w:t xml:space="preserve"> se instalaron bandas antideslizantes en </w:t>
            </w:r>
            <w:r w:rsidR="00F47CF6" w:rsidRPr="00A34388">
              <w:rPr>
                <w:rFonts w:cs="Arial"/>
                <w:sz w:val="16"/>
                <w:szCs w:val="16"/>
                <w:lang w:val="es-ES_tradnl" w:bidi="th-TH"/>
              </w:rPr>
              <w:t xml:space="preserve">las escaleras </w:t>
            </w:r>
            <w:r w:rsidR="0053316D" w:rsidRPr="00A34388">
              <w:rPr>
                <w:rFonts w:cs="Arial"/>
                <w:sz w:val="16"/>
                <w:szCs w:val="16"/>
                <w:lang w:val="es-ES_tradnl" w:bidi="th-TH"/>
              </w:rPr>
              <w:t>de todos los edificios, y se mejoraron las del edificio del PCT dotándolas de una mayor visibilidad</w:t>
            </w:r>
          </w:p>
          <w:p w:rsidR="0053316D" w:rsidRPr="00A34388" w:rsidRDefault="0053316D">
            <w:pPr>
              <w:spacing w:line="276" w:lineRule="auto"/>
              <w:ind w:left="175"/>
              <w:rPr>
                <w:rFonts w:cs="Arial"/>
                <w:sz w:val="8"/>
                <w:szCs w:val="8"/>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ii)</w:t>
            </w:r>
            <w:r w:rsidR="0053316D" w:rsidRPr="00A34388">
              <w:rPr>
                <w:rFonts w:cs="Arial"/>
                <w:sz w:val="16"/>
                <w:szCs w:val="16"/>
                <w:lang w:val="es-ES_tradnl" w:bidi="th-TH"/>
              </w:rPr>
              <w:t xml:space="preserve"> se instalaron rampas </w:t>
            </w:r>
            <w:r w:rsidR="00F47CF6" w:rsidRPr="00A34388">
              <w:rPr>
                <w:rFonts w:cs="Arial"/>
                <w:sz w:val="16"/>
                <w:szCs w:val="16"/>
                <w:lang w:val="es-ES_tradnl" w:bidi="th-TH"/>
              </w:rPr>
              <w:t xml:space="preserve">para el acceso de </w:t>
            </w:r>
            <w:r w:rsidR="0053316D" w:rsidRPr="00A34388">
              <w:rPr>
                <w:rFonts w:cs="Arial"/>
                <w:sz w:val="16"/>
                <w:szCs w:val="16"/>
                <w:lang w:val="es-ES_tradnl" w:bidi="th-TH"/>
              </w:rPr>
              <w:t xml:space="preserve">sillas de ruedas a las cabinas de interpretación de la nueva gran sala de reuniones en la planta baja del nuevo edificio </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u w:val="single"/>
                <w:lang w:val="es-ES_tradnl" w:bidi="th-TH"/>
              </w:rPr>
              <w:t>Programa 29</w:t>
            </w:r>
            <w:r w:rsidRPr="00A34388">
              <w:rPr>
                <w:rFonts w:cs="Arial"/>
                <w:sz w:val="16"/>
                <w:szCs w:val="16"/>
                <w:lang w:val="es-ES_tradnl" w:bidi="th-TH"/>
              </w:rPr>
              <w:t>:  tras una auditoría de accesibilidad física del proyecto de nueva sala de conferencias, se introdujeron l</w:t>
            </w:r>
            <w:r w:rsidR="00711C94" w:rsidRPr="00A34388">
              <w:rPr>
                <w:rFonts w:cs="Arial"/>
                <w:sz w:val="16"/>
                <w:szCs w:val="16"/>
                <w:lang w:val="es-ES_tradnl" w:bidi="th-TH"/>
              </w:rPr>
              <w:t>o</w:t>
            </w:r>
            <w:r w:rsidRPr="00A34388">
              <w:rPr>
                <w:rFonts w:cs="Arial"/>
                <w:sz w:val="16"/>
                <w:szCs w:val="16"/>
                <w:lang w:val="es-ES_tradnl" w:bidi="th-TH"/>
              </w:rPr>
              <w:t xml:space="preserve">s siguientes </w:t>
            </w:r>
            <w:r w:rsidR="00711C94" w:rsidRPr="00A34388">
              <w:rPr>
                <w:rFonts w:cs="Arial"/>
                <w:sz w:val="16"/>
                <w:szCs w:val="16"/>
                <w:lang w:val="es-ES_tradnl" w:bidi="th-TH"/>
              </w:rPr>
              <w:t xml:space="preserve">cambios </w:t>
            </w:r>
            <w:r w:rsidRPr="00A34388">
              <w:rPr>
                <w:rFonts w:cs="Arial"/>
                <w:sz w:val="16"/>
                <w:szCs w:val="16"/>
                <w:lang w:val="es-ES_tradnl" w:bidi="th-TH"/>
              </w:rPr>
              <w:t>en 2013:</w:t>
            </w:r>
          </w:p>
          <w:p w:rsidR="0053316D" w:rsidRPr="00A34388" w:rsidRDefault="0053316D">
            <w:pPr>
              <w:spacing w:line="276" w:lineRule="auto"/>
              <w:rPr>
                <w:rFonts w:cs="Arial"/>
                <w:sz w:val="16"/>
                <w:szCs w:val="16"/>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w:t>
            </w:r>
            <w:r w:rsidR="0053316D" w:rsidRPr="00A34388">
              <w:rPr>
                <w:rFonts w:cs="Arial"/>
                <w:sz w:val="16"/>
                <w:szCs w:val="16"/>
                <w:lang w:val="es-ES_tradnl" w:bidi="th-TH"/>
              </w:rPr>
              <w:t xml:space="preserve"> se instalaron rampas </w:t>
            </w:r>
            <w:r w:rsidR="00F47CF6" w:rsidRPr="00A34388">
              <w:rPr>
                <w:rFonts w:cs="Arial"/>
                <w:sz w:val="16"/>
                <w:szCs w:val="16"/>
                <w:lang w:val="es-ES_tradnl" w:bidi="th-TH"/>
              </w:rPr>
              <w:t xml:space="preserve">para el acceso de </w:t>
            </w:r>
            <w:r w:rsidR="0053316D" w:rsidRPr="00A34388">
              <w:rPr>
                <w:rFonts w:cs="Arial"/>
                <w:sz w:val="16"/>
                <w:szCs w:val="16"/>
                <w:lang w:val="es-ES_tradnl" w:bidi="th-TH"/>
              </w:rPr>
              <w:t xml:space="preserve">sillas de ruedas a las cabinas de interpretación de las nuevas salas de reuniones en la entreplanta del edificio AB </w:t>
            </w:r>
          </w:p>
          <w:p w:rsidR="0053316D" w:rsidRPr="00A34388" w:rsidRDefault="0053316D">
            <w:pPr>
              <w:spacing w:line="276" w:lineRule="auto"/>
              <w:ind w:left="175"/>
              <w:rPr>
                <w:rFonts w:cs="Arial"/>
                <w:sz w:val="8"/>
                <w:szCs w:val="8"/>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ii)</w:t>
            </w:r>
            <w:r w:rsidR="0053316D" w:rsidRPr="00A34388">
              <w:rPr>
                <w:rFonts w:cs="Arial"/>
                <w:sz w:val="16"/>
                <w:szCs w:val="16"/>
                <w:lang w:val="es-ES_tradnl" w:bidi="th-TH"/>
              </w:rPr>
              <w:t xml:space="preserve"> se revisaron las </w:t>
            </w:r>
            <w:r w:rsidR="001D043A" w:rsidRPr="00A34388">
              <w:rPr>
                <w:rFonts w:cs="Arial"/>
                <w:sz w:val="16"/>
                <w:szCs w:val="16"/>
                <w:lang w:val="es-ES_tradnl" w:bidi="th-TH"/>
              </w:rPr>
              <w:t xml:space="preserve">salidas de emergencia </w:t>
            </w:r>
            <w:r w:rsidR="0053316D" w:rsidRPr="00A34388">
              <w:rPr>
                <w:rFonts w:cs="Arial"/>
                <w:sz w:val="16"/>
                <w:szCs w:val="16"/>
                <w:lang w:val="es-ES_tradnl" w:bidi="th-TH"/>
              </w:rPr>
              <w:t xml:space="preserve">de la nueva sala de conferencias e instalaciones anexas y se añadieron rampas </w:t>
            </w:r>
            <w:r w:rsidR="00F47CF6" w:rsidRPr="00A34388">
              <w:rPr>
                <w:rFonts w:cs="Arial"/>
                <w:sz w:val="16"/>
                <w:szCs w:val="16"/>
                <w:lang w:val="es-ES_tradnl" w:bidi="th-TH"/>
              </w:rPr>
              <w:t xml:space="preserve">para la </w:t>
            </w:r>
            <w:r w:rsidR="0053316D" w:rsidRPr="00A34388">
              <w:rPr>
                <w:rFonts w:cs="Arial"/>
                <w:sz w:val="16"/>
                <w:szCs w:val="16"/>
                <w:lang w:val="es-ES_tradnl" w:bidi="th-TH"/>
              </w:rPr>
              <w:t xml:space="preserve">evacuación en silla de ruedas </w:t>
            </w:r>
          </w:p>
          <w:p w:rsidR="0053316D" w:rsidRPr="00A34388" w:rsidRDefault="0053316D">
            <w:pPr>
              <w:spacing w:line="276" w:lineRule="auto"/>
              <w:ind w:left="175"/>
              <w:rPr>
                <w:rFonts w:cs="Arial"/>
                <w:sz w:val="8"/>
                <w:szCs w:val="8"/>
                <w:lang w:val="es-ES_tradnl" w:bidi="th-TH"/>
              </w:rPr>
            </w:pPr>
          </w:p>
          <w:p w:rsidR="0053316D" w:rsidRPr="00A34388" w:rsidRDefault="009F4808">
            <w:pPr>
              <w:spacing w:line="276" w:lineRule="auto"/>
              <w:ind w:left="175"/>
              <w:rPr>
                <w:rFonts w:cs="Arial"/>
                <w:sz w:val="16"/>
                <w:szCs w:val="16"/>
                <w:lang w:val="es-ES_tradnl" w:bidi="th-TH"/>
              </w:rPr>
            </w:pPr>
            <w:r w:rsidRPr="00A34388">
              <w:rPr>
                <w:rFonts w:cs="Arial"/>
                <w:sz w:val="16"/>
                <w:szCs w:val="16"/>
                <w:lang w:val="es-ES_tradnl" w:bidi="th-TH"/>
              </w:rPr>
              <w:t>iii)</w:t>
            </w:r>
            <w:r w:rsidR="0053316D" w:rsidRPr="00A34388">
              <w:rPr>
                <w:rFonts w:cs="Arial"/>
                <w:sz w:val="16"/>
                <w:szCs w:val="16"/>
                <w:lang w:val="es-ES_tradnl" w:bidi="th-TH"/>
              </w:rPr>
              <w:t xml:space="preserve"> se decidió crear una salida adicional directamente hacia el exterior desde la nueva sala de conferencias (ejecución a lo largo de 2014)</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A34388">
              <w:rPr>
                <w:rFonts w:cs="Arial"/>
                <w:sz w:val="16"/>
                <w:szCs w:val="16"/>
                <w:u w:val="single"/>
                <w:lang w:val="es-ES_tradnl" w:bidi="th-TH"/>
              </w:rPr>
              <w:t>Programa 28</w:t>
            </w:r>
            <w:r w:rsidRPr="00A34388">
              <w:rPr>
                <w:rFonts w:cs="Arial"/>
                <w:sz w:val="16"/>
                <w:szCs w:val="16"/>
                <w:lang w:val="es-ES_tradnl" w:bidi="th-TH"/>
              </w:rPr>
              <w:t xml:space="preserve">:  Las medidas anteriores constituyen igualmente mejoras en materia de seguridad.  Asimismo, se han reubicado e instalado sistemas de control mediante lector de tarjetas en varias zonas de distintos edificios (en </w:t>
            </w:r>
            <w:r w:rsidR="00F47CF6" w:rsidRPr="00A34388">
              <w:rPr>
                <w:rFonts w:cs="Arial"/>
                <w:sz w:val="16"/>
                <w:szCs w:val="16"/>
                <w:lang w:val="es-ES_tradnl" w:bidi="th-TH"/>
              </w:rPr>
              <w:t xml:space="preserve">las fases </w:t>
            </w:r>
            <w:r w:rsidRPr="00A34388">
              <w:rPr>
                <w:rFonts w:cs="Arial"/>
                <w:sz w:val="16"/>
                <w:szCs w:val="16"/>
                <w:lang w:val="es-ES_tradnl" w:bidi="th-TH"/>
              </w:rPr>
              <w:t>de construcción o de reforma), con el fin de situarlos a una altura adecuada para personas que se desplazan en silla de ruedas</w:t>
            </w:r>
          </w:p>
          <w:p w:rsidR="0053316D" w:rsidRPr="00A34388" w:rsidRDefault="0053316D">
            <w:pPr>
              <w:spacing w:line="276" w:lineRule="auto"/>
              <w:rPr>
                <w:rFonts w:cs="Arial"/>
                <w:sz w:val="16"/>
                <w:szCs w:val="16"/>
                <w:lang w:val="es-ES_tradnl"/>
              </w:rPr>
            </w:pPr>
          </w:p>
        </w:tc>
        <w:tc>
          <w:tcPr>
            <w:tcW w:w="553"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ascii="Calibri" w:hAnsi="Calibri" w:cs="Arial"/>
                <w:sz w:val="16"/>
                <w:szCs w:val="16"/>
                <w:lang w:val="es-ES_tradnl"/>
              </w:rPr>
            </w:pPr>
            <w:r w:rsidRPr="00A34388">
              <w:rPr>
                <w:rFonts w:cs="Arial"/>
                <w:bCs/>
                <w:color w:val="E36C0A" w:themeColor="accent6" w:themeShade="BF"/>
                <w:sz w:val="16"/>
                <w:szCs w:val="16"/>
                <w:lang w:val="es-ES_tradnl"/>
              </w:rPr>
              <w:t>Parcialmente</w:t>
            </w:r>
            <w:r w:rsidRPr="00A34388">
              <w:rPr>
                <w:rFonts w:cs="Arial"/>
                <w:bCs/>
                <w:color w:val="E36C0A" w:themeColor="accent6" w:themeShade="BF"/>
                <w:sz w:val="16"/>
                <w:szCs w:val="16"/>
                <w:lang w:val="es-ES_tradnl"/>
              </w:rPr>
              <w:br/>
              <w:t>logrado</w:t>
            </w:r>
          </w:p>
        </w:tc>
      </w:tr>
    </w:tbl>
    <w:p w:rsidR="0053316D" w:rsidRPr="00A34388" w:rsidRDefault="0053316D" w:rsidP="0053316D">
      <w:pPr>
        <w:rPr>
          <w:lang w:val="es-ES_tradnl"/>
        </w:rPr>
      </w:pPr>
    </w:p>
    <w:p w:rsidR="0053316D" w:rsidRPr="00A34388" w:rsidRDefault="0053316D" w:rsidP="0053316D">
      <w:pPr>
        <w:rPr>
          <w:rFonts w:cs="Arial"/>
          <w:lang w:val="es-ES_tradnl"/>
        </w:rPr>
      </w:pPr>
    </w:p>
    <w:p w:rsidR="004C0FD5" w:rsidRPr="00332758" w:rsidRDefault="004C0FD5">
      <w:pPr>
        <w:rPr>
          <w:rFonts w:cs="Arial"/>
          <w:szCs w:val="22"/>
          <w:lang w:val="es-ES_tradnl"/>
        </w:rPr>
      </w:pPr>
      <w:r w:rsidRPr="00332758">
        <w:rPr>
          <w:rFonts w:cs="Arial"/>
          <w:szCs w:val="22"/>
          <w:lang w:val="es-ES_tradnl"/>
        </w:rPr>
        <w:br w:type="page"/>
      </w:r>
    </w:p>
    <w:p w:rsidR="0053316D" w:rsidRPr="00A34388" w:rsidRDefault="0053316D" w:rsidP="0053316D">
      <w:pPr>
        <w:rPr>
          <w:rFonts w:cs="Arial"/>
          <w:szCs w:val="22"/>
          <w:lang w:val="es-ES_tradnl"/>
        </w:rPr>
      </w:pPr>
      <w:r w:rsidRPr="00332758">
        <w:rPr>
          <w:rFonts w:cs="Arial"/>
          <w:szCs w:val="22"/>
          <w:lang w:val="es-ES_tradnl"/>
        </w:rPr>
        <w:lastRenderedPageBreak/>
        <w:t>PRESUPUESTO Y GASTOS REALES</w:t>
      </w:r>
    </w:p>
    <w:p w:rsidR="0053316D" w:rsidRPr="00A34388" w:rsidRDefault="0053316D" w:rsidP="0053316D">
      <w:pPr>
        <w:rPr>
          <w:rFonts w:cs="Arial"/>
          <w:szCs w:val="22"/>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(por resultado)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rFonts w:cs="Arial"/>
          <w:szCs w:val="22"/>
          <w:lang w:val="es-ES_tradnl"/>
        </w:rPr>
      </w:pPr>
    </w:p>
    <w:tbl>
      <w:tblPr>
        <w:tblW w:w="0" w:type="auto"/>
        <w:tblInd w:w="103" w:type="dxa"/>
        <w:tblLook w:val="04A0" w:firstRow="1" w:lastRow="0" w:firstColumn="1" w:lastColumn="0" w:noHBand="0" w:noVBand="1"/>
      </w:tblPr>
      <w:tblGrid>
        <w:gridCol w:w="592"/>
        <w:gridCol w:w="4658"/>
        <w:gridCol w:w="1370"/>
        <w:gridCol w:w="1370"/>
        <w:gridCol w:w="1371"/>
      </w:tblGrid>
      <w:tr w:rsidR="0053316D" w:rsidRPr="00A34388" w:rsidTr="0053316D">
        <w:tc>
          <w:tcPr>
            <w:tcW w:w="525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center"/>
              <w:rPr>
                <w:rFonts w:cs="Arial"/>
                <w:b/>
                <w:bCs/>
                <w:color w:val="000000"/>
                <w:sz w:val="16"/>
                <w:szCs w:val="16"/>
                <w:lang w:val="es-ES_tradnl"/>
              </w:rPr>
            </w:pPr>
            <w:r w:rsidRPr="00332758">
              <w:rPr>
                <w:rFonts w:cs="Arial"/>
                <w:b/>
                <w:bCs/>
                <w:sz w:val="16"/>
                <w:szCs w:val="16"/>
                <w:lang w:val="es-ES_tradnl"/>
              </w:rPr>
              <w:t>Número del resultado previsto y descripción</w:t>
            </w:r>
          </w:p>
        </w:tc>
        <w:tc>
          <w:tcPr>
            <w:tcW w:w="1370"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
                <w:bCs/>
                <w:color w:val="000000"/>
                <w:sz w:val="16"/>
                <w:szCs w:val="16"/>
                <w:lang w:val="es-ES_tradnl"/>
              </w:rPr>
            </w:pPr>
            <w:r w:rsidRPr="00332758">
              <w:rPr>
                <w:rFonts w:cs="Arial"/>
                <w:b/>
                <w:bCs/>
                <w:sz w:val="16"/>
                <w:szCs w:val="16"/>
                <w:lang w:val="es-ES_tradnl"/>
              </w:rPr>
              <w:t>Presupuesto aprobado 2012/13</w:t>
            </w:r>
          </w:p>
        </w:tc>
        <w:tc>
          <w:tcPr>
            <w:tcW w:w="1370"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
                <w:bCs/>
                <w:color w:val="000000"/>
                <w:sz w:val="16"/>
                <w:szCs w:val="16"/>
                <w:lang w:val="es-ES_tradnl"/>
              </w:rPr>
            </w:pPr>
            <w:r w:rsidRPr="00332758">
              <w:rPr>
                <w:rFonts w:cs="Arial"/>
                <w:b/>
                <w:bCs/>
                <w:sz w:val="16"/>
                <w:szCs w:val="16"/>
                <w:lang w:val="es-ES_tradnl"/>
              </w:rPr>
              <w:t>Presupuesto 2012/13 después de las transferencias</w:t>
            </w:r>
          </w:p>
        </w:tc>
        <w:tc>
          <w:tcPr>
            <w:tcW w:w="1371"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
                <w:bCs/>
                <w:color w:val="000000"/>
                <w:sz w:val="16"/>
                <w:szCs w:val="16"/>
                <w:lang w:val="es-ES_tradnl"/>
              </w:rPr>
            </w:pPr>
            <w:r w:rsidRPr="00A34388">
              <w:rPr>
                <w:rFonts w:cs="Arial"/>
                <w:b/>
                <w:bCs/>
                <w:color w:val="000000"/>
                <w:sz w:val="16"/>
                <w:szCs w:val="16"/>
                <w:lang w:val="es-ES_tradnl"/>
              </w:rPr>
              <w:t xml:space="preserve">Gasto en 2012/13 </w:t>
            </w:r>
            <w:r w:rsidRPr="00A34388">
              <w:rPr>
                <w:rFonts w:cs="Arial"/>
                <w:b/>
                <w:bCs/>
                <w:color w:val="000000"/>
                <w:sz w:val="16"/>
                <w:szCs w:val="16"/>
                <w:lang w:val="es-ES_tradnl"/>
              </w:rPr>
              <w:br/>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VIII.3</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La OMPI participa y colabora eficazmente en los procesos y negociaciones de las NN.UU. y otras OIG.</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190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169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137 </w:t>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IX.1</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44.747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39.036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37.223 </w:t>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7F2148">
            <w:pPr>
              <w:spacing w:before="120" w:line="276" w:lineRule="auto"/>
              <w:jc w:val="center"/>
              <w:rPr>
                <w:rFonts w:cs="Arial"/>
                <w:color w:val="808080"/>
                <w:sz w:val="16"/>
                <w:szCs w:val="16"/>
                <w:lang w:val="es-ES_tradnl"/>
              </w:rPr>
            </w:pPr>
            <w:r w:rsidRPr="00332758">
              <w:rPr>
                <w:rFonts w:cs="Arial"/>
                <w:sz w:val="16"/>
                <w:szCs w:val="16"/>
                <w:lang w:val="es-ES_tradnl"/>
              </w:rPr>
              <w:t>IB.</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Se garantiza la seguridad del personal de la OMPI, los delegados, los visitantes, la información y los activos físicos.</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393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466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466</w:t>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7F2148">
            <w:pPr>
              <w:spacing w:before="120" w:line="276" w:lineRule="auto"/>
              <w:jc w:val="center"/>
              <w:rPr>
                <w:rFonts w:cs="Arial"/>
                <w:color w:val="808080"/>
                <w:sz w:val="16"/>
                <w:szCs w:val="16"/>
                <w:lang w:val="es-ES_tradnl"/>
              </w:rPr>
            </w:pPr>
            <w:r w:rsidRPr="00332758">
              <w:rPr>
                <w:rFonts w:cs="Arial"/>
                <w:sz w:val="16"/>
                <w:szCs w:val="16"/>
                <w:lang w:val="es-ES_tradnl"/>
              </w:rPr>
              <w:t>IB.</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La nueva sala de conferencias y las instalaciones conexas están disponibles para las reuniones de los Estados miembros.</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202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233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233</w:t>
            </w:r>
          </w:p>
        </w:tc>
      </w:tr>
      <w:tr w:rsidR="0053316D" w:rsidRPr="00A34388" w:rsidTr="0053316D">
        <w:tc>
          <w:tcPr>
            <w:tcW w:w="592" w:type="dxa"/>
            <w:tcBorders>
              <w:top w:val="nil"/>
              <w:left w:val="single" w:sz="4" w:space="0" w:color="auto"/>
              <w:bottom w:val="nil"/>
              <w:right w:val="nil"/>
            </w:tcBorders>
            <w:shd w:val="clear" w:color="auto" w:fill="FFFFFF"/>
            <w:noWrap/>
            <w:hideMark/>
          </w:tcPr>
          <w:p w:rsidR="0053316D" w:rsidRPr="00A34388" w:rsidRDefault="007F2148">
            <w:pPr>
              <w:spacing w:before="120" w:line="276" w:lineRule="auto"/>
              <w:jc w:val="center"/>
              <w:rPr>
                <w:rFonts w:cs="Arial"/>
                <w:color w:val="808080"/>
                <w:sz w:val="16"/>
                <w:szCs w:val="16"/>
                <w:lang w:val="es-ES_tradnl"/>
              </w:rPr>
            </w:pPr>
            <w:r w:rsidRPr="00332758">
              <w:rPr>
                <w:rFonts w:cs="Arial"/>
                <w:sz w:val="16"/>
                <w:szCs w:val="16"/>
                <w:lang w:val="es-ES_tradnl"/>
              </w:rPr>
              <w:t>IB.</w:t>
            </w:r>
          </w:p>
        </w:tc>
        <w:tc>
          <w:tcPr>
            <w:tcW w:w="4658"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Reducción de las repercusiones de las actividades de la OMPI sobre el medio ambiente.</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299 </w:t>
            </w:r>
          </w:p>
        </w:tc>
        <w:tc>
          <w:tcPr>
            <w:tcW w:w="1370"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298 </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195 </w:t>
            </w:r>
          </w:p>
        </w:tc>
      </w:tr>
      <w:tr w:rsidR="0053316D" w:rsidRPr="00A34388" w:rsidTr="0053316D">
        <w:tc>
          <w:tcPr>
            <w:tcW w:w="592" w:type="dxa"/>
            <w:tcBorders>
              <w:top w:val="nil"/>
              <w:left w:val="single" w:sz="4" w:space="0" w:color="auto"/>
              <w:bottom w:val="single" w:sz="4" w:space="0" w:color="auto"/>
              <w:right w:val="nil"/>
            </w:tcBorders>
            <w:shd w:val="clear" w:color="auto" w:fill="FFFFFF"/>
            <w:noWrap/>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IX.10</w:t>
            </w:r>
          </w:p>
        </w:tc>
        <w:tc>
          <w:tcPr>
            <w:tcW w:w="4658" w:type="dxa"/>
            <w:tcBorders>
              <w:top w:val="nil"/>
              <w:left w:val="nil"/>
              <w:bottom w:val="single" w:sz="4" w:space="0" w:color="auto"/>
              <w:right w:val="nil"/>
            </w:tcBorders>
            <w:shd w:val="clear" w:color="auto" w:fill="FFFFFF"/>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Mejora de la accesibilidad al recinto de la OMPI.</w:t>
            </w:r>
          </w:p>
        </w:tc>
        <w:tc>
          <w:tcPr>
            <w:tcW w:w="1370"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439 </w:t>
            </w:r>
          </w:p>
        </w:tc>
        <w:tc>
          <w:tcPr>
            <w:tcW w:w="1370"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486</w:t>
            </w:r>
          </w:p>
        </w:tc>
        <w:tc>
          <w:tcPr>
            <w:tcW w:w="1371" w:type="dxa"/>
            <w:tcBorders>
              <w:top w:val="nil"/>
              <w:left w:val="nil"/>
              <w:bottom w:val="nil"/>
              <w:right w:val="single" w:sz="4" w:space="0" w:color="auto"/>
            </w:tcBorders>
            <w:shd w:val="clear" w:color="auto" w:fill="FFFFFF"/>
            <w:vAlign w:val="center"/>
            <w:hideMark/>
          </w:tcPr>
          <w:p w:rsidR="0053316D" w:rsidRPr="00332758" w:rsidRDefault="0053316D">
            <w:pPr>
              <w:spacing w:before="120" w:after="120" w:line="276" w:lineRule="auto"/>
              <w:jc w:val="right"/>
              <w:rPr>
                <w:rFonts w:cs="Arial"/>
                <w:sz w:val="16"/>
                <w:szCs w:val="16"/>
                <w:lang w:val="es-ES_tradnl"/>
              </w:rPr>
            </w:pPr>
            <w:r w:rsidRPr="00332758">
              <w:rPr>
                <w:rFonts w:cs="Arial"/>
                <w:sz w:val="16"/>
                <w:szCs w:val="16"/>
                <w:lang w:val="es-ES_tradnl"/>
              </w:rPr>
              <w:t xml:space="preserve">411 </w:t>
            </w:r>
          </w:p>
        </w:tc>
      </w:tr>
      <w:tr w:rsidR="0053316D" w:rsidRPr="00A34388" w:rsidTr="0053316D">
        <w:tc>
          <w:tcPr>
            <w:tcW w:w="592" w:type="dxa"/>
            <w:tcBorders>
              <w:top w:val="nil"/>
              <w:left w:val="single" w:sz="4" w:space="0" w:color="auto"/>
              <w:bottom w:val="single" w:sz="4" w:space="0" w:color="auto"/>
              <w:right w:val="nil"/>
            </w:tcBorders>
            <w:shd w:val="clear" w:color="auto" w:fill="CCFFFF"/>
            <w:noWrap/>
            <w:vAlign w:val="bottom"/>
            <w:hideMark/>
          </w:tcPr>
          <w:p w:rsidR="0053316D" w:rsidRPr="00A34388" w:rsidRDefault="0053316D">
            <w:pPr>
              <w:spacing w:before="120" w:after="120" w:line="276" w:lineRule="auto"/>
              <w:jc w:val="center"/>
              <w:rPr>
                <w:rFonts w:cs="Arial"/>
                <w:b/>
                <w:bCs/>
                <w:color w:val="000000"/>
                <w:sz w:val="16"/>
                <w:szCs w:val="16"/>
                <w:lang w:val="es-ES_tradnl"/>
              </w:rPr>
            </w:pPr>
            <w:r w:rsidRPr="00A34388">
              <w:rPr>
                <w:rFonts w:cs="Arial"/>
                <w:b/>
                <w:bCs/>
                <w:color w:val="000000"/>
                <w:sz w:val="16"/>
                <w:szCs w:val="16"/>
                <w:lang w:val="es-ES_tradnl"/>
              </w:rPr>
              <w:t xml:space="preserve"> </w:t>
            </w:r>
          </w:p>
        </w:tc>
        <w:tc>
          <w:tcPr>
            <w:tcW w:w="4658" w:type="dxa"/>
            <w:tcBorders>
              <w:top w:val="nil"/>
              <w:left w:val="nil"/>
              <w:bottom w:val="single" w:sz="4" w:space="0" w:color="auto"/>
              <w:right w:val="nil"/>
            </w:tcBorders>
            <w:shd w:val="clear" w:color="auto" w:fill="CCFFFF"/>
            <w:noWrap/>
            <w:vAlign w:val="center"/>
            <w:hideMark/>
          </w:tcPr>
          <w:p w:rsidR="0053316D" w:rsidRPr="00A34388" w:rsidRDefault="0053316D">
            <w:pPr>
              <w:spacing w:before="120" w:after="120" w:line="276" w:lineRule="auto"/>
              <w:rPr>
                <w:rFonts w:cs="Arial"/>
                <w:b/>
                <w:bCs/>
                <w:color w:val="000000"/>
                <w:sz w:val="16"/>
                <w:szCs w:val="16"/>
                <w:lang w:val="es-ES_tradnl"/>
              </w:rPr>
            </w:pPr>
            <w:r w:rsidRPr="00A34388">
              <w:rPr>
                <w:rFonts w:cs="Arial"/>
                <w:b/>
                <w:bCs/>
                <w:color w:val="000000"/>
                <w:sz w:val="16"/>
                <w:szCs w:val="16"/>
                <w:lang w:val="es-ES_tradnl"/>
              </w:rPr>
              <w:t>TOTAL</w:t>
            </w:r>
          </w:p>
        </w:tc>
        <w:tc>
          <w:tcPr>
            <w:tcW w:w="1370"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000000"/>
                <w:sz w:val="16"/>
                <w:szCs w:val="16"/>
                <w:lang w:val="es-ES_tradnl"/>
              </w:rPr>
            </w:pPr>
            <w:r w:rsidRPr="00A34388">
              <w:rPr>
                <w:rFonts w:cs="Arial"/>
                <w:b/>
                <w:bCs/>
                <w:color w:val="000000"/>
                <w:sz w:val="16"/>
                <w:szCs w:val="16"/>
                <w:lang w:val="es-ES_tradnl"/>
              </w:rPr>
              <w:t>46.271</w:t>
            </w:r>
          </w:p>
        </w:tc>
        <w:tc>
          <w:tcPr>
            <w:tcW w:w="1370" w:type="dxa"/>
            <w:tcBorders>
              <w:top w:val="single" w:sz="4" w:space="0" w:color="auto"/>
              <w:left w:val="nil"/>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right"/>
              <w:rPr>
                <w:rFonts w:cs="Arial"/>
                <w:b/>
                <w:bCs/>
                <w:color w:val="000000"/>
                <w:sz w:val="16"/>
                <w:szCs w:val="16"/>
                <w:lang w:val="es-ES_tradnl"/>
              </w:rPr>
            </w:pPr>
            <w:r w:rsidRPr="00A34388">
              <w:rPr>
                <w:rFonts w:cs="Arial"/>
                <w:b/>
                <w:bCs/>
                <w:color w:val="000000"/>
                <w:sz w:val="16"/>
                <w:szCs w:val="16"/>
                <w:lang w:val="es-ES_tradnl"/>
              </w:rPr>
              <w:t>40.688</w:t>
            </w:r>
          </w:p>
        </w:tc>
        <w:tc>
          <w:tcPr>
            <w:tcW w:w="1371"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000000"/>
                <w:sz w:val="16"/>
                <w:szCs w:val="16"/>
                <w:lang w:val="es-ES_tradnl"/>
              </w:rPr>
            </w:pPr>
            <w:r w:rsidRPr="00A34388">
              <w:rPr>
                <w:rFonts w:cs="Arial"/>
                <w:b/>
                <w:bCs/>
                <w:color w:val="000000"/>
                <w:sz w:val="16"/>
                <w:szCs w:val="16"/>
                <w:lang w:val="es-ES_tradnl"/>
              </w:rPr>
              <w:t>38.665</w:t>
            </w:r>
          </w:p>
        </w:tc>
      </w:tr>
    </w:tbl>
    <w:p w:rsidR="0053316D" w:rsidRPr="00A34388" w:rsidRDefault="0053316D" w:rsidP="0053316D">
      <w:pPr>
        <w:pStyle w:val="NormalWeb"/>
        <w:spacing w:before="0" w:beforeAutospacing="0" w:after="0" w:afterAutospacing="0"/>
        <w:jc w:val="center"/>
        <w:rPr>
          <w:color w:val="000000"/>
          <w:sz w:val="20"/>
          <w:szCs w:val="20"/>
          <w:lang w:val="es-ES_tradnl"/>
        </w:rPr>
      </w:pPr>
    </w:p>
    <w:p w:rsidR="0053316D" w:rsidRPr="00A34388" w:rsidRDefault="0053316D" w:rsidP="0053316D">
      <w:pPr>
        <w:rPr>
          <w:color w:val="000000"/>
          <w:szCs w:val="20"/>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(de personal y no relativos al personal)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rFonts w:cs="Arial"/>
          <w:szCs w:val="22"/>
          <w:lang w:val="es-ES_tradnl"/>
        </w:rPr>
      </w:pPr>
    </w:p>
    <w:tbl>
      <w:tblPr>
        <w:tblW w:w="0" w:type="auto"/>
        <w:tblInd w:w="93" w:type="dxa"/>
        <w:tblLook w:val="04A0" w:firstRow="1" w:lastRow="0" w:firstColumn="1" w:lastColumn="0" w:noHBand="0" w:noVBand="1"/>
      </w:tblPr>
      <w:tblGrid>
        <w:gridCol w:w="2567"/>
        <w:gridCol w:w="1701"/>
        <w:gridCol w:w="1701"/>
        <w:gridCol w:w="1701"/>
        <w:gridCol w:w="1701"/>
      </w:tblGrid>
      <w:tr w:rsidR="0053316D" w:rsidRPr="00A34388" w:rsidTr="0053316D">
        <w:trPr>
          <w:trHeight w:val="480"/>
        </w:trPr>
        <w:tc>
          <w:tcPr>
            <w:tcW w:w="256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line="276" w:lineRule="auto"/>
              <w:rPr>
                <w:rFonts w:cs="Arial"/>
                <w:color w:val="000000"/>
                <w:sz w:val="16"/>
                <w:szCs w:val="16"/>
                <w:lang w:val="es-ES_tradnl"/>
              </w:rPr>
            </w:pPr>
            <w:r w:rsidRPr="00A34388">
              <w:rPr>
                <w:rFonts w:cs="Arial"/>
                <w:color w:val="000000"/>
                <w:sz w:val="16"/>
                <w:szCs w:val="16"/>
                <w:lang w:val="es-ES_tradnl"/>
              </w:rPr>
              <w:t xml:space="preserve"> </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line="276" w:lineRule="auto"/>
              <w:jc w:val="center"/>
              <w:rPr>
                <w:rFonts w:cs="Arial"/>
                <w:bCs/>
                <w:color w:val="000000"/>
                <w:sz w:val="16"/>
                <w:szCs w:val="16"/>
                <w:lang w:val="es-ES_tradnl"/>
              </w:rPr>
            </w:pPr>
            <w:r w:rsidRPr="00332758">
              <w:rPr>
                <w:rFonts w:cs="Arial"/>
                <w:bCs/>
                <w:sz w:val="16"/>
                <w:szCs w:val="16"/>
                <w:lang w:val="es-ES_tradnl"/>
              </w:rPr>
              <w:t>Presupuesto aprobado 2012/13</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line="276" w:lineRule="auto"/>
              <w:jc w:val="center"/>
              <w:rPr>
                <w:rFonts w:cs="Arial"/>
                <w:b/>
                <w:bCs/>
                <w:color w:val="000000"/>
                <w:sz w:val="16"/>
                <w:szCs w:val="16"/>
                <w:lang w:val="es-ES_tradnl"/>
              </w:rPr>
            </w:pPr>
            <w:r w:rsidRPr="00332758">
              <w:rPr>
                <w:rFonts w:cs="Arial"/>
                <w:bCs/>
                <w:sz w:val="16"/>
                <w:szCs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line="276" w:lineRule="auto"/>
              <w:jc w:val="center"/>
              <w:rPr>
                <w:rFonts w:cs="Arial"/>
                <w:bCs/>
                <w:color w:val="000000"/>
                <w:sz w:val="16"/>
                <w:szCs w:val="16"/>
                <w:lang w:val="es-ES_tradnl"/>
              </w:rPr>
            </w:pPr>
            <w:r w:rsidRPr="00332758">
              <w:rPr>
                <w:rFonts w:cs="Arial"/>
                <w:bCs/>
                <w:sz w:val="16"/>
                <w:szCs w:val="16"/>
                <w:lang w:val="es-ES_tradnl"/>
              </w:rPr>
              <w:t>Gastos en  2012/13</w:t>
            </w:r>
          </w:p>
        </w:tc>
        <w:tc>
          <w:tcPr>
            <w:tcW w:w="1701" w:type="dxa"/>
            <w:tcBorders>
              <w:top w:val="single" w:sz="4" w:space="0" w:color="auto"/>
              <w:left w:val="nil"/>
              <w:bottom w:val="nil"/>
              <w:right w:val="single" w:sz="4" w:space="0" w:color="auto"/>
            </w:tcBorders>
            <w:shd w:val="clear" w:color="auto" w:fill="CCFFFF"/>
            <w:vAlign w:val="center"/>
            <w:hideMark/>
          </w:tcPr>
          <w:p w:rsidR="0053316D" w:rsidRPr="00332758" w:rsidRDefault="0053316D">
            <w:pPr>
              <w:spacing w:line="276" w:lineRule="auto"/>
              <w:jc w:val="center"/>
              <w:rPr>
                <w:rFonts w:cs="Arial"/>
                <w:bCs/>
                <w:sz w:val="16"/>
                <w:szCs w:val="16"/>
                <w:lang w:val="es-ES_tradnl"/>
              </w:rPr>
            </w:pPr>
            <w:r w:rsidRPr="00332758">
              <w:rPr>
                <w:rFonts w:cs="Arial"/>
                <w:bCs/>
                <w:sz w:val="16"/>
                <w:szCs w:val="16"/>
                <w:lang w:val="es-ES_tradnl"/>
              </w:rPr>
              <w:t>Índice de utilización</w:t>
            </w:r>
          </w:p>
        </w:tc>
      </w:tr>
      <w:tr w:rsidR="0053316D" w:rsidRPr="00A34388" w:rsidTr="0053316D">
        <w:trPr>
          <w:trHeight w:val="555"/>
        </w:trPr>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line="276" w:lineRule="auto"/>
              <w:rPr>
                <w:rFonts w:cs="Arial"/>
                <w:color w:val="808080"/>
                <w:sz w:val="16"/>
                <w:szCs w:val="16"/>
                <w:lang w:val="es-ES_tradnl"/>
              </w:rPr>
            </w:pPr>
            <w:r w:rsidRPr="00332758">
              <w:rPr>
                <w:rFonts w:cs="Arial"/>
                <w:sz w:val="16"/>
                <w:szCs w:val="16"/>
                <w:lang w:val="es-ES_tradnl"/>
              </w:rPr>
              <w:t xml:space="preserve">Recursos de personal  </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17.351</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18.780</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18.780</w:t>
            </w:r>
          </w:p>
        </w:tc>
        <w:tc>
          <w:tcPr>
            <w:tcW w:w="1701" w:type="dxa"/>
            <w:tcBorders>
              <w:top w:val="single" w:sz="4" w:space="0" w:color="auto"/>
              <w:left w:val="nil"/>
              <w:bottom w:val="single" w:sz="4" w:space="0" w:color="auto"/>
              <w:right w:val="single" w:sz="4" w:space="0" w:color="auto"/>
            </w:tcBorders>
            <w:vAlign w:val="center"/>
            <w:hideMark/>
          </w:tcPr>
          <w:p w:rsidR="0053316D" w:rsidRPr="00332758" w:rsidRDefault="0053316D">
            <w:pPr>
              <w:spacing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rPr>
          <w:trHeight w:val="555"/>
        </w:trPr>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line="276" w:lineRule="auto"/>
              <w:rPr>
                <w:rFonts w:cs="Arial"/>
                <w:color w:val="808080"/>
                <w:sz w:val="16"/>
                <w:szCs w:val="16"/>
                <w:lang w:val="es-ES_tradnl"/>
              </w:rPr>
            </w:pPr>
            <w:r w:rsidRPr="00332758">
              <w:rPr>
                <w:rFonts w:cs="Arial"/>
                <w:sz w:val="16"/>
                <w:szCs w:val="16"/>
                <w:lang w:val="es-ES_tradnl"/>
              </w:rPr>
              <w:t xml:space="preserve">Recursos no relativos al personal </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28.920</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21.908</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color w:val="808080"/>
                <w:sz w:val="16"/>
                <w:szCs w:val="16"/>
                <w:lang w:val="es-ES_tradnl"/>
              </w:rPr>
            </w:pPr>
            <w:r w:rsidRPr="00332758">
              <w:rPr>
                <w:rFonts w:cs="Arial"/>
                <w:sz w:val="16"/>
                <w:szCs w:val="16"/>
                <w:lang w:val="es-ES_tradnl"/>
              </w:rPr>
              <w:t>19.885</w:t>
            </w:r>
          </w:p>
        </w:tc>
        <w:tc>
          <w:tcPr>
            <w:tcW w:w="1701" w:type="dxa"/>
            <w:tcBorders>
              <w:top w:val="nil"/>
              <w:left w:val="nil"/>
              <w:bottom w:val="single" w:sz="4" w:space="0" w:color="auto"/>
              <w:right w:val="single" w:sz="4" w:space="0" w:color="auto"/>
            </w:tcBorders>
            <w:vAlign w:val="center"/>
            <w:hideMark/>
          </w:tcPr>
          <w:p w:rsidR="0053316D" w:rsidRPr="00332758" w:rsidRDefault="0053316D">
            <w:pPr>
              <w:spacing w:line="276" w:lineRule="auto"/>
              <w:jc w:val="center"/>
              <w:rPr>
                <w:rFonts w:cs="Arial"/>
                <w:sz w:val="16"/>
                <w:szCs w:val="16"/>
                <w:lang w:val="es-ES_tradnl"/>
              </w:rPr>
            </w:pPr>
            <w:r w:rsidRPr="00332758">
              <w:rPr>
                <w:rFonts w:cs="Arial"/>
                <w:sz w:val="16"/>
                <w:szCs w:val="16"/>
                <w:lang w:val="es-ES_tradnl"/>
              </w:rPr>
              <w:t>91%</w:t>
            </w:r>
          </w:p>
        </w:tc>
      </w:tr>
      <w:tr w:rsidR="0053316D" w:rsidRPr="00A34388" w:rsidTr="0053316D">
        <w:trPr>
          <w:trHeight w:val="555"/>
        </w:trPr>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line="276" w:lineRule="auto"/>
              <w:jc w:val="right"/>
              <w:rPr>
                <w:rFonts w:cs="Arial"/>
                <w:b/>
                <w:bCs/>
                <w:color w:val="808080"/>
                <w:sz w:val="16"/>
                <w:szCs w:val="16"/>
                <w:lang w:val="es-ES_tradnl"/>
              </w:rPr>
            </w:pPr>
            <w:r w:rsidRPr="00332758">
              <w:rPr>
                <w:rFonts w:cs="Arial"/>
                <w:b/>
                <w:bCs/>
                <w:sz w:val="16"/>
                <w:szCs w:val="16"/>
                <w:lang w:val="es-ES_tradnl"/>
              </w:rPr>
              <w:t xml:space="preserve"> TOTAL </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b/>
                <w:bCs/>
                <w:color w:val="808080"/>
                <w:sz w:val="16"/>
                <w:szCs w:val="16"/>
                <w:lang w:val="es-ES_tradnl"/>
              </w:rPr>
            </w:pPr>
            <w:r w:rsidRPr="00332758">
              <w:rPr>
                <w:rFonts w:cs="Arial"/>
                <w:b/>
                <w:bCs/>
                <w:sz w:val="16"/>
                <w:szCs w:val="16"/>
                <w:lang w:val="es-ES_tradnl"/>
              </w:rPr>
              <w:t>46.271</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b/>
                <w:color w:val="808080"/>
                <w:sz w:val="16"/>
                <w:szCs w:val="16"/>
                <w:lang w:val="es-ES_tradnl"/>
              </w:rPr>
            </w:pPr>
            <w:r w:rsidRPr="00332758">
              <w:rPr>
                <w:rFonts w:cs="Arial"/>
                <w:b/>
                <w:sz w:val="16"/>
                <w:szCs w:val="16"/>
                <w:lang w:val="es-ES_tradnl"/>
              </w:rPr>
              <w:t>40.688</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line="276" w:lineRule="auto"/>
              <w:jc w:val="center"/>
              <w:rPr>
                <w:rFonts w:cs="Arial"/>
                <w:b/>
                <w:color w:val="808080"/>
                <w:sz w:val="16"/>
                <w:szCs w:val="16"/>
                <w:lang w:val="es-ES_tradnl"/>
              </w:rPr>
            </w:pPr>
            <w:r w:rsidRPr="00332758">
              <w:rPr>
                <w:rFonts w:cs="Arial"/>
                <w:b/>
                <w:sz w:val="16"/>
                <w:szCs w:val="16"/>
                <w:lang w:val="es-ES_tradnl"/>
              </w:rPr>
              <w:t>38.665</w:t>
            </w:r>
          </w:p>
        </w:tc>
        <w:tc>
          <w:tcPr>
            <w:tcW w:w="1701" w:type="dxa"/>
            <w:tcBorders>
              <w:top w:val="nil"/>
              <w:left w:val="nil"/>
              <w:bottom w:val="single" w:sz="4" w:space="0" w:color="auto"/>
              <w:right w:val="single" w:sz="4" w:space="0" w:color="auto"/>
            </w:tcBorders>
            <w:vAlign w:val="center"/>
            <w:hideMark/>
          </w:tcPr>
          <w:p w:rsidR="0053316D" w:rsidRPr="00332758" w:rsidRDefault="0053316D">
            <w:pPr>
              <w:spacing w:line="276" w:lineRule="auto"/>
              <w:jc w:val="center"/>
              <w:rPr>
                <w:rFonts w:cs="Arial"/>
                <w:b/>
                <w:sz w:val="16"/>
                <w:szCs w:val="16"/>
                <w:lang w:val="es-ES_tradnl"/>
              </w:rPr>
            </w:pPr>
            <w:r w:rsidRPr="00332758">
              <w:rPr>
                <w:rFonts w:cs="Arial"/>
                <w:b/>
                <w:sz w:val="16"/>
                <w:szCs w:val="16"/>
                <w:lang w:val="es-ES_tradnl"/>
              </w:rPr>
              <w:t>95%</w:t>
            </w:r>
          </w:p>
        </w:tc>
      </w:tr>
    </w:tbl>
    <w:p w:rsidR="0053316D" w:rsidRPr="00A34388" w:rsidRDefault="0053316D" w:rsidP="0053316D">
      <w:pPr>
        <w:rPr>
          <w:rFonts w:cs="Arial"/>
          <w:szCs w:val="22"/>
          <w:lang w:val="es-ES_tradnl"/>
        </w:rPr>
      </w:pPr>
    </w:p>
    <w:p w:rsidR="0053316D" w:rsidRPr="00A34388" w:rsidRDefault="0053316D" w:rsidP="0053316D">
      <w:pPr>
        <w:keepNext/>
        <w:autoSpaceDE w:val="0"/>
        <w:autoSpaceDN w:val="0"/>
        <w:rPr>
          <w:sz w:val="16"/>
          <w:szCs w:val="16"/>
          <w:lang w:val="es-ES_tradnl"/>
        </w:rPr>
      </w:pPr>
      <w:r w:rsidRPr="00332758">
        <w:rPr>
          <w:sz w:val="16"/>
          <w:szCs w:val="16"/>
          <w:lang w:val="es-ES_tradnl"/>
        </w:rPr>
        <w:t>NOTAS:</w:t>
      </w:r>
    </w:p>
    <w:p w:rsidR="0053316D" w:rsidRPr="00A34388" w:rsidRDefault="0053316D" w:rsidP="0053316D">
      <w:pPr>
        <w:keepNext/>
        <w:autoSpaceDE w:val="0"/>
        <w:autoSpaceDN w:val="0"/>
        <w:rPr>
          <w:sz w:val="16"/>
          <w:szCs w:val="16"/>
          <w:lang w:val="es-ES_tradnl"/>
        </w:rPr>
      </w:pPr>
    </w:p>
    <w:p w:rsidR="0053316D" w:rsidRPr="00A34388" w:rsidRDefault="0053316D" w:rsidP="0053316D">
      <w:pPr>
        <w:keepNext/>
        <w:autoSpaceDE w:val="0"/>
        <w:autoSpaceDN w:val="0"/>
        <w:rPr>
          <w:sz w:val="16"/>
          <w:szCs w:val="16"/>
          <w:lang w:val="es-ES_tradnl"/>
        </w:rPr>
      </w:pPr>
      <w:r w:rsidRPr="00332758">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sz w:val="16"/>
          <w:szCs w:val="16"/>
          <w:lang w:val="es-ES_tradnl"/>
        </w:rPr>
      </w:pPr>
    </w:p>
    <w:p w:rsidR="0053316D" w:rsidRPr="00A34388" w:rsidRDefault="0053316D" w:rsidP="004C0FD5">
      <w:pPr>
        <w:keepNext/>
        <w:autoSpaceDE w:val="0"/>
        <w:autoSpaceDN w:val="0"/>
        <w:jc w:val="both"/>
        <w:rPr>
          <w:sz w:val="16"/>
          <w:szCs w:val="16"/>
          <w:lang w:val="es-ES_tradnl"/>
        </w:rPr>
      </w:pPr>
      <w:r w:rsidRPr="00A34388">
        <w:rPr>
          <w:sz w:val="16"/>
          <w:szCs w:val="16"/>
          <w:lang w:val="es-ES_tradnl"/>
        </w:rPr>
        <w:t xml:space="preserve">2)  La asignación para el personal del presupuesto de 2012/13 después de las transferencias representa los gastos reales efectuados en el bienio.  </w:t>
      </w:r>
    </w:p>
    <w:p w:rsidR="0053316D" w:rsidRPr="00A34388" w:rsidRDefault="0053316D" w:rsidP="0053316D">
      <w:pPr>
        <w:rPr>
          <w:rFonts w:cs="Arial"/>
          <w:szCs w:val="22"/>
          <w:lang w:val="es-ES_tradnl"/>
        </w:rPr>
      </w:pPr>
    </w:p>
    <w:p w:rsidR="0053316D" w:rsidRPr="00332758" w:rsidRDefault="0053316D" w:rsidP="0053316D">
      <w:pPr>
        <w:rPr>
          <w:rFonts w:cs="Arial"/>
          <w:szCs w:val="20"/>
          <w:lang w:val="es-ES_tradnl"/>
        </w:rPr>
      </w:pPr>
    </w:p>
    <w:p w:rsidR="0053316D" w:rsidRPr="00332758" w:rsidRDefault="0053316D" w:rsidP="0053316D">
      <w:pPr>
        <w:tabs>
          <w:tab w:val="left" w:pos="709"/>
        </w:tabs>
        <w:rPr>
          <w:u w:val="single"/>
          <w:lang w:val="es-ES_tradnl"/>
        </w:rPr>
      </w:pPr>
      <w:r w:rsidRPr="00332758">
        <w:rPr>
          <w:lang w:val="es-ES_tradnl"/>
        </w:rPr>
        <w:t>A.</w:t>
      </w:r>
      <w:r w:rsidRPr="00332758">
        <w:rPr>
          <w:lang w:val="es-ES_tradnl"/>
        </w:rPr>
        <w:tab/>
      </w:r>
      <w:r w:rsidRPr="00332758">
        <w:rPr>
          <w:u w:val="single"/>
          <w:lang w:val="es-ES_tradnl"/>
        </w:rPr>
        <w:t xml:space="preserve">Presupuesto 2012/13 después de las transferencias </w:t>
      </w:r>
    </w:p>
    <w:p w:rsidR="0053316D" w:rsidRPr="00A34388" w:rsidRDefault="0053316D" w:rsidP="0053316D">
      <w:pPr>
        <w:tabs>
          <w:tab w:val="left" w:pos="709"/>
        </w:tabs>
        <w:jc w:val="both"/>
        <w:rPr>
          <w:u w:val="single"/>
          <w:lang w:val="es-ES_tradnl"/>
        </w:rPr>
      </w:pPr>
    </w:p>
    <w:p w:rsidR="0053316D" w:rsidRPr="00A34388" w:rsidRDefault="0053316D" w:rsidP="0053316D">
      <w:pPr>
        <w:pStyle w:val="ListParagraph"/>
        <w:tabs>
          <w:tab w:val="left" w:pos="709"/>
        </w:tabs>
        <w:autoSpaceDE w:val="0"/>
        <w:autoSpaceDN w:val="0"/>
        <w:ind w:left="0"/>
        <w:jc w:val="both"/>
        <w:rPr>
          <w:lang w:val="es-ES_tradnl"/>
        </w:rPr>
      </w:pPr>
      <w:r w:rsidRPr="00A34388">
        <w:rPr>
          <w:lang w:val="es-ES_tradnl"/>
        </w:rPr>
        <w:t>24.14.</w:t>
      </w:r>
      <w:r w:rsidRPr="00A34388">
        <w:rPr>
          <w:lang w:val="es-ES_tradnl"/>
        </w:rPr>
        <w:tab/>
        <w:t xml:space="preserve">El presupuesto 2012/13 después de las transferencias </w:t>
      </w:r>
      <w:r w:rsidR="000A4C66" w:rsidRPr="00A34388">
        <w:rPr>
          <w:lang w:val="es-ES_tradnl"/>
        </w:rPr>
        <w:t xml:space="preserve">refleja </w:t>
      </w:r>
      <w:r w:rsidRPr="00A34388">
        <w:rPr>
          <w:lang w:val="es-ES_tradnl"/>
        </w:rPr>
        <w:t>un</w:t>
      </w:r>
      <w:r w:rsidR="00127ECC" w:rsidRPr="00A34388">
        <w:rPr>
          <w:lang w:val="es-ES_tradnl"/>
        </w:rPr>
        <w:t>a</w:t>
      </w:r>
      <w:r w:rsidRPr="00A34388">
        <w:rPr>
          <w:lang w:val="es-ES_tradnl"/>
        </w:rPr>
        <w:t xml:space="preserve"> </w:t>
      </w:r>
      <w:r w:rsidR="00127ECC" w:rsidRPr="00A34388">
        <w:rPr>
          <w:lang w:val="es-ES_tradnl"/>
        </w:rPr>
        <w:t xml:space="preserve">reducción </w:t>
      </w:r>
      <w:r w:rsidRPr="00A34388">
        <w:rPr>
          <w:lang w:val="es-ES_tradnl"/>
        </w:rPr>
        <w:t xml:space="preserve">de los recursos no relativos al personal, sobre todo para servicios contractuales y contratos de mantenimiento, en el </w:t>
      </w:r>
      <w:r w:rsidR="000A4C66" w:rsidRPr="00A34388">
        <w:rPr>
          <w:lang w:val="es-ES_tradnl"/>
        </w:rPr>
        <w:t xml:space="preserve">marco del </w:t>
      </w:r>
      <w:r w:rsidRPr="00A34388">
        <w:rPr>
          <w:lang w:val="es-ES_tradnl"/>
        </w:rPr>
        <w:t>resultado IX.1 (</w:t>
      </w:r>
      <w:r w:rsidR="00127ECC" w:rsidRPr="00A34388">
        <w:rPr>
          <w:lang w:val="es-ES_tradnl"/>
        </w:rPr>
        <w:t>S</w:t>
      </w:r>
      <w:r w:rsidRPr="00A34388">
        <w:rPr>
          <w:rFonts w:cs="Arial"/>
          <w:bCs/>
          <w:lang w:val="es-ES_tradnl"/>
        </w:rPr>
        <w:t>ervicios de apoyo eficaces, eficientes, de calidad y orientados al cliente</w:t>
      </w:r>
      <w:r w:rsidRPr="00A34388">
        <w:rPr>
          <w:lang w:val="es-ES_tradnl"/>
        </w:rPr>
        <w:t>)</w:t>
      </w:r>
      <w:r w:rsidR="000A4C66" w:rsidRPr="00A34388">
        <w:rPr>
          <w:lang w:val="es-ES_tradnl"/>
        </w:rPr>
        <w:t>, como consecuencia de</w:t>
      </w:r>
      <w:r w:rsidRPr="00A34388">
        <w:rPr>
          <w:lang w:val="es-ES_tradnl"/>
        </w:rPr>
        <w:t xml:space="preserve">: </w:t>
      </w:r>
    </w:p>
    <w:p w:rsidR="0053316D" w:rsidRPr="00A34388" w:rsidRDefault="0053316D" w:rsidP="0053316D">
      <w:pPr>
        <w:pStyle w:val="ListParagraph"/>
        <w:tabs>
          <w:tab w:val="left" w:pos="709"/>
        </w:tabs>
        <w:autoSpaceDE w:val="0"/>
        <w:autoSpaceDN w:val="0"/>
        <w:ind w:left="0"/>
        <w:jc w:val="both"/>
        <w:rPr>
          <w:lang w:val="es-ES_tradnl"/>
        </w:rPr>
      </w:pPr>
    </w:p>
    <w:p w:rsidR="0053316D" w:rsidRPr="00A34388" w:rsidRDefault="00127ECC" w:rsidP="0053316D">
      <w:pPr>
        <w:pStyle w:val="ListParagraph"/>
        <w:numPr>
          <w:ilvl w:val="0"/>
          <w:numId w:val="84"/>
        </w:numPr>
        <w:tabs>
          <w:tab w:val="left" w:pos="709"/>
        </w:tabs>
        <w:autoSpaceDE w:val="0"/>
        <w:autoSpaceDN w:val="0"/>
        <w:jc w:val="both"/>
        <w:rPr>
          <w:lang w:val="es-ES_tradnl"/>
        </w:rPr>
      </w:pPr>
      <w:r w:rsidRPr="00A34388">
        <w:rPr>
          <w:lang w:val="es-ES_tradnl"/>
        </w:rPr>
        <w:lastRenderedPageBreak/>
        <w:t>a</w:t>
      </w:r>
      <w:r w:rsidR="0053316D" w:rsidRPr="00A34388">
        <w:rPr>
          <w:lang w:val="es-ES_tradnl"/>
        </w:rPr>
        <w:t>umento</w:t>
      </w:r>
      <w:r w:rsidR="001D043A" w:rsidRPr="00A34388">
        <w:rPr>
          <w:lang w:val="es-ES_tradnl"/>
        </w:rPr>
        <w:t>s</w:t>
      </w:r>
      <w:r w:rsidR="0053316D" w:rsidRPr="00A34388">
        <w:rPr>
          <w:lang w:val="es-ES_tradnl"/>
        </w:rPr>
        <w:t xml:space="preserve"> de la eficacia en función de los costos, de conformidad con el compromiso de la Organización de reducir gastos por un importe de 10,2 millones de francos suizos en el bienio 2012/13;  y,</w:t>
      </w:r>
    </w:p>
    <w:p w:rsidR="0053316D" w:rsidRPr="00A34388" w:rsidRDefault="0053316D" w:rsidP="0053316D">
      <w:pPr>
        <w:pStyle w:val="ListParagraph"/>
        <w:numPr>
          <w:ilvl w:val="0"/>
          <w:numId w:val="84"/>
        </w:numPr>
        <w:tabs>
          <w:tab w:val="left" w:pos="709"/>
        </w:tabs>
        <w:autoSpaceDE w:val="0"/>
        <w:autoSpaceDN w:val="0"/>
        <w:jc w:val="both"/>
        <w:rPr>
          <w:lang w:val="es-ES_tradnl"/>
        </w:rPr>
      </w:pPr>
      <w:r w:rsidRPr="00A34388">
        <w:rPr>
          <w:lang w:val="es-ES_tradnl"/>
        </w:rPr>
        <w:t xml:space="preserve">la satisfactoria </w:t>
      </w:r>
      <w:r w:rsidR="00127ECC" w:rsidRPr="00A34388">
        <w:rPr>
          <w:lang w:val="es-ES_tradnl"/>
        </w:rPr>
        <w:t xml:space="preserve">puesta en práctica </w:t>
      </w:r>
      <w:r w:rsidRPr="00A34388">
        <w:rPr>
          <w:lang w:val="es-ES_tradnl"/>
        </w:rPr>
        <w:t xml:space="preserve">de una política de asignación del espacio de oficinas más estricta, gracias a la cual </w:t>
      </w:r>
      <w:r w:rsidR="000A4C66" w:rsidRPr="00A34388">
        <w:rPr>
          <w:lang w:val="es-ES_tradnl"/>
        </w:rPr>
        <w:t xml:space="preserve">existe una menor </w:t>
      </w:r>
      <w:r w:rsidR="001D043A" w:rsidRPr="00A34388">
        <w:rPr>
          <w:lang w:val="es-ES_tradnl"/>
        </w:rPr>
        <w:t xml:space="preserve">necesidad de </w:t>
      </w:r>
      <w:r w:rsidR="00127ECC" w:rsidRPr="00A34388">
        <w:rPr>
          <w:lang w:val="es-ES_tradnl"/>
        </w:rPr>
        <w:t xml:space="preserve">arrendar </w:t>
      </w:r>
      <w:r w:rsidRPr="00A34388">
        <w:rPr>
          <w:lang w:val="es-ES_tradnl"/>
        </w:rPr>
        <w:t xml:space="preserve">espacio para oficinas fuera del recinto de la OMPI.  </w:t>
      </w:r>
    </w:p>
    <w:p w:rsidR="0053316D" w:rsidRPr="00A34388" w:rsidRDefault="0053316D" w:rsidP="0053316D">
      <w:pPr>
        <w:tabs>
          <w:tab w:val="left" w:pos="709"/>
        </w:tabs>
        <w:autoSpaceDE w:val="0"/>
        <w:autoSpaceDN w:val="0"/>
        <w:jc w:val="both"/>
        <w:rPr>
          <w:lang w:val="es-ES_tradnl"/>
        </w:rPr>
      </w:pPr>
    </w:p>
    <w:p w:rsidR="0053316D" w:rsidRPr="00A34388" w:rsidRDefault="0053316D" w:rsidP="0053316D">
      <w:pPr>
        <w:tabs>
          <w:tab w:val="left" w:pos="709"/>
        </w:tabs>
        <w:autoSpaceDE w:val="0"/>
        <w:autoSpaceDN w:val="0"/>
        <w:jc w:val="both"/>
        <w:rPr>
          <w:lang w:val="es-ES_tradnl" w:eastAsia="ko-KR"/>
        </w:rPr>
      </w:pPr>
      <w:r w:rsidRPr="00A34388">
        <w:rPr>
          <w:lang w:val="es-ES_tradnl"/>
        </w:rPr>
        <w:t>24.15.</w:t>
      </w:r>
      <w:r w:rsidRPr="00A34388">
        <w:rPr>
          <w:lang w:val="es-ES_tradnl"/>
        </w:rPr>
        <w:tab/>
      </w:r>
      <w:r w:rsidRPr="00A34388">
        <w:rPr>
          <w:lang w:val="es-ES_tradnl" w:eastAsia="ko-KR"/>
        </w:rPr>
        <w:t xml:space="preserve">El </w:t>
      </w:r>
      <w:r w:rsidR="000A4C66" w:rsidRPr="00A34388">
        <w:rPr>
          <w:lang w:val="es-ES_tradnl" w:eastAsia="ko-KR"/>
        </w:rPr>
        <w:t xml:space="preserve">incremento </w:t>
      </w:r>
      <w:r w:rsidRPr="00A34388">
        <w:rPr>
          <w:lang w:val="es-ES_tradnl" w:eastAsia="ko-KR"/>
        </w:rPr>
        <w:t xml:space="preserve">de los recursos relativos al personal se debe sobre todo a la regularización de varios empleados temporeros con muchos años de servicio y que realizaban funciones </w:t>
      </w:r>
      <w:r w:rsidR="00127ECC" w:rsidRPr="00A34388">
        <w:rPr>
          <w:lang w:val="es-ES_tradnl" w:eastAsia="ko-KR"/>
        </w:rPr>
        <w:t xml:space="preserve">de naturaleza </w:t>
      </w:r>
      <w:r w:rsidRPr="00A34388">
        <w:rPr>
          <w:lang w:val="es-ES_tradnl" w:eastAsia="ko-KR"/>
        </w:rPr>
        <w:t xml:space="preserve">permanentes en el </w:t>
      </w:r>
      <w:r w:rsidR="001D043A" w:rsidRPr="00A34388">
        <w:rPr>
          <w:lang w:val="es-ES_tradnl" w:eastAsia="ko-KR"/>
        </w:rPr>
        <w:t xml:space="preserve">marco del </w:t>
      </w:r>
      <w:r w:rsidRPr="00A34388">
        <w:rPr>
          <w:lang w:val="es-ES_tradnl" w:eastAsia="ko-KR"/>
        </w:rPr>
        <w:t>programa.</w:t>
      </w:r>
    </w:p>
    <w:p w:rsidR="0053316D" w:rsidRPr="00A34388" w:rsidRDefault="0053316D" w:rsidP="0053316D">
      <w:pPr>
        <w:tabs>
          <w:tab w:val="left" w:pos="709"/>
        </w:tabs>
        <w:jc w:val="both"/>
        <w:rPr>
          <w:lang w:val="es-ES_tradnl"/>
        </w:rPr>
      </w:pPr>
    </w:p>
    <w:p w:rsidR="0053316D" w:rsidRPr="00A34388" w:rsidRDefault="0053316D" w:rsidP="0053316D">
      <w:pPr>
        <w:tabs>
          <w:tab w:val="left" w:pos="709"/>
        </w:tabs>
        <w:jc w:val="both"/>
        <w:rPr>
          <w:u w:val="single"/>
          <w:lang w:val="es-ES_tradnl" w:eastAsia="ko-KR"/>
        </w:rPr>
      </w:pPr>
      <w:r w:rsidRPr="00A34388">
        <w:rPr>
          <w:lang w:val="es-ES_tradnl" w:eastAsia="ko-KR"/>
        </w:rPr>
        <w:t>B.</w:t>
      </w:r>
      <w:r w:rsidRPr="00A34388">
        <w:rPr>
          <w:lang w:val="es-ES_tradnl" w:eastAsia="ko-KR"/>
        </w:rPr>
        <w:tab/>
      </w:r>
      <w:r w:rsidRPr="00A34388">
        <w:rPr>
          <w:u w:val="single"/>
          <w:lang w:val="es-ES_tradnl" w:eastAsia="ko-KR"/>
        </w:rPr>
        <w:t xml:space="preserve">Utilización del presupuesto </w:t>
      </w:r>
      <w:r w:rsidR="001D043A" w:rsidRPr="00A34388">
        <w:rPr>
          <w:u w:val="single"/>
          <w:lang w:val="es-ES_tradnl"/>
        </w:rPr>
        <w:t>en 2012/13</w:t>
      </w:r>
    </w:p>
    <w:p w:rsidR="0053316D" w:rsidRPr="00A34388" w:rsidRDefault="0053316D" w:rsidP="0053316D">
      <w:pPr>
        <w:tabs>
          <w:tab w:val="left" w:pos="709"/>
        </w:tabs>
        <w:jc w:val="both"/>
        <w:rPr>
          <w:lang w:val="es-ES_tradnl"/>
        </w:rPr>
      </w:pPr>
    </w:p>
    <w:p w:rsidR="0053316D" w:rsidRPr="00A34388" w:rsidRDefault="0053316D" w:rsidP="0053316D">
      <w:pPr>
        <w:tabs>
          <w:tab w:val="left" w:pos="709"/>
        </w:tabs>
        <w:jc w:val="both"/>
        <w:rPr>
          <w:rFonts w:cs="Arial"/>
          <w:szCs w:val="20"/>
          <w:lang w:val="es-ES_tradnl"/>
        </w:rPr>
      </w:pPr>
      <w:r w:rsidRPr="00A34388">
        <w:rPr>
          <w:lang w:val="es-ES_tradnl"/>
        </w:rPr>
        <w:t>24.17.</w:t>
      </w:r>
      <w:r w:rsidRPr="00A34388">
        <w:rPr>
          <w:lang w:val="es-ES_tradnl"/>
        </w:rPr>
        <w:tab/>
        <w:t xml:space="preserve">La utilización del presupuesto (recursos no relativos al personal) </w:t>
      </w:r>
      <w:r w:rsidR="003E3F45">
        <w:rPr>
          <w:lang w:val="es-ES_tradnl"/>
        </w:rPr>
        <w:t>fue del</w:t>
      </w:r>
      <w:r w:rsidRPr="00A34388">
        <w:rPr>
          <w:lang w:val="es-ES_tradnl"/>
        </w:rPr>
        <w:t xml:space="preserve"> 91%, debido sobre todo a los ahorros de costos </w:t>
      </w:r>
      <w:r w:rsidR="00127ECC" w:rsidRPr="00A34388">
        <w:rPr>
          <w:lang w:val="es-ES_tradnl"/>
        </w:rPr>
        <w:t xml:space="preserve">asociados a </w:t>
      </w:r>
      <w:r w:rsidRPr="00A34388">
        <w:rPr>
          <w:lang w:val="es-ES_tradnl"/>
        </w:rPr>
        <w:t xml:space="preserve">las licitaciones que se realizaron </w:t>
      </w:r>
      <w:r w:rsidR="000A4C66" w:rsidRPr="00A34388">
        <w:rPr>
          <w:lang w:val="es-ES_tradnl"/>
        </w:rPr>
        <w:t xml:space="preserve">especialmente </w:t>
      </w:r>
      <w:r w:rsidRPr="00A34388">
        <w:rPr>
          <w:lang w:val="es-ES_tradnl"/>
        </w:rPr>
        <w:t xml:space="preserve">en colaboración con otras organizaciones internacionales, así como </w:t>
      </w:r>
      <w:r w:rsidR="00127ECC" w:rsidRPr="00A34388">
        <w:rPr>
          <w:lang w:val="es-ES_tradnl"/>
        </w:rPr>
        <w:t xml:space="preserve">a </w:t>
      </w:r>
      <w:r w:rsidRPr="00A34388">
        <w:rPr>
          <w:lang w:val="es-ES_tradnl"/>
        </w:rPr>
        <w:t xml:space="preserve">los ahorros </w:t>
      </w:r>
      <w:r w:rsidR="00127ECC" w:rsidRPr="00A34388">
        <w:rPr>
          <w:lang w:val="es-ES_tradnl"/>
        </w:rPr>
        <w:t xml:space="preserve">de </w:t>
      </w:r>
      <w:r w:rsidRPr="00A34388">
        <w:rPr>
          <w:lang w:val="es-ES_tradnl"/>
        </w:rPr>
        <w:t xml:space="preserve">consumo </w:t>
      </w:r>
      <w:r w:rsidR="00C6436B" w:rsidRPr="00A34388">
        <w:rPr>
          <w:lang w:val="es-ES_tradnl"/>
        </w:rPr>
        <w:t xml:space="preserve">de energía </w:t>
      </w:r>
      <w:r w:rsidRPr="00A34388">
        <w:rPr>
          <w:lang w:val="es-ES_tradnl"/>
        </w:rPr>
        <w:t>(</w:t>
      </w:r>
      <w:r w:rsidR="00C6436B" w:rsidRPr="00A34388">
        <w:rPr>
          <w:lang w:val="es-ES_tradnl"/>
        </w:rPr>
        <w:t xml:space="preserve">electricidad </w:t>
      </w:r>
      <w:r w:rsidRPr="00A34388">
        <w:rPr>
          <w:lang w:val="es-ES_tradnl"/>
        </w:rPr>
        <w:t xml:space="preserve">y agua) y </w:t>
      </w:r>
      <w:r w:rsidR="00C6436B" w:rsidRPr="00A34388">
        <w:rPr>
          <w:lang w:val="es-ES_tradnl"/>
        </w:rPr>
        <w:t xml:space="preserve">a </w:t>
      </w:r>
      <w:r w:rsidRPr="00A34388">
        <w:rPr>
          <w:lang w:val="es-ES_tradnl"/>
        </w:rPr>
        <w:t>la resolución del arrendamiento de dos áreas de almacenamiento ubicadas fuera del recinto.</w:t>
      </w:r>
    </w:p>
    <w:p w:rsidR="0053316D" w:rsidRPr="00A34388" w:rsidRDefault="0053316D" w:rsidP="0053316D">
      <w:pPr>
        <w:rPr>
          <w:rFonts w:eastAsia="SimSun"/>
          <w:color w:val="000000"/>
          <w:szCs w:val="20"/>
          <w:lang w:val="es-ES_tradnl" w:eastAsia="zh-CN"/>
        </w:rPr>
      </w:pPr>
      <w:r w:rsidRPr="00A34388">
        <w:rPr>
          <w:rFonts w:eastAsia="SimSun"/>
          <w:color w:val="000000"/>
          <w:szCs w:val="20"/>
          <w:lang w:val="es-ES_tradnl" w:eastAsia="zh-CN"/>
        </w:rPr>
        <w:br w:type="page"/>
      </w:r>
    </w:p>
    <w:p w:rsidR="00F90BD6" w:rsidRPr="003934C8" w:rsidRDefault="00F90BD6" w:rsidP="00F90BD6">
      <w:pPr>
        <w:pStyle w:val="Heading3"/>
        <w:rPr>
          <w:rFonts w:hint="eastAsia"/>
          <w:lang w:val="es-ES"/>
        </w:rPr>
      </w:pPr>
      <w:bookmarkStart w:id="96" w:name="_Toc392852666"/>
      <w:bookmarkStart w:id="97" w:name="_Toc395279686"/>
      <w:r w:rsidRPr="003934C8">
        <w:rPr>
          <w:lang w:val="es-ES"/>
        </w:rPr>
        <w:lastRenderedPageBreak/>
        <w:t>Programa 25</w:t>
      </w:r>
      <w:r w:rsidRPr="003934C8">
        <w:rPr>
          <w:lang w:val="es-ES"/>
        </w:rPr>
        <w:tab/>
        <w:t>Tecnologías de la información y de las comunicaciones</w:t>
      </w:r>
      <w:bookmarkEnd w:id="96"/>
      <w:bookmarkEnd w:id="97"/>
    </w:p>
    <w:p w:rsidR="00F90BD6" w:rsidRPr="00D42A38" w:rsidRDefault="00F90BD6" w:rsidP="00F90BD6">
      <w:pPr>
        <w:rPr>
          <w:b/>
          <w:sz w:val="22"/>
          <w:szCs w:val="22"/>
          <w:lang w:val="es-ES_tradnl"/>
        </w:rPr>
      </w:pPr>
    </w:p>
    <w:p w:rsidR="00F90BD6" w:rsidRPr="00D42A38" w:rsidRDefault="00F90BD6" w:rsidP="00F90BD6">
      <w:pPr>
        <w:rPr>
          <w:b/>
          <w:sz w:val="22"/>
          <w:szCs w:val="22"/>
          <w:lang w:val="es-ES_tradnl"/>
        </w:rPr>
      </w:pPr>
      <w:bookmarkStart w:id="98" w:name="_Toc394914536"/>
      <w:r>
        <w:rPr>
          <w:b/>
          <w:sz w:val="22"/>
          <w:szCs w:val="22"/>
          <w:lang w:val="es-ES_tradnl"/>
        </w:rPr>
        <w:t>Director del Programa</w:t>
      </w:r>
      <w:r>
        <w:rPr>
          <w:b/>
          <w:sz w:val="22"/>
          <w:szCs w:val="22"/>
          <w:lang w:val="es-ES_tradnl"/>
        </w:rPr>
        <w:tab/>
      </w:r>
      <w:r w:rsidRPr="00D42A38">
        <w:rPr>
          <w:b/>
          <w:sz w:val="22"/>
          <w:szCs w:val="22"/>
          <w:lang w:val="es-ES_tradnl"/>
        </w:rPr>
        <w:t>Sr. A. Sundaram</w:t>
      </w:r>
      <w:bookmarkEnd w:id="98"/>
    </w:p>
    <w:p w:rsidR="0053316D" w:rsidRPr="00A34388" w:rsidRDefault="0053316D" w:rsidP="0053316D">
      <w:pPr>
        <w:rPr>
          <w:rFonts w:cs="Arial"/>
          <w:bCs/>
          <w:color w:val="000000" w:themeColor="text1"/>
          <w:sz w:val="22"/>
          <w:szCs w:val="22"/>
          <w:lang w:val="es-ES_tradnl"/>
        </w:rPr>
      </w:pPr>
    </w:p>
    <w:p w:rsidR="0053316D" w:rsidRPr="00A34388" w:rsidRDefault="0053316D" w:rsidP="0053316D">
      <w:pPr>
        <w:rPr>
          <w:rFonts w:cs="Arial"/>
          <w:bCs/>
          <w:color w:val="000000" w:themeColor="text1"/>
          <w:sz w:val="22"/>
          <w:szCs w:val="22"/>
          <w:lang w:val="es-ES_tradnl"/>
        </w:rPr>
      </w:pPr>
    </w:p>
    <w:p w:rsidR="0053316D" w:rsidRPr="00A34388" w:rsidRDefault="0053316D" w:rsidP="0053316D">
      <w:pPr>
        <w:rPr>
          <w:rFonts w:cs="Arial"/>
          <w:color w:val="000000" w:themeColor="text1"/>
          <w:sz w:val="22"/>
          <w:szCs w:val="22"/>
          <w:lang w:val="es-ES_tradnl"/>
        </w:rPr>
      </w:pPr>
      <w:r w:rsidRPr="00A34388">
        <w:rPr>
          <w:rFonts w:cs="Arial"/>
          <w:bCs/>
          <w:color w:val="000000" w:themeColor="text1"/>
          <w:sz w:val="22"/>
          <w:szCs w:val="22"/>
          <w:lang w:val="es-ES_tradnl"/>
        </w:rPr>
        <w:t>AVANCES LOGRADOS EN EL BIENIO 2012/13</w:t>
      </w:r>
    </w:p>
    <w:p w:rsidR="0053316D" w:rsidRPr="00A34388" w:rsidRDefault="0053316D" w:rsidP="0053316D">
      <w:pPr>
        <w:jc w:val="both"/>
        <w:rPr>
          <w:rFonts w:cs="Arial"/>
          <w:color w:val="000000" w:themeColor="text1"/>
          <w:szCs w:val="20"/>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A34388">
        <w:rPr>
          <w:rFonts w:cs="Arial"/>
          <w:color w:val="000000" w:themeColor="text1"/>
          <w:szCs w:val="20"/>
          <w:lang w:val="es-ES_tradnl"/>
        </w:rPr>
        <w:t xml:space="preserve">Durante el </w:t>
      </w:r>
      <w:r w:rsidR="00D53B8B" w:rsidRPr="00A34388">
        <w:rPr>
          <w:rFonts w:cs="Arial"/>
          <w:color w:val="000000" w:themeColor="text1"/>
          <w:szCs w:val="20"/>
          <w:lang w:val="es-ES_tradnl"/>
        </w:rPr>
        <w:t>período</w:t>
      </w:r>
      <w:r w:rsidRPr="00A34388">
        <w:rPr>
          <w:rFonts w:cs="Arial"/>
          <w:color w:val="000000" w:themeColor="text1"/>
          <w:szCs w:val="20"/>
          <w:lang w:val="es-ES_tradnl"/>
        </w:rPr>
        <w:t xml:space="preserve"> considerado, se han logrado sólidos avances bajo la supervisión de una Junta de TIC renovada, presidida por el Director General, para el desarrollo de un entorno de TIC orientado al cliente que pudiera ofrecer una sólida experiencia de usuario a todos los clientes y que fuese más accesible y compatible tanto en el seno de la OMPI como con los clientes externos. </w:t>
      </w:r>
    </w:p>
    <w:p w:rsidR="0053316D" w:rsidRPr="00A34388" w:rsidRDefault="0053316D" w:rsidP="0053316D">
      <w:pPr>
        <w:autoSpaceDE w:val="0"/>
        <w:autoSpaceDN w:val="0"/>
        <w:jc w:val="both"/>
        <w:rPr>
          <w:rFonts w:cs="Arial"/>
          <w:color w:val="000000" w:themeColor="text1"/>
          <w:szCs w:val="20"/>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A34388">
        <w:rPr>
          <w:rFonts w:cs="Arial"/>
          <w:color w:val="000000" w:themeColor="text1"/>
          <w:szCs w:val="20"/>
          <w:lang w:val="es-ES_tradnl"/>
        </w:rPr>
        <w:t xml:space="preserve">Se lograron importantes avances en el fortalecimiento, de un modo eficaz en función de los costos, de la función de continuidad de las actividades mediante el rediseño de la arquitectura de las infraestructuras TIC y la externalización estratégica de las operaciones infraestructurales.  La reelaboración de la arquitectura de las infraestructuras y el cambio de la gestión de los servicios a un modelo de externalización absorbió muchos recursos durante el período de transición. </w:t>
      </w:r>
    </w:p>
    <w:p w:rsidR="0053316D" w:rsidRPr="00A34388" w:rsidRDefault="0053316D" w:rsidP="0053316D">
      <w:pPr>
        <w:pStyle w:val="ListParagraph"/>
        <w:jc w:val="both"/>
        <w:rPr>
          <w:rFonts w:cs="Arial"/>
          <w:color w:val="000000" w:themeColor="text1"/>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A34388">
        <w:rPr>
          <w:rFonts w:cs="Arial"/>
          <w:color w:val="000000" w:themeColor="text1"/>
          <w:szCs w:val="20"/>
          <w:lang w:val="es-ES_tradnl"/>
        </w:rPr>
        <w:t>Para mantenerse al día con el uso creciente de las TIC por parte de la Organización, las prácticas de gestión de riesgos relativos a la información evolucionaron con rapidez.  En particular, en el ámbito de la seguridad de la información, la OMPI consiguió la certificación ISO 27001, que cubre los procesos y sistemas de solicitudes y gestión de datos del PCT.</w:t>
      </w:r>
    </w:p>
    <w:p w:rsidR="0053316D" w:rsidRPr="00A34388" w:rsidRDefault="0053316D" w:rsidP="0053316D">
      <w:pPr>
        <w:pStyle w:val="ListParagraph"/>
        <w:jc w:val="both"/>
        <w:rPr>
          <w:rFonts w:cs="Arial"/>
          <w:color w:val="000000" w:themeColor="text1"/>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A34388">
        <w:rPr>
          <w:rFonts w:cs="Arial"/>
          <w:color w:val="000000" w:themeColor="text1"/>
          <w:szCs w:val="20"/>
          <w:lang w:val="es-ES_tradnl"/>
        </w:rPr>
        <w:t xml:space="preserve">En el marco del proceso de certificación ISO, se llevó a cabo una evaluación de los riesgos de la información, junto con análisis y actualizaciones completas de todas las políticas de seguridad de la información de la OMPI.  Asimismo, se intensificaron las campañas de </w:t>
      </w:r>
      <w:r w:rsidR="00C6436B" w:rsidRPr="00A34388">
        <w:rPr>
          <w:rFonts w:cs="Arial"/>
          <w:color w:val="000000" w:themeColor="text1"/>
          <w:szCs w:val="20"/>
          <w:lang w:val="es-ES_tradnl"/>
        </w:rPr>
        <w:t xml:space="preserve">concienciación </w:t>
      </w:r>
      <w:r w:rsidRPr="00A34388">
        <w:rPr>
          <w:rFonts w:cs="Arial"/>
          <w:color w:val="000000" w:themeColor="text1"/>
          <w:szCs w:val="20"/>
          <w:lang w:val="es-ES_tradnl"/>
        </w:rPr>
        <w:t>sobre la seguridad de la información, con el resultado de que más del 30% del personal de la OMPI realizó voluntariamente el curso piloto en línea.</w:t>
      </w:r>
    </w:p>
    <w:p w:rsidR="0053316D" w:rsidRPr="00A34388" w:rsidRDefault="0053316D" w:rsidP="0053316D">
      <w:pPr>
        <w:jc w:val="both"/>
        <w:rPr>
          <w:rFonts w:cs="Arial"/>
          <w:color w:val="000000" w:themeColor="text1"/>
          <w:szCs w:val="20"/>
          <w:lang w:val="es-ES_tradnl"/>
        </w:rPr>
      </w:pPr>
    </w:p>
    <w:p w:rsidR="0053316D" w:rsidRPr="00A34388" w:rsidRDefault="0053316D" w:rsidP="0053316D">
      <w:pPr>
        <w:numPr>
          <w:ilvl w:val="0"/>
          <w:numId w:val="69"/>
        </w:numPr>
        <w:jc w:val="both"/>
        <w:rPr>
          <w:rFonts w:cs="Arial"/>
          <w:color w:val="000000" w:themeColor="text1"/>
          <w:szCs w:val="20"/>
          <w:lang w:val="es-ES_tradnl"/>
        </w:rPr>
      </w:pPr>
      <w:r w:rsidRPr="00332758">
        <w:rPr>
          <w:rFonts w:cs="Arial"/>
          <w:szCs w:val="20"/>
          <w:lang w:val="es-ES_tradnl"/>
        </w:rPr>
        <w:t>A continuación se mencionan algunos aspectos indicativos de los satisfactorios progresos realizados durante el bienio en el ámbito de los servicios de infraestructura, los servicios de soluciones operativas (incluyendo los servicios de Internet), los servicios de administración de servicios de TI y los servicios de seguridad de la información:</w:t>
      </w:r>
    </w:p>
    <w:p w:rsidR="0053316D" w:rsidRPr="00A34388" w:rsidRDefault="0053316D" w:rsidP="0053316D">
      <w:pPr>
        <w:jc w:val="both"/>
        <w:rPr>
          <w:rFonts w:cs="Arial"/>
          <w:color w:val="000000" w:themeColor="text1"/>
          <w:szCs w:val="20"/>
          <w:lang w:val="es-ES_tradnl"/>
        </w:rPr>
      </w:pPr>
      <w:r w:rsidRPr="00A34388">
        <w:rPr>
          <w:rFonts w:cs="Arial"/>
          <w:color w:val="000000" w:themeColor="text1"/>
          <w:szCs w:val="20"/>
          <w:lang w:val="es-ES_tradnl"/>
        </w:rPr>
        <w:t xml:space="preserve"> </w:t>
      </w:r>
    </w:p>
    <w:p w:rsidR="0053316D" w:rsidRPr="00A34388" w:rsidRDefault="0053316D" w:rsidP="0053316D">
      <w:pPr>
        <w:pStyle w:val="Test"/>
        <w:numPr>
          <w:ilvl w:val="0"/>
          <w:numId w:val="85"/>
        </w:numPr>
        <w:tabs>
          <w:tab w:val="left" w:pos="708"/>
        </w:tabs>
        <w:ind w:left="1276" w:hanging="567"/>
        <w:jc w:val="both"/>
        <w:rPr>
          <w:color w:val="000000" w:themeColor="text1"/>
          <w:sz w:val="20"/>
          <w:szCs w:val="20"/>
          <w:lang w:val="es-ES_tradnl"/>
        </w:rPr>
      </w:pPr>
      <w:r w:rsidRPr="00332758">
        <w:rPr>
          <w:sz w:val="20"/>
          <w:szCs w:val="20"/>
          <w:lang w:val="es-ES_tradnl"/>
        </w:rPr>
        <w:t>El despliegue a nivel de toda la Organización de la nueva arquitectura interna de redes de datos quedó terminado en 2012, facilitando unos controles reforzados de seguridad de las redes y la gestión eficaz del tráfico multimedia (voz, video y datos).</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5"/>
        </w:numPr>
        <w:tabs>
          <w:tab w:val="left" w:pos="708"/>
        </w:tabs>
        <w:ind w:left="1276" w:hanging="567"/>
        <w:jc w:val="both"/>
        <w:rPr>
          <w:color w:val="000000" w:themeColor="text1"/>
          <w:sz w:val="20"/>
          <w:szCs w:val="20"/>
          <w:lang w:val="es-ES_tradnl"/>
        </w:rPr>
      </w:pPr>
      <w:r w:rsidRPr="00A34388">
        <w:rPr>
          <w:color w:val="000000" w:themeColor="text1"/>
          <w:sz w:val="20"/>
          <w:szCs w:val="20"/>
          <w:lang w:val="es-ES_tradnl"/>
        </w:rPr>
        <w:t xml:space="preserve">Se emprendieron una serie de actualizaciones y mejoras tecnológicas. </w:t>
      </w:r>
      <w:r w:rsidR="00537926" w:rsidRPr="00A34388">
        <w:rPr>
          <w:color w:val="000000" w:themeColor="text1"/>
          <w:sz w:val="20"/>
          <w:szCs w:val="20"/>
          <w:lang w:val="es-ES_tradnl"/>
        </w:rPr>
        <w:t xml:space="preserve"> </w:t>
      </w:r>
      <w:r w:rsidRPr="00A34388">
        <w:rPr>
          <w:color w:val="000000" w:themeColor="text1"/>
          <w:sz w:val="20"/>
          <w:szCs w:val="20"/>
          <w:lang w:val="es-ES_tradnl"/>
        </w:rPr>
        <w:t>Entre éstas, se incluyen:</w:t>
      </w:r>
    </w:p>
    <w:p w:rsidR="0053316D" w:rsidRPr="00A34388" w:rsidRDefault="0053316D" w:rsidP="0053316D">
      <w:pPr>
        <w:pStyle w:val="Test"/>
        <w:numPr>
          <w:ilvl w:val="0"/>
          <w:numId w:val="0"/>
        </w:numPr>
        <w:tabs>
          <w:tab w:val="left" w:pos="708"/>
        </w:tabs>
        <w:ind w:left="1276"/>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 xml:space="preserve">La instalación de un nuevo sistema de telefonía basado en </w:t>
      </w:r>
      <w:r w:rsidR="003E3F45">
        <w:rPr>
          <w:color w:val="000000" w:themeColor="text1"/>
          <w:sz w:val="20"/>
          <w:szCs w:val="20"/>
          <w:lang w:val="es-ES_tradnl"/>
        </w:rPr>
        <w:t>el protocolo de Internet</w:t>
      </w:r>
      <w:r w:rsidRPr="00A34388">
        <w:rPr>
          <w:color w:val="000000" w:themeColor="text1"/>
          <w:sz w:val="20"/>
          <w:szCs w:val="20"/>
          <w:lang w:val="es-ES_tradnl"/>
        </w:rPr>
        <w:t xml:space="preserve">, en sustitución del </w:t>
      </w:r>
      <w:r w:rsidR="003E3F45">
        <w:rPr>
          <w:color w:val="000000" w:themeColor="text1"/>
          <w:sz w:val="20"/>
          <w:szCs w:val="20"/>
          <w:lang w:val="es-ES_tradnl"/>
        </w:rPr>
        <w:t>antiguo</w:t>
      </w:r>
      <w:r w:rsidRPr="00A34388">
        <w:rPr>
          <w:color w:val="000000" w:themeColor="text1"/>
          <w:sz w:val="20"/>
          <w:szCs w:val="20"/>
          <w:lang w:val="es-ES_tradnl"/>
        </w:rPr>
        <w:t xml:space="preserve"> sistema Nortel Telephone, lo que elimina los riesgos operativos relacionados con el uso de tecnologías obsoletas.  Así se ha mejorado también la disponibilidad del servicio y se han reducido los costos operativos, suprimiendo la necesidad de mantener una red independiente de telefonía, al tiempo que es posible acceder a nuevos servicios, como los de video y telefonía integrados en el entorno de las computadoras de escritorio;</w:t>
      </w:r>
    </w:p>
    <w:p w:rsidR="0053316D" w:rsidRPr="00A34388" w:rsidRDefault="0053316D" w:rsidP="0053316D">
      <w:pPr>
        <w:pStyle w:val="Test"/>
        <w:numPr>
          <w:ilvl w:val="0"/>
          <w:numId w:val="0"/>
        </w:numPr>
        <w:tabs>
          <w:tab w:val="left" w:pos="708"/>
        </w:tabs>
        <w:ind w:left="15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sz w:val="20"/>
          <w:szCs w:val="20"/>
          <w:lang w:val="es-ES_tradnl"/>
        </w:rPr>
        <w:t>La actualización de los sistemas de productividad ofimática para armonizarlos con las plataformas estándar de la industria</w:t>
      </w:r>
      <w:r w:rsidRPr="00A34388">
        <w:rPr>
          <w:color w:val="000000" w:themeColor="text1"/>
          <w:sz w:val="20"/>
          <w:szCs w:val="20"/>
          <w:lang w:val="es-ES_tradnl"/>
        </w:rPr>
        <w:t>, lo que incluye la sustitución de computadoras portátiles y de escritorio obsoletas y de software de oficina antiguo, que obstaculizaba la efectiva aplicación de la labor de la Organización con entidades externas;</w:t>
      </w:r>
    </w:p>
    <w:p w:rsidR="0053316D" w:rsidRPr="00A34388" w:rsidRDefault="0053316D" w:rsidP="0053316D">
      <w:pPr>
        <w:pStyle w:val="Test"/>
        <w:numPr>
          <w:ilvl w:val="0"/>
          <w:numId w:val="0"/>
        </w:numPr>
        <w:tabs>
          <w:tab w:val="left" w:pos="708"/>
        </w:tabs>
        <w:ind w:left="3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La actualización del programa PeopleSoft con vistas a la ejecución de nuevos proyectos en el marco del sistema PRI.  Esto posibilitó un adecuado servicio postventa de los proveedores y ofreció a los usuarios nuevas funciones y posibilidades;</w:t>
      </w:r>
    </w:p>
    <w:p w:rsidR="0053316D" w:rsidRPr="00A34388" w:rsidRDefault="0053316D" w:rsidP="0053316D">
      <w:pPr>
        <w:pStyle w:val="Test"/>
        <w:numPr>
          <w:ilvl w:val="0"/>
          <w:numId w:val="0"/>
        </w:numPr>
        <w:tabs>
          <w:tab w:val="left" w:pos="708"/>
        </w:tabs>
        <w:ind w:left="15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 xml:space="preserve">El desarrollo de una nueva </w:t>
      </w:r>
      <w:r w:rsidRPr="00A34388">
        <w:rPr>
          <w:sz w:val="20"/>
          <w:szCs w:val="20"/>
          <w:lang w:val="es-ES_tradnl"/>
        </w:rPr>
        <w:t>plataforma de autenticación única en Internet (SSO)</w:t>
      </w:r>
      <w:r w:rsidRPr="00A34388">
        <w:rPr>
          <w:color w:val="000000" w:themeColor="text1"/>
          <w:sz w:val="20"/>
          <w:szCs w:val="20"/>
          <w:lang w:val="es-ES_tradnl"/>
        </w:rPr>
        <w:t xml:space="preserve">, </w:t>
      </w:r>
      <w:r w:rsidRPr="00A34388">
        <w:rPr>
          <w:sz w:val="20"/>
          <w:szCs w:val="20"/>
          <w:lang w:val="es-ES_tradnl"/>
        </w:rPr>
        <w:t>que permite un uso más seguro y eficiente de los nuevos módulos de PeopleSoft y Oracle Hyperion EPM desplegados en el marco de la cartera de proyectos PRI</w:t>
      </w:r>
      <w:r w:rsidRPr="00A34388">
        <w:rPr>
          <w:color w:val="000000" w:themeColor="text1"/>
          <w:sz w:val="20"/>
          <w:szCs w:val="20"/>
          <w:lang w:val="es-ES_tradnl"/>
        </w:rPr>
        <w:t>;</w:t>
      </w:r>
    </w:p>
    <w:p w:rsidR="0053316D" w:rsidRPr="00A34388" w:rsidRDefault="0053316D" w:rsidP="0053316D">
      <w:pPr>
        <w:pStyle w:val="ListParagraph"/>
        <w:tabs>
          <w:tab w:val="num" w:pos="1560"/>
        </w:tabs>
        <w:ind w:left="1560" w:hanging="284"/>
        <w:jc w:val="both"/>
        <w:rPr>
          <w:color w:val="000000" w:themeColor="text1"/>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 xml:space="preserve">Mejora de la </w:t>
      </w:r>
      <w:r w:rsidRPr="00A34388">
        <w:rPr>
          <w:sz w:val="20"/>
          <w:szCs w:val="20"/>
          <w:lang w:val="es-ES_tradnl"/>
        </w:rPr>
        <w:t>resistencia de la Organización contra las amenazas exteriores mediante la adopción de una red de distribución de contenido y el despliegue de controles tecnológicos mejorados</w:t>
      </w:r>
      <w:r w:rsidRPr="00A34388">
        <w:rPr>
          <w:color w:val="000000" w:themeColor="text1"/>
          <w:sz w:val="20"/>
          <w:szCs w:val="20"/>
          <w:lang w:val="es-ES_tradnl"/>
        </w:rPr>
        <w:t>;</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Mejoras en una serie de aplicaciones administrativas, con el resultado de una mayor eficiencia en los procesos administrativos.  Se incluyen la plena integración de los procesos de facturación y de las solicitudes de viaje ajenas al personal en la tramitación de las autorizaciones electrónicas de viajes, mejoras en la experiencia como usuario del sistema financiero automatizado AIMS y el portal de pago, y mejoras en el Sistema de gestión del rendimiento y mejora de las competencias del personal.</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5"/>
        </w:numPr>
        <w:tabs>
          <w:tab w:val="num" w:pos="1276"/>
        </w:tabs>
        <w:ind w:left="1276" w:hanging="567"/>
        <w:jc w:val="both"/>
        <w:rPr>
          <w:color w:val="000000" w:themeColor="text1"/>
          <w:sz w:val="20"/>
          <w:szCs w:val="20"/>
          <w:lang w:val="es-ES_tradnl"/>
        </w:rPr>
      </w:pPr>
      <w:r w:rsidRPr="00A34388">
        <w:rPr>
          <w:color w:val="000000" w:themeColor="text1"/>
          <w:sz w:val="20"/>
          <w:szCs w:val="20"/>
          <w:lang w:val="es-ES_tradnl"/>
        </w:rPr>
        <w:t xml:space="preserve">En respuesta a las peticiones de los Estados miembros, 40 reuniones de la OMPI (18 en 2012 y 22 en 2013), así como las conferencias diplomáticas de Beijing y Marrakech, fueron transmitidas en directo por Internet (mediante webcasting).  </w:t>
      </w:r>
      <w:r w:rsidRPr="00332758">
        <w:rPr>
          <w:sz w:val="20"/>
          <w:szCs w:val="20"/>
          <w:lang w:val="es-ES_tradnl"/>
        </w:rPr>
        <w:t>Asimismo, se proporcionó acceso a las sesiones grabadas en vídeo por medio de la página de la OMPI en forma de “video a la carta”.</w:t>
      </w:r>
      <w:r w:rsidRPr="00A34388">
        <w:rPr>
          <w:color w:val="000000" w:themeColor="text1"/>
          <w:sz w:val="20"/>
          <w:szCs w:val="20"/>
          <w:lang w:val="es-ES_tradnl"/>
        </w:rPr>
        <w:t xml:space="preserve">  También se prestó una coordinación técnica esencial en apoyo de las dos conferencias diplomáticas.</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5"/>
        </w:numPr>
        <w:tabs>
          <w:tab w:val="num" w:pos="1276"/>
        </w:tabs>
        <w:ind w:left="1276" w:hanging="567"/>
        <w:jc w:val="both"/>
        <w:rPr>
          <w:color w:val="000000" w:themeColor="text1"/>
          <w:sz w:val="20"/>
          <w:szCs w:val="20"/>
          <w:lang w:val="es-ES_tradnl"/>
        </w:rPr>
      </w:pPr>
      <w:r w:rsidRPr="00332758">
        <w:rPr>
          <w:sz w:val="20"/>
          <w:szCs w:val="20"/>
          <w:lang w:val="es-ES_tradnl"/>
        </w:rPr>
        <w:t>Siguieron adelante los trabajos preparatorios de la nueva sala de conferencias relacionados con las TIC, centrándose primordialmente en la selección de la tecnología, las compras y la negociación de contratos.</w:t>
      </w:r>
      <w:r w:rsidRPr="00A34388">
        <w:rPr>
          <w:color w:val="000000" w:themeColor="text1"/>
          <w:sz w:val="20"/>
          <w:szCs w:val="20"/>
          <w:lang w:val="es-ES_tradnl"/>
        </w:rPr>
        <w:t xml:space="preserve">  Algunos elementos tecnológicos, como los servicios inalámbricos de alta capacidad (Wi-Fi), fueron instalados en 2013 en las salas A y B, allanando así el camino para la prestación de unos servicios TIC perfectamente integrados en la nueva sala de conferencias, así como en su entorno.</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53316D">
      <w:pPr>
        <w:pStyle w:val="Test"/>
        <w:numPr>
          <w:ilvl w:val="0"/>
          <w:numId w:val="85"/>
        </w:numPr>
        <w:tabs>
          <w:tab w:val="num" w:pos="1276"/>
        </w:tabs>
        <w:ind w:left="1276" w:hanging="567"/>
        <w:jc w:val="both"/>
        <w:rPr>
          <w:color w:val="000000" w:themeColor="text1"/>
          <w:sz w:val="20"/>
          <w:szCs w:val="20"/>
          <w:lang w:val="es-ES_tradnl"/>
        </w:rPr>
      </w:pPr>
      <w:r w:rsidRPr="00A34388">
        <w:rPr>
          <w:color w:val="000000" w:themeColor="text1"/>
          <w:sz w:val="20"/>
          <w:szCs w:val="20"/>
          <w:lang w:val="es-ES_tradnl"/>
        </w:rPr>
        <w:t xml:space="preserve">Se redujeron significativamente los riesgos de potenciales perjuicios sobre la actividad provocados por catástrofes localizadas, mediante la puesta en marcha de dos centros de datos estrechamente vinculados entre sí, la redistribución de los sistemas de almacenamiento de datos, y el sistema de copias de seguridad de reserva, infraestructura de servidores y arquitectura de redes de ambos centros de datos.  Además, se evaluaron 38 servicios esenciales de TIC y se adoptaron medidas adecuadas para mitigar los riesgos y garantizar la disponibilidad de los servicios. </w:t>
      </w:r>
    </w:p>
    <w:p w:rsidR="0053316D" w:rsidRPr="00A34388" w:rsidRDefault="0053316D" w:rsidP="0053316D">
      <w:pPr>
        <w:pStyle w:val="Test"/>
        <w:numPr>
          <w:ilvl w:val="0"/>
          <w:numId w:val="0"/>
        </w:numPr>
        <w:tabs>
          <w:tab w:val="left" w:pos="708"/>
        </w:tabs>
        <w:ind w:left="1276"/>
        <w:jc w:val="both"/>
        <w:rPr>
          <w:color w:val="000000" w:themeColor="text1"/>
          <w:sz w:val="20"/>
          <w:szCs w:val="20"/>
          <w:lang w:val="es-ES_tradnl"/>
        </w:rPr>
      </w:pPr>
    </w:p>
    <w:p w:rsidR="0053316D" w:rsidRPr="00A34388" w:rsidRDefault="0053316D" w:rsidP="004C0FD5">
      <w:pPr>
        <w:pStyle w:val="Test"/>
        <w:numPr>
          <w:ilvl w:val="0"/>
          <w:numId w:val="85"/>
        </w:numPr>
        <w:ind w:hanging="615"/>
        <w:jc w:val="both"/>
        <w:rPr>
          <w:color w:val="000000" w:themeColor="text1"/>
          <w:sz w:val="20"/>
          <w:szCs w:val="20"/>
          <w:lang w:val="es-ES_tradnl"/>
        </w:rPr>
      </w:pPr>
      <w:r w:rsidRPr="00332758">
        <w:rPr>
          <w:sz w:val="20"/>
          <w:szCs w:val="20"/>
          <w:lang w:val="es-ES_tradnl"/>
        </w:rPr>
        <w:t xml:space="preserve">Varios proyectos orientados al exterior como </w:t>
      </w:r>
      <w:r w:rsidRPr="00A34388">
        <w:rPr>
          <w:sz w:val="20"/>
          <w:szCs w:val="20"/>
          <w:lang w:val="es-ES_tradnl"/>
        </w:rPr>
        <w:t xml:space="preserve">el marco tecnológico habilitante y de intermediarios de confianza denominado Trusted Intermediary Global Accessible Resources (TIGAR), </w:t>
      </w:r>
      <w:r w:rsidRPr="00332758">
        <w:rPr>
          <w:sz w:val="20"/>
          <w:szCs w:val="20"/>
          <w:lang w:val="es-ES_tradnl"/>
        </w:rPr>
        <w:t>mejoras en WIPO Re:search, la tramitación electrónica de documentos ante el Centro de Arbitraje y Mediación o la base de datos IP Stats fueron objeto de ulterior perfeccionamiento en estrecha cooperación con los programas 3, 7, 16 y 18.</w:t>
      </w:r>
      <w:r w:rsidRPr="00A34388">
        <w:rPr>
          <w:color w:val="000000" w:themeColor="text1"/>
          <w:sz w:val="20"/>
          <w:szCs w:val="20"/>
          <w:lang w:val="es-ES_tradnl"/>
        </w:rPr>
        <w:t xml:space="preserve"> </w:t>
      </w:r>
    </w:p>
    <w:p w:rsidR="0053316D" w:rsidRPr="00A34388" w:rsidRDefault="0053316D" w:rsidP="0053316D">
      <w:pPr>
        <w:tabs>
          <w:tab w:val="num" w:pos="1276"/>
        </w:tabs>
        <w:autoSpaceDE w:val="0"/>
        <w:autoSpaceDN w:val="0"/>
        <w:ind w:left="1276" w:hanging="567"/>
        <w:jc w:val="both"/>
        <w:rPr>
          <w:rFonts w:cs="Arial"/>
          <w:color w:val="000000" w:themeColor="text1"/>
          <w:szCs w:val="20"/>
          <w:lang w:val="es-ES_tradnl"/>
        </w:rPr>
      </w:pPr>
    </w:p>
    <w:p w:rsidR="0053316D" w:rsidRPr="00A34388" w:rsidRDefault="0053316D" w:rsidP="0053316D">
      <w:pPr>
        <w:pStyle w:val="Test"/>
        <w:numPr>
          <w:ilvl w:val="0"/>
          <w:numId w:val="85"/>
        </w:numPr>
        <w:tabs>
          <w:tab w:val="num" w:pos="1276"/>
        </w:tabs>
        <w:ind w:left="1276" w:hanging="567"/>
        <w:jc w:val="both"/>
        <w:rPr>
          <w:color w:val="000000" w:themeColor="text1"/>
          <w:sz w:val="20"/>
          <w:szCs w:val="20"/>
          <w:lang w:val="es-ES_tradnl"/>
        </w:rPr>
      </w:pPr>
      <w:r w:rsidRPr="00A34388">
        <w:rPr>
          <w:color w:val="000000" w:themeColor="text1"/>
          <w:sz w:val="20"/>
          <w:szCs w:val="20"/>
          <w:lang w:val="es-ES_tradnl"/>
        </w:rPr>
        <w:t>Se revisaron varios contratos de servicios importantes.  Entre éstos, se incluyen:</w:t>
      </w:r>
    </w:p>
    <w:p w:rsidR="0053316D" w:rsidRPr="00A34388" w:rsidRDefault="0053316D" w:rsidP="0053316D">
      <w:pPr>
        <w:pStyle w:val="ListParagraph"/>
        <w:tabs>
          <w:tab w:val="num" w:pos="1276"/>
        </w:tabs>
        <w:ind w:left="1276" w:hanging="567"/>
        <w:jc w:val="both"/>
        <w:rPr>
          <w:color w:val="000000" w:themeColor="text1"/>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La renegociación de los servicios de impresión en red, con la que se obtuvieron notables ahorros en costos;</w:t>
      </w:r>
    </w:p>
    <w:p w:rsidR="0053316D" w:rsidRPr="00A34388" w:rsidRDefault="0053316D" w:rsidP="0053316D">
      <w:pPr>
        <w:pStyle w:val="Test"/>
        <w:numPr>
          <w:ilvl w:val="0"/>
          <w:numId w:val="0"/>
        </w:numPr>
        <w:tabs>
          <w:tab w:val="left" w:pos="708"/>
        </w:tabs>
        <w:ind w:left="15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La convocatoria de nueva licitación del apoyo al sistema PeopleSoft, así como para el apoyo a las TIC en general;</w:t>
      </w:r>
    </w:p>
    <w:p w:rsidR="0053316D" w:rsidRPr="00A34388" w:rsidRDefault="0053316D" w:rsidP="0053316D">
      <w:pPr>
        <w:pStyle w:val="Test"/>
        <w:numPr>
          <w:ilvl w:val="0"/>
          <w:numId w:val="0"/>
        </w:numPr>
        <w:tabs>
          <w:tab w:val="left" w:pos="708"/>
        </w:tabs>
        <w:ind w:left="1560"/>
        <w:jc w:val="both"/>
        <w:rPr>
          <w:color w:val="000000" w:themeColor="text1"/>
          <w:sz w:val="20"/>
          <w:szCs w:val="20"/>
          <w:lang w:val="es-ES_tradnl"/>
        </w:rPr>
      </w:pPr>
    </w:p>
    <w:p w:rsidR="0053316D" w:rsidRPr="00A34388" w:rsidRDefault="0053316D" w:rsidP="0053316D">
      <w:pPr>
        <w:pStyle w:val="Test"/>
        <w:numPr>
          <w:ilvl w:val="0"/>
          <w:numId w:val="86"/>
        </w:numPr>
        <w:tabs>
          <w:tab w:val="clear" w:pos="1324"/>
          <w:tab w:val="num" w:pos="1560"/>
        </w:tabs>
        <w:ind w:left="1560" w:hanging="284"/>
        <w:jc w:val="both"/>
        <w:rPr>
          <w:color w:val="000000" w:themeColor="text1"/>
          <w:sz w:val="20"/>
          <w:szCs w:val="20"/>
          <w:lang w:val="es-ES_tradnl"/>
        </w:rPr>
      </w:pPr>
      <w:r w:rsidRPr="00A34388">
        <w:rPr>
          <w:color w:val="000000" w:themeColor="text1"/>
          <w:sz w:val="20"/>
          <w:szCs w:val="20"/>
          <w:lang w:val="es-ES_tradnl"/>
        </w:rPr>
        <w:t>La convocatoria de nueva licitación del contrato de telecomunicaciones, con la que se obtuvieron un número mayor de servicios y una reducción del costo de los mismos.</w:t>
      </w:r>
    </w:p>
    <w:p w:rsidR="0053316D" w:rsidRPr="00A34388" w:rsidRDefault="0053316D" w:rsidP="0053316D">
      <w:pPr>
        <w:tabs>
          <w:tab w:val="num" w:pos="0"/>
        </w:tabs>
        <w:jc w:val="both"/>
        <w:rPr>
          <w:rFonts w:cs="Arial"/>
          <w:color w:val="000000" w:themeColor="text1"/>
          <w:sz w:val="22"/>
          <w:szCs w:val="22"/>
          <w:lang w:val="es-ES_tradnl"/>
        </w:rPr>
      </w:pPr>
    </w:p>
    <w:p w:rsidR="004C0FD5" w:rsidRPr="00332758" w:rsidRDefault="004C0FD5">
      <w:pPr>
        <w:rPr>
          <w:rFonts w:cs="Arial"/>
          <w:sz w:val="22"/>
          <w:szCs w:val="22"/>
          <w:lang w:val="es-ES_tradnl"/>
        </w:rPr>
      </w:pPr>
      <w:r w:rsidRPr="00332758">
        <w:rPr>
          <w:rFonts w:cs="Arial"/>
          <w:sz w:val="22"/>
          <w:szCs w:val="22"/>
          <w:lang w:val="es-ES_tradnl"/>
        </w:rPr>
        <w:br w:type="page"/>
      </w:r>
    </w:p>
    <w:p w:rsidR="0053316D" w:rsidRPr="00A34388" w:rsidRDefault="0053316D" w:rsidP="0053316D">
      <w:pPr>
        <w:rPr>
          <w:rFonts w:cs="Arial"/>
          <w:color w:val="000000" w:themeColor="text1"/>
          <w:sz w:val="22"/>
          <w:szCs w:val="22"/>
          <w:lang w:val="es-ES_tradnl"/>
        </w:rPr>
      </w:pPr>
      <w:r w:rsidRPr="00332758">
        <w:rPr>
          <w:rFonts w:cs="Arial"/>
          <w:sz w:val="22"/>
          <w:szCs w:val="22"/>
          <w:lang w:val="es-ES_tradnl"/>
        </w:rPr>
        <w:lastRenderedPageBreak/>
        <w:t>DATOS SOBRE EL RENDIMIENTO</w:t>
      </w:r>
    </w:p>
    <w:p w:rsidR="0053316D" w:rsidRPr="00A34388" w:rsidRDefault="0053316D" w:rsidP="0053316D">
      <w:pPr>
        <w:rPr>
          <w:rFonts w:cs="Arial"/>
          <w:b/>
          <w:color w:val="000000" w:themeColor="text1"/>
          <w:sz w:val="22"/>
          <w:szCs w:val="22"/>
          <w:lang w:val="es-ES_tradnl"/>
        </w:rPr>
      </w:pPr>
    </w:p>
    <w:tbl>
      <w:tblPr>
        <w:tblW w:w="485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37"/>
        <w:gridCol w:w="1697"/>
        <w:gridCol w:w="1680"/>
        <w:gridCol w:w="3004"/>
        <w:gridCol w:w="1266"/>
      </w:tblGrid>
      <w:tr w:rsidR="0053316D" w:rsidRPr="00A9508D" w:rsidTr="0053316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Las inversiones en TIC están estrechamente vinculadas a las prioridades estratégicas y rinden beneficios a la Organización.</w:t>
            </w:r>
          </w:p>
        </w:tc>
      </w:tr>
      <w:tr w:rsidR="0053316D" w:rsidRPr="00A34388" w:rsidTr="0053316D">
        <w:trPr>
          <w:cantSplit/>
        </w:trPr>
        <w:tc>
          <w:tcPr>
            <w:tcW w:w="881"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905"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6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81" w:type="pct"/>
            <w:tcBorders>
              <w:top w:val="nil"/>
              <w:left w:val="single" w:sz="4" w:space="0" w:color="auto"/>
              <w:bottom w:val="nil"/>
              <w:right w:val="nil"/>
            </w:tcBorders>
            <w:hideMark/>
          </w:tcPr>
          <w:p w:rsidR="0053316D" w:rsidRPr="00A34388" w:rsidRDefault="0053316D">
            <w:pPr>
              <w:spacing w:line="276" w:lineRule="auto"/>
              <w:rPr>
                <w:rFonts w:cs="Arial"/>
                <w:color w:val="000000" w:themeColor="text1"/>
                <w:sz w:val="16"/>
                <w:szCs w:val="16"/>
                <w:lang w:val="es-ES_tradnl"/>
              </w:rPr>
            </w:pPr>
            <w:r w:rsidRPr="00332758">
              <w:rPr>
                <w:rFonts w:cs="Arial"/>
                <w:sz w:val="16"/>
                <w:szCs w:val="16"/>
                <w:lang w:val="es-ES_tradnl"/>
              </w:rPr>
              <w:t>Porcentaje de proyectos que han sido objeto de una evaluación posterior a la ejecución del proyecto.</w:t>
            </w:r>
          </w:p>
        </w:tc>
        <w:tc>
          <w:tcPr>
            <w:tcW w:w="914" w:type="pct"/>
            <w:tcBorders>
              <w:top w:val="nil"/>
              <w:left w:val="nil"/>
              <w:bottom w:val="nil"/>
              <w:right w:val="nil"/>
            </w:tcBorders>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0 </w:t>
            </w:r>
          </w:p>
        </w:tc>
        <w:tc>
          <w:tcPr>
            <w:tcW w:w="905" w:type="pct"/>
            <w:tcBorders>
              <w:top w:val="nil"/>
              <w:left w:val="nil"/>
              <w:bottom w:val="nil"/>
              <w:right w:val="nil"/>
            </w:tcBorders>
            <w:tcMar>
              <w:top w:w="110" w:type="dxa"/>
              <w:left w:w="108" w:type="dxa"/>
              <w:bottom w:w="0" w:type="dxa"/>
              <w:right w:w="108" w:type="dxa"/>
            </w:tcMar>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20%</w:t>
            </w:r>
          </w:p>
        </w:tc>
        <w:tc>
          <w:tcPr>
            <w:tcW w:w="16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bidi="th-TH"/>
              </w:rPr>
              <w:t>Del total de 16 proyectos puestos en marcha después del 1 de mayo de 2012 y gestionados oficialmente por la Oficina de la Administración del Proyecto de acuerdo con los procesos Prince 2 adaptados, que incluye</w:t>
            </w:r>
            <w:r w:rsidR="001619CB" w:rsidRPr="00A34388">
              <w:rPr>
                <w:rFonts w:cs="Arial"/>
                <w:color w:val="000000" w:themeColor="text1"/>
                <w:sz w:val="16"/>
                <w:szCs w:val="16"/>
                <w:lang w:val="es-ES_tradnl" w:bidi="th-TH"/>
              </w:rPr>
              <w:t>n</w:t>
            </w:r>
            <w:r w:rsidRPr="00A34388">
              <w:rPr>
                <w:rFonts w:cs="Arial"/>
                <w:color w:val="000000" w:themeColor="text1"/>
                <w:sz w:val="16"/>
                <w:szCs w:val="16"/>
                <w:lang w:val="es-ES_tradnl" w:bidi="th-TH"/>
              </w:rPr>
              <w:t xml:space="preserve"> un procedimiento formal de cierre, un total de tres proyectos fueron objeto de una evaluación para determinar los beneficios obtenidos.  </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color w:val="000000" w:themeColor="text1"/>
                <w:sz w:val="16"/>
                <w:szCs w:val="16"/>
                <w:lang w:val="es-ES_tradnl"/>
              </w:rPr>
            </w:pPr>
            <w:r w:rsidRPr="00A34388">
              <w:rPr>
                <w:rFonts w:cs="Arial"/>
                <w:bCs/>
                <w:color w:val="E36C0A" w:themeColor="accent6" w:themeShade="BF"/>
                <w:sz w:val="16"/>
                <w:szCs w:val="16"/>
                <w:lang w:val="es-ES_tradnl"/>
              </w:rPr>
              <w:t>Parcialmente</w:t>
            </w:r>
            <w:r w:rsidRPr="00A34388">
              <w:rPr>
                <w:rFonts w:cs="Arial"/>
                <w:bCs/>
                <w:color w:val="E36C0A" w:themeColor="accent6" w:themeShade="BF"/>
                <w:sz w:val="16"/>
                <w:szCs w:val="16"/>
                <w:lang w:val="es-ES_tradnl"/>
              </w:rPr>
              <w:br/>
              <w:t>logrado</w:t>
            </w:r>
          </w:p>
        </w:tc>
      </w:tr>
      <w:tr w:rsidR="0053316D" w:rsidRPr="00A34388" w:rsidTr="0053316D">
        <w:trPr>
          <w:cantSplit/>
        </w:trPr>
        <w:tc>
          <w:tcPr>
            <w:tcW w:w="881" w:type="pct"/>
            <w:tcBorders>
              <w:top w:val="nil"/>
              <w:left w:val="single" w:sz="4" w:space="0" w:color="auto"/>
              <w:bottom w:val="single" w:sz="4" w:space="0" w:color="auto"/>
              <w:right w:val="nil"/>
            </w:tcBorders>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Nivel de avance en la implantación de la Biblioteca de Infraestructura de Tecnologías de la Información (ITIL) con arreglo al método oficial de autoevaluación de cinco niveles.</w:t>
            </w:r>
          </w:p>
          <w:p w:rsidR="0053316D" w:rsidRPr="00A34388" w:rsidRDefault="0053316D">
            <w:pPr>
              <w:spacing w:line="276" w:lineRule="auto"/>
              <w:ind w:left="-22"/>
              <w:rPr>
                <w:rFonts w:cs="Arial"/>
                <w:color w:val="000000" w:themeColor="text1"/>
                <w:sz w:val="16"/>
                <w:szCs w:val="16"/>
                <w:lang w:val="es-ES_tradnl"/>
              </w:rPr>
            </w:pPr>
          </w:p>
        </w:tc>
        <w:tc>
          <w:tcPr>
            <w:tcW w:w="914" w:type="pct"/>
            <w:tcBorders>
              <w:top w:val="nil"/>
              <w:left w:val="nil"/>
              <w:bottom w:val="single" w:sz="4" w:space="0" w:color="auto"/>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Nivel 2 de apoyo a los servicios.</w:t>
            </w:r>
          </w:p>
        </w:tc>
        <w:tc>
          <w:tcPr>
            <w:tcW w:w="905"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ind w:left="-22"/>
              <w:rPr>
                <w:rFonts w:cs="Arial"/>
                <w:color w:val="000000" w:themeColor="text1"/>
                <w:sz w:val="16"/>
                <w:szCs w:val="16"/>
                <w:lang w:val="es-ES_tradnl"/>
              </w:rPr>
            </w:pPr>
            <w:r w:rsidRPr="00A34388">
              <w:rPr>
                <w:rFonts w:cs="Arial"/>
                <w:color w:val="000000" w:themeColor="text1"/>
                <w:sz w:val="16"/>
                <w:szCs w:val="16"/>
                <w:lang w:val="es-ES_tradnl"/>
              </w:rPr>
              <w:t>Aumentar un nivel</w:t>
            </w:r>
          </w:p>
        </w:tc>
        <w:tc>
          <w:tcPr>
            <w:tcW w:w="1618"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El grado de implantación de la gestión de incidentes y de la gestión del cambio aumentó en un nivel (hasta tres);  no se lograron avances en la gestión de problemas y de configuración.</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color w:val="000000" w:themeColor="text1"/>
                <w:sz w:val="16"/>
                <w:szCs w:val="16"/>
                <w:lang w:val="es-ES_tradnl"/>
              </w:rPr>
            </w:pPr>
            <w:r w:rsidRPr="00A34388">
              <w:rPr>
                <w:rFonts w:cs="Arial"/>
                <w:bCs/>
                <w:color w:val="E36C0A" w:themeColor="accent6" w:themeShade="BF"/>
                <w:sz w:val="16"/>
                <w:szCs w:val="16"/>
                <w:lang w:val="es-ES_tradnl"/>
              </w:rPr>
              <w:t>Parcialmente</w:t>
            </w:r>
            <w:r w:rsidRPr="00A34388">
              <w:rPr>
                <w:rFonts w:cs="Arial"/>
                <w:bCs/>
                <w:color w:val="E36C0A" w:themeColor="accent6" w:themeShade="BF"/>
                <w:sz w:val="16"/>
                <w:szCs w:val="16"/>
                <w:lang w:val="es-ES_tradnl"/>
              </w:rPr>
              <w:br/>
              <w:t>logrado</w:t>
            </w:r>
          </w:p>
        </w:tc>
      </w:tr>
      <w:tr w:rsidR="0053316D" w:rsidRPr="00A9508D" w:rsidTr="0053316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
                <w:bCs/>
                <w:sz w:val="16"/>
                <w:szCs w:val="16"/>
                <w:lang w:val="es-ES_tradnl"/>
              </w:rPr>
              <w:tab/>
            </w:r>
            <w:r w:rsidRPr="00332758">
              <w:rPr>
                <w:rFonts w:cs="Arial"/>
                <w:bCs/>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53316D" w:rsidRPr="00A34388" w:rsidTr="0053316D">
        <w:trPr>
          <w:cantSplit/>
        </w:trPr>
        <w:tc>
          <w:tcPr>
            <w:tcW w:w="881"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905"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6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81" w:type="pct"/>
            <w:tcBorders>
              <w:top w:val="nil"/>
              <w:left w:val="single" w:sz="4" w:space="0" w:color="auto"/>
              <w:bottom w:val="nil"/>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Subcontratación de la operación y la provisión de la infraestructura de T.I.</w:t>
            </w:r>
          </w:p>
        </w:tc>
        <w:tc>
          <w:tcPr>
            <w:tcW w:w="914" w:type="pct"/>
            <w:tcBorders>
              <w:top w:val="nil"/>
              <w:left w:val="nil"/>
              <w:bottom w:val="nil"/>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Dos aplicaciones alojadas.</w:t>
            </w:r>
          </w:p>
        </w:tc>
        <w:tc>
          <w:tcPr>
            <w:tcW w:w="905"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30% del parque de servidores alojados en el CICE </w:t>
            </w:r>
          </w:p>
        </w:tc>
        <w:tc>
          <w:tcPr>
            <w:tcW w:w="16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bidi="th-TH"/>
              </w:rPr>
              <w:t>El 75% del parque de servidores estaba alojado en el CICE y ahora éste presta servicio a todos los servidores nuevos.</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color w:val="000000" w:themeColor="text1"/>
                <w:sz w:val="16"/>
                <w:szCs w:val="16"/>
                <w:lang w:val="es-ES_tradnl"/>
              </w:rPr>
            </w:pPr>
            <w:r w:rsidRPr="00A34388">
              <w:rPr>
                <w:rFonts w:cs="Arial"/>
                <w:bCs/>
                <w:color w:val="008000"/>
                <w:sz w:val="16"/>
                <w:szCs w:val="16"/>
                <w:lang w:val="es-ES_tradnl"/>
              </w:rPr>
              <w:t xml:space="preserve"> Plenamente</w:t>
            </w:r>
            <w:r w:rsidRPr="00A34388">
              <w:rPr>
                <w:rFonts w:cs="Arial"/>
                <w:bCs/>
                <w:color w:val="008000"/>
                <w:sz w:val="16"/>
                <w:szCs w:val="16"/>
                <w:lang w:val="es-ES_tradnl"/>
              </w:rPr>
              <w:br/>
              <w:t>logrado</w:t>
            </w:r>
          </w:p>
        </w:tc>
      </w:tr>
      <w:tr w:rsidR="0053316D" w:rsidRPr="00A34388" w:rsidTr="0053316D">
        <w:trPr>
          <w:cantSplit/>
        </w:trPr>
        <w:tc>
          <w:tcPr>
            <w:tcW w:w="881" w:type="pct"/>
            <w:tcBorders>
              <w:top w:val="nil"/>
              <w:left w:val="single" w:sz="4" w:space="0" w:color="auto"/>
              <w:bottom w:val="nil"/>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Acceso a las reuniones de la OMPI por Internet en tiempo real o en diferido.</w:t>
            </w:r>
          </w:p>
        </w:tc>
        <w:tc>
          <w:tcPr>
            <w:tcW w:w="914" w:type="pct"/>
            <w:tcBorders>
              <w:top w:val="nil"/>
              <w:left w:val="nil"/>
              <w:bottom w:val="nil"/>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Difusión de las asambleas.</w:t>
            </w:r>
          </w:p>
        </w:tc>
        <w:tc>
          <w:tcPr>
            <w:tcW w:w="905"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Difusión de al menos 20 jornadas de reuniones </w:t>
            </w:r>
          </w:p>
        </w:tc>
        <w:tc>
          <w:tcPr>
            <w:tcW w:w="16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rsidP="001619CB">
            <w:pPr>
              <w:spacing w:line="276" w:lineRule="auto"/>
              <w:rPr>
                <w:rFonts w:cs="Arial"/>
                <w:color w:val="000000" w:themeColor="text1"/>
                <w:sz w:val="16"/>
                <w:szCs w:val="16"/>
                <w:lang w:val="es-ES_tradnl"/>
              </w:rPr>
            </w:pPr>
            <w:r w:rsidRPr="00A34388">
              <w:rPr>
                <w:rFonts w:cs="Arial"/>
                <w:color w:val="000000" w:themeColor="text1"/>
                <w:sz w:val="16"/>
                <w:szCs w:val="16"/>
                <w:lang w:val="es-ES_tradnl" w:bidi="th-TH"/>
              </w:rPr>
              <w:t xml:space="preserve">Alrededor de 186 (88 en 2012 y 98 en 2013) jornadas de reuniones fueron </w:t>
            </w:r>
            <w:r w:rsidR="001619CB" w:rsidRPr="00A34388">
              <w:rPr>
                <w:rFonts w:cs="Arial"/>
                <w:color w:val="000000" w:themeColor="text1"/>
                <w:sz w:val="16"/>
                <w:szCs w:val="16"/>
                <w:lang w:val="es-ES_tradnl" w:bidi="th-TH"/>
              </w:rPr>
              <w:t xml:space="preserve">difundidas </w:t>
            </w:r>
            <w:r w:rsidRPr="00A34388">
              <w:rPr>
                <w:rFonts w:cs="Arial"/>
                <w:color w:val="000000" w:themeColor="text1"/>
                <w:sz w:val="16"/>
                <w:szCs w:val="16"/>
                <w:lang w:val="es-ES_tradnl" w:bidi="th-TH"/>
              </w:rPr>
              <w:t>por Internet, incluidas las reuniones de la Asamblea y las conferencias diplomáticas.  En el sitio web de la OMPI puede obtenerse, previa solicitud, un archivo de video de las reuniones difundidas por Internet.</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color w:val="000000" w:themeColor="text1"/>
                <w:sz w:val="16"/>
                <w:szCs w:val="16"/>
                <w:lang w:val="es-ES_tradnl"/>
              </w:rPr>
            </w:pPr>
            <w:r w:rsidRPr="00A34388">
              <w:rPr>
                <w:rFonts w:cs="Arial"/>
                <w:bCs/>
                <w:color w:val="008000"/>
                <w:sz w:val="16"/>
                <w:szCs w:val="16"/>
                <w:lang w:val="es-ES_tradnl"/>
              </w:rPr>
              <w:t xml:space="preserve"> Plenamente</w:t>
            </w:r>
            <w:r w:rsidRPr="00A34388">
              <w:rPr>
                <w:rFonts w:cs="Arial"/>
                <w:bCs/>
                <w:color w:val="008000"/>
                <w:sz w:val="16"/>
                <w:szCs w:val="16"/>
                <w:lang w:val="es-ES_tradnl"/>
              </w:rPr>
              <w:br/>
              <w:t>logrado</w:t>
            </w:r>
          </w:p>
        </w:tc>
      </w:tr>
      <w:tr w:rsidR="0053316D" w:rsidRPr="00A34388" w:rsidTr="0053316D">
        <w:trPr>
          <w:cantSplit/>
        </w:trPr>
        <w:tc>
          <w:tcPr>
            <w:tcW w:w="881" w:type="pct"/>
            <w:tcBorders>
              <w:top w:val="nil"/>
              <w:left w:val="single" w:sz="4" w:space="0" w:color="auto"/>
              <w:bottom w:val="single" w:sz="4" w:space="0" w:color="auto"/>
              <w:right w:val="nil"/>
            </w:tcBorders>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Número de medios de comunicación perfectamente integrados.</w:t>
            </w:r>
          </w:p>
          <w:p w:rsidR="0053316D" w:rsidRPr="00A34388" w:rsidRDefault="0053316D">
            <w:pPr>
              <w:spacing w:line="276" w:lineRule="auto"/>
              <w:ind w:left="-22"/>
              <w:rPr>
                <w:rFonts w:cs="Arial"/>
                <w:color w:val="000000" w:themeColor="text1"/>
                <w:sz w:val="16"/>
                <w:szCs w:val="16"/>
                <w:lang w:val="es-ES_tradnl"/>
              </w:rPr>
            </w:pPr>
          </w:p>
        </w:tc>
        <w:tc>
          <w:tcPr>
            <w:tcW w:w="914" w:type="pct"/>
            <w:tcBorders>
              <w:top w:val="nil"/>
              <w:left w:val="nil"/>
              <w:bottom w:val="single" w:sz="4" w:space="0" w:color="auto"/>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Correo electrónico y teléfono separados.</w:t>
            </w:r>
          </w:p>
        </w:tc>
        <w:tc>
          <w:tcPr>
            <w:tcW w:w="905" w:type="pct"/>
            <w:tcBorders>
              <w:top w:val="nil"/>
              <w:left w:val="nil"/>
              <w:bottom w:val="single" w:sz="4" w:space="0" w:color="auto"/>
              <w:right w:val="nil"/>
            </w:tcBorders>
            <w:tcMar>
              <w:top w:w="110" w:type="dxa"/>
              <w:left w:w="108" w:type="dxa"/>
              <w:bottom w:w="0" w:type="dxa"/>
              <w:right w:w="108" w:type="dxa"/>
            </w:tcMar>
          </w:tcPr>
          <w:p w:rsidR="0053316D" w:rsidRPr="00A34388" w:rsidRDefault="0053316D">
            <w:pPr>
              <w:spacing w:line="276" w:lineRule="auto"/>
              <w:ind w:left="-22"/>
              <w:rPr>
                <w:rFonts w:cs="Arial"/>
                <w:color w:val="000000" w:themeColor="text1"/>
                <w:sz w:val="16"/>
                <w:szCs w:val="16"/>
                <w:lang w:val="es-ES_tradnl"/>
              </w:rPr>
            </w:pPr>
            <w:r w:rsidRPr="00A34388">
              <w:rPr>
                <w:rFonts w:cs="Arial"/>
                <w:color w:val="000000" w:themeColor="text1"/>
                <w:sz w:val="16"/>
                <w:szCs w:val="16"/>
                <w:lang w:val="es-ES_tradnl"/>
              </w:rPr>
              <w:t>Integración del correo electrónico, teléfono, conferencias por Internet, reuniones por Internet y seminarios por Internet</w:t>
            </w:r>
          </w:p>
          <w:p w:rsidR="0053316D" w:rsidRPr="00A34388" w:rsidRDefault="0053316D">
            <w:pPr>
              <w:spacing w:line="276" w:lineRule="auto"/>
              <w:rPr>
                <w:rFonts w:cs="Arial"/>
                <w:color w:val="000000" w:themeColor="text1"/>
                <w:sz w:val="16"/>
                <w:szCs w:val="16"/>
                <w:lang w:val="es-ES_tradnl"/>
              </w:rPr>
            </w:pPr>
          </w:p>
        </w:tc>
        <w:tc>
          <w:tcPr>
            <w:tcW w:w="1618"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rsidP="001619CB">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Integración satisfactoria del correo electrónico</w:t>
            </w:r>
            <w:r w:rsidR="001619CB" w:rsidRPr="00A34388">
              <w:rPr>
                <w:rFonts w:cs="Arial"/>
                <w:color w:val="000000" w:themeColor="text1"/>
                <w:sz w:val="16"/>
                <w:szCs w:val="16"/>
                <w:lang w:val="es-ES_tradnl"/>
              </w:rPr>
              <w:t xml:space="preserve">, teléfono </w:t>
            </w:r>
            <w:r w:rsidRPr="00A34388">
              <w:rPr>
                <w:rFonts w:cs="Arial"/>
                <w:color w:val="000000" w:themeColor="text1"/>
                <w:sz w:val="16"/>
                <w:szCs w:val="16"/>
                <w:lang w:val="es-ES_tradnl"/>
              </w:rPr>
              <w:t xml:space="preserve">y las reuniones por Internet.  En 2014/15 se abordará la integración de las conferencias por Internet y los seminarios por Internet. </w:t>
            </w:r>
          </w:p>
        </w:tc>
        <w:tc>
          <w:tcPr>
            <w:tcW w:w="682" w:type="pct"/>
            <w:tcBorders>
              <w:top w:val="nil"/>
              <w:left w:val="nil"/>
              <w:bottom w:val="single" w:sz="4" w:space="0" w:color="auto"/>
              <w:right w:val="single" w:sz="4" w:space="0" w:color="auto"/>
            </w:tcBorders>
            <w:tcMar>
              <w:top w:w="110" w:type="dxa"/>
              <w:left w:w="108" w:type="dxa"/>
              <w:bottom w:w="0" w:type="dxa"/>
              <w:right w:w="108" w:type="dxa"/>
            </w:tcMar>
          </w:tcPr>
          <w:p w:rsidR="0053316D" w:rsidRPr="00A34388" w:rsidRDefault="0053316D">
            <w:pPr>
              <w:keepNext/>
              <w:keepLines/>
              <w:spacing w:line="276" w:lineRule="auto"/>
              <w:jc w:val="center"/>
              <w:rPr>
                <w:rStyle w:val="Style5"/>
                <w:rFonts w:cs="Arial"/>
                <w:color w:val="000000" w:themeColor="text1"/>
                <w:sz w:val="16"/>
                <w:szCs w:val="16"/>
                <w:lang w:val="es-ES_tradnl"/>
              </w:rPr>
            </w:pPr>
            <w:r w:rsidRPr="00A34388">
              <w:rPr>
                <w:rFonts w:cs="Arial"/>
                <w:bCs/>
                <w:color w:val="E36C0A" w:themeColor="accent6" w:themeShade="BF"/>
                <w:sz w:val="16"/>
                <w:szCs w:val="16"/>
                <w:lang w:val="es-ES_tradnl"/>
              </w:rPr>
              <w:t xml:space="preserve"> Parcialmente</w:t>
            </w:r>
            <w:r w:rsidRPr="00A34388">
              <w:rPr>
                <w:rFonts w:cs="Arial"/>
                <w:bCs/>
                <w:color w:val="E36C0A" w:themeColor="accent6" w:themeShade="BF"/>
                <w:sz w:val="16"/>
                <w:szCs w:val="16"/>
                <w:lang w:val="es-ES_tradnl"/>
              </w:rPr>
              <w:br/>
              <w:t>logrado</w:t>
            </w:r>
          </w:p>
          <w:p w:rsidR="0053316D" w:rsidRPr="00A34388" w:rsidRDefault="0053316D">
            <w:pPr>
              <w:keepNext/>
              <w:keepLines/>
              <w:spacing w:line="276" w:lineRule="auto"/>
              <w:jc w:val="center"/>
              <w:rPr>
                <w:bCs/>
                <w:lang w:val="es-ES_tradnl"/>
              </w:rPr>
            </w:pPr>
          </w:p>
        </w:tc>
      </w:tr>
      <w:tr w:rsidR="0053316D" w:rsidRPr="00A9508D" w:rsidTr="0053316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rsidP="00C67AE3">
            <w:pPr>
              <w:keepNext/>
              <w:keepLines/>
              <w:tabs>
                <w:tab w:val="left" w:pos="1452"/>
              </w:tabs>
              <w:spacing w:before="120" w:after="120" w:line="276" w:lineRule="auto"/>
              <w:ind w:left="1701" w:hanging="1701"/>
              <w:rPr>
                <w:rFonts w:cs="Arial"/>
                <w:b/>
                <w:bCs/>
                <w:sz w:val="16"/>
                <w:szCs w:val="16"/>
                <w:lang w:val="es-ES_tradnl"/>
              </w:rPr>
            </w:pPr>
            <w:r w:rsidRPr="00332758">
              <w:rPr>
                <w:rFonts w:cs="Arial"/>
                <w:b/>
                <w:bCs/>
                <w:sz w:val="16"/>
                <w:szCs w:val="16"/>
                <w:lang w:val="es-ES_tradnl"/>
              </w:rPr>
              <w:lastRenderedPageBreak/>
              <w:t>Resultado previsto:</w:t>
            </w:r>
            <w:r w:rsidRPr="00332758">
              <w:rPr>
                <w:rFonts w:cs="Arial"/>
                <w:bCs/>
                <w:sz w:val="16"/>
                <w:szCs w:val="16"/>
                <w:lang w:val="es-ES_tradnl"/>
              </w:rPr>
              <w:tab/>
              <w:t>Se garantiza la seguridad del personal de la OMPI, los delegados, los visitantes, la información y los activos físicos.</w:t>
            </w:r>
          </w:p>
        </w:tc>
      </w:tr>
      <w:tr w:rsidR="0053316D" w:rsidRPr="00A34388" w:rsidTr="0053316D">
        <w:trPr>
          <w:cantSplit/>
        </w:trPr>
        <w:tc>
          <w:tcPr>
            <w:tcW w:w="881" w:type="pct"/>
            <w:tcBorders>
              <w:top w:val="single" w:sz="4" w:space="0" w:color="auto"/>
              <w:left w:val="single" w:sz="4" w:space="0" w:color="auto"/>
              <w:bottom w:val="nil"/>
              <w:right w:val="nil"/>
            </w:tcBorders>
            <w:vAlign w:val="center"/>
            <w:hideMark/>
          </w:tcPr>
          <w:p w:rsidR="0053316D" w:rsidRPr="00A34388" w:rsidRDefault="0053316D" w:rsidP="00C67AE3">
            <w:pPr>
              <w:keepNext/>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rsidP="00C67AE3">
            <w:pPr>
              <w:keepNext/>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905"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rsidP="00C67AE3">
            <w:pPr>
              <w:keepNext/>
              <w:spacing w:line="276" w:lineRule="auto"/>
              <w:rPr>
                <w:rFonts w:cs="Arial"/>
                <w:b/>
                <w:color w:val="808080"/>
                <w:sz w:val="16"/>
                <w:szCs w:val="16"/>
                <w:lang w:val="es-ES_tradnl"/>
              </w:rPr>
            </w:pPr>
            <w:r w:rsidRPr="00332758">
              <w:rPr>
                <w:rFonts w:cs="Arial"/>
                <w:b/>
                <w:sz w:val="16"/>
                <w:szCs w:val="16"/>
                <w:lang w:val="es-ES_tradnl"/>
              </w:rPr>
              <w:t>Objetivos</w:t>
            </w:r>
          </w:p>
        </w:tc>
        <w:tc>
          <w:tcPr>
            <w:tcW w:w="1618"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rsidP="00C67AE3">
            <w:pPr>
              <w:keepNext/>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rsidP="00C67AE3">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rPr>
          <w:cantSplit/>
        </w:trPr>
        <w:tc>
          <w:tcPr>
            <w:tcW w:w="881" w:type="pct"/>
            <w:tcBorders>
              <w:top w:val="nil"/>
              <w:left w:val="single" w:sz="4" w:space="0" w:color="auto"/>
              <w:bottom w:val="nil"/>
              <w:right w:val="nil"/>
            </w:tcBorders>
            <w:hideMark/>
          </w:tcPr>
          <w:p w:rsidR="0053316D" w:rsidRPr="00A34388" w:rsidRDefault="0053316D" w:rsidP="00C67AE3">
            <w:pPr>
              <w:keepNext/>
              <w:spacing w:line="276" w:lineRule="auto"/>
              <w:ind w:left="-22"/>
              <w:rPr>
                <w:rFonts w:cs="Arial"/>
                <w:color w:val="000000" w:themeColor="text1"/>
                <w:sz w:val="16"/>
                <w:szCs w:val="16"/>
                <w:lang w:val="es-ES_tradnl"/>
              </w:rPr>
            </w:pPr>
            <w:r w:rsidRPr="00332758">
              <w:rPr>
                <w:rFonts w:cs="Arial"/>
                <w:sz w:val="16"/>
                <w:szCs w:val="16"/>
                <w:lang w:val="es-ES_tradnl"/>
              </w:rPr>
              <w:t>Exhaustividad y pertinencia de la serie de políticas, procedimientos y normas de seguridad de la información.</w:t>
            </w:r>
          </w:p>
        </w:tc>
        <w:tc>
          <w:tcPr>
            <w:tcW w:w="914" w:type="pct"/>
            <w:tcBorders>
              <w:top w:val="nil"/>
              <w:left w:val="nil"/>
              <w:bottom w:val="nil"/>
              <w:right w:val="nil"/>
            </w:tcBorders>
            <w:hideMark/>
          </w:tcPr>
          <w:p w:rsidR="0053316D" w:rsidRPr="00A34388" w:rsidRDefault="0053316D" w:rsidP="00C67AE3">
            <w:pPr>
              <w:keepNext/>
              <w:spacing w:line="276" w:lineRule="auto"/>
              <w:ind w:left="-22"/>
              <w:rPr>
                <w:rFonts w:cs="Arial"/>
                <w:color w:val="000000" w:themeColor="text1"/>
                <w:sz w:val="16"/>
                <w:szCs w:val="16"/>
                <w:lang w:val="es-ES_tradnl"/>
              </w:rPr>
            </w:pPr>
            <w:r w:rsidRPr="00332758">
              <w:rPr>
                <w:rFonts w:cs="Arial"/>
                <w:sz w:val="16"/>
                <w:szCs w:val="16"/>
                <w:lang w:val="es-ES_tradnl"/>
              </w:rPr>
              <w:t>Ocho políticas en curso de revisión.</w:t>
            </w:r>
          </w:p>
        </w:tc>
        <w:tc>
          <w:tcPr>
            <w:tcW w:w="905" w:type="pct"/>
            <w:tcBorders>
              <w:top w:val="nil"/>
              <w:left w:val="nil"/>
              <w:bottom w:val="nil"/>
              <w:right w:val="nil"/>
            </w:tcBorders>
            <w:tcMar>
              <w:top w:w="110" w:type="dxa"/>
              <w:left w:w="108" w:type="dxa"/>
              <w:bottom w:w="0" w:type="dxa"/>
              <w:right w:w="108" w:type="dxa"/>
            </w:tcMar>
            <w:hideMark/>
          </w:tcPr>
          <w:p w:rsidR="0053316D" w:rsidRPr="00A34388" w:rsidRDefault="0053316D" w:rsidP="00C67AE3">
            <w:pPr>
              <w:keepNext/>
              <w:spacing w:line="276" w:lineRule="auto"/>
              <w:rPr>
                <w:rFonts w:cs="Arial"/>
                <w:color w:val="000000" w:themeColor="text1"/>
                <w:sz w:val="16"/>
                <w:szCs w:val="16"/>
                <w:lang w:val="es-ES_tradnl"/>
              </w:rPr>
            </w:pPr>
            <w:r w:rsidRPr="00A34388">
              <w:rPr>
                <w:rFonts w:cs="Arial"/>
                <w:color w:val="000000" w:themeColor="text1"/>
                <w:sz w:val="16"/>
                <w:szCs w:val="16"/>
                <w:lang w:val="es-ES_tradnl"/>
              </w:rPr>
              <w:t>Actualización de 12 políticas</w:t>
            </w:r>
          </w:p>
        </w:tc>
        <w:tc>
          <w:tcPr>
            <w:tcW w:w="1618"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53316D" w:rsidP="00C67AE3">
            <w:pPr>
              <w:keepNext/>
              <w:spacing w:line="276" w:lineRule="auto"/>
              <w:rPr>
                <w:rFonts w:cs="Arial"/>
                <w:color w:val="000000" w:themeColor="text1"/>
                <w:sz w:val="16"/>
                <w:szCs w:val="16"/>
                <w:lang w:val="es-ES_tradnl"/>
              </w:rPr>
            </w:pPr>
            <w:r w:rsidRPr="00A34388">
              <w:rPr>
                <w:rFonts w:cs="Arial"/>
                <w:color w:val="000000" w:themeColor="text1"/>
                <w:sz w:val="16"/>
                <w:szCs w:val="16"/>
                <w:lang w:val="es-ES_tradnl" w:bidi="th-TH"/>
              </w:rPr>
              <w:t xml:space="preserve">La Junta de TIC revisó, actualizó y aprobó las políticas de seguridad, </w:t>
            </w:r>
            <w:r w:rsidR="001619CB" w:rsidRPr="00A34388">
              <w:rPr>
                <w:rFonts w:cs="Arial"/>
                <w:color w:val="000000" w:themeColor="text1"/>
                <w:sz w:val="16"/>
                <w:szCs w:val="16"/>
                <w:lang w:val="es-ES_tradnl" w:bidi="th-TH"/>
              </w:rPr>
              <w:t xml:space="preserve">tras lo cual </w:t>
            </w:r>
            <w:r w:rsidRPr="00A34388">
              <w:rPr>
                <w:rFonts w:cs="Arial"/>
                <w:color w:val="000000" w:themeColor="text1"/>
                <w:sz w:val="16"/>
                <w:szCs w:val="16"/>
                <w:lang w:val="es-ES_tradnl" w:bidi="th-TH"/>
              </w:rPr>
              <w:t>se publicaron 20 políticas actualizadas en la página Intranet de la OMPI.</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rsidP="00C67AE3">
            <w:pPr>
              <w:keepNext/>
              <w:keepLines/>
              <w:spacing w:line="276" w:lineRule="auto"/>
              <w:jc w:val="center"/>
              <w:rPr>
                <w:rFonts w:cs="Arial"/>
                <w:bCs/>
                <w:color w:val="000000" w:themeColor="text1"/>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color w:val="000000" w:themeColor="text1"/>
                <w:sz w:val="16"/>
                <w:szCs w:val="16"/>
                <w:lang w:val="es-ES_tradnl"/>
              </w:rPr>
              <w:t xml:space="preserve"> </w:t>
            </w:r>
          </w:p>
        </w:tc>
      </w:tr>
      <w:tr w:rsidR="0053316D" w:rsidRPr="00A34388" w:rsidTr="0053316D">
        <w:trPr>
          <w:cantSplit/>
        </w:trPr>
        <w:tc>
          <w:tcPr>
            <w:tcW w:w="881" w:type="pct"/>
            <w:tcBorders>
              <w:top w:val="nil"/>
              <w:left w:val="single" w:sz="4" w:space="0" w:color="auto"/>
              <w:bottom w:val="single" w:sz="4" w:space="0" w:color="auto"/>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Se mantiene actualizado el registro de riesgos relativo a la seguridad de la información.</w:t>
            </w:r>
          </w:p>
        </w:tc>
        <w:tc>
          <w:tcPr>
            <w:tcW w:w="914" w:type="pct"/>
            <w:tcBorders>
              <w:top w:val="nil"/>
              <w:left w:val="nil"/>
              <w:bottom w:val="single" w:sz="4" w:space="0" w:color="auto"/>
              <w:right w:val="nil"/>
            </w:tcBorders>
            <w:hideMark/>
          </w:tcPr>
          <w:p w:rsidR="0053316D" w:rsidRPr="00A34388" w:rsidRDefault="0053316D">
            <w:pPr>
              <w:spacing w:line="276" w:lineRule="auto"/>
              <w:ind w:left="-22"/>
              <w:rPr>
                <w:rFonts w:cs="Arial"/>
                <w:color w:val="000000" w:themeColor="text1"/>
                <w:sz w:val="16"/>
                <w:szCs w:val="16"/>
                <w:lang w:val="es-ES_tradnl"/>
              </w:rPr>
            </w:pPr>
            <w:r w:rsidRPr="00332758">
              <w:rPr>
                <w:rFonts w:cs="Arial"/>
                <w:sz w:val="16"/>
                <w:szCs w:val="16"/>
                <w:lang w:val="es-ES_tradnl"/>
              </w:rPr>
              <w:t>Creación del registro de riesgos</w:t>
            </w:r>
            <w:r w:rsidRPr="00A34388">
              <w:rPr>
                <w:rFonts w:cs="Arial"/>
                <w:color w:val="000000" w:themeColor="text1"/>
                <w:sz w:val="16"/>
                <w:szCs w:val="16"/>
                <w:lang w:val="es-ES_tradnl"/>
              </w:rPr>
              <w:t xml:space="preserve"> </w:t>
            </w:r>
          </w:p>
        </w:tc>
        <w:tc>
          <w:tcPr>
            <w:tcW w:w="905"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Revisión del registro de riesgos dos veces al año </w:t>
            </w:r>
          </w:p>
        </w:tc>
        <w:tc>
          <w:tcPr>
            <w:tcW w:w="1618"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color w:val="000000" w:themeColor="text1"/>
                <w:sz w:val="16"/>
                <w:szCs w:val="16"/>
                <w:lang w:val="es-ES_tradnl"/>
              </w:rPr>
            </w:pPr>
            <w:r w:rsidRPr="00A34388">
              <w:rPr>
                <w:rFonts w:cs="Arial"/>
                <w:color w:val="000000" w:themeColor="text1"/>
                <w:sz w:val="16"/>
                <w:szCs w:val="16"/>
                <w:lang w:val="es-ES_tradnl"/>
              </w:rPr>
              <w:t xml:space="preserve">El registro de riesgos relativo a la seguridad de la información se actualizó semestralmente, y se revisó a fondo en el marco de la certificación ISO 27001 de las operaciones del PCT. </w:t>
            </w:r>
          </w:p>
          <w:p w:rsidR="0053316D" w:rsidRPr="00A34388" w:rsidRDefault="0053316D">
            <w:pPr>
              <w:spacing w:line="276" w:lineRule="auto"/>
              <w:rPr>
                <w:rFonts w:cs="Arial"/>
                <w:color w:val="000000" w:themeColor="text1"/>
                <w:sz w:val="16"/>
                <w:szCs w:val="16"/>
                <w:lang w:val="es-ES_tradnl"/>
              </w:rPr>
            </w:pPr>
          </w:p>
        </w:tc>
        <w:tc>
          <w:tcPr>
            <w:tcW w:w="682" w:type="pct"/>
            <w:tcBorders>
              <w:top w:val="nil"/>
              <w:left w:val="nil"/>
              <w:bottom w:val="single" w:sz="4" w:space="0" w:color="auto"/>
              <w:right w:val="single" w:sz="4" w:space="0" w:color="auto"/>
            </w:tcBorders>
            <w:tcMar>
              <w:top w:w="110" w:type="dxa"/>
              <w:left w:w="108" w:type="dxa"/>
              <w:bottom w:w="0" w:type="dxa"/>
              <w:right w:w="108" w:type="dxa"/>
            </w:tcMar>
          </w:tcPr>
          <w:p w:rsidR="0053316D" w:rsidRPr="00A34388" w:rsidRDefault="0053316D">
            <w:pPr>
              <w:keepNext/>
              <w:keepLines/>
              <w:spacing w:line="276" w:lineRule="auto"/>
              <w:jc w:val="center"/>
              <w:rPr>
                <w:rStyle w:val="Style5"/>
                <w:rFonts w:cs="Arial"/>
                <w:color w:val="000000" w:themeColor="text1"/>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color w:val="000000" w:themeColor="text1"/>
                <w:sz w:val="16"/>
                <w:szCs w:val="16"/>
                <w:lang w:val="es-ES_tradnl"/>
              </w:rPr>
              <w:t xml:space="preserve"> </w:t>
            </w:r>
          </w:p>
          <w:p w:rsidR="0053316D" w:rsidRPr="00A34388" w:rsidRDefault="0053316D">
            <w:pPr>
              <w:keepNext/>
              <w:keepLines/>
              <w:spacing w:line="276" w:lineRule="auto"/>
              <w:jc w:val="center"/>
              <w:rPr>
                <w:bCs/>
                <w:lang w:val="es-ES_tradnl"/>
              </w:rPr>
            </w:pPr>
          </w:p>
        </w:tc>
      </w:tr>
    </w:tbl>
    <w:p w:rsidR="0053316D" w:rsidRPr="00A34388" w:rsidRDefault="0053316D" w:rsidP="0053316D">
      <w:pPr>
        <w:rPr>
          <w:b/>
          <w:color w:val="000000" w:themeColor="text1"/>
          <w:sz w:val="18"/>
          <w:szCs w:val="18"/>
          <w:lang w:val="es-ES_tradnl"/>
        </w:rPr>
      </w:pPr>
    </w:p>
    <w:p w:rsidR="0053316D" w:rsidRPr="00A34388" w:rsidRDefault="0053316D" w:rsidP="0053316D">
      <w:pPr>
        <w:keepNext/>
        <w:keepLines/>
        <w:rPr>
          <w:rFonts w:cs="Arial"/>
          <w:color w:val="000000" w:themeColor="text1"/>
          <w:sz w:val="18"/>
          <w:szCs w:val="18"/>
          <w:lang w:val="es-ES_tradnl"/>
        </w:rPr>
      </w:pPr>
    </w:p>
    <w:p w:rsidR="0053316D" w:rsidRPr="00A34388" w:rsidRDefault="0053316D" w:rsidP="0053316D">
      <w:pPr>
        <w:keepNext/>
        <w:keepLines/>
        <w:rPr>
          <w:rFonts w:cs="Arial"/>
          <w:color w:val="000000" w:themeColor="text1"/>
          <w:sz w:val="18"/>
          <w:szCs w:val="18"/>
          <w:lang w:val="es-ES_tradnl"/>
        </w:rPr>
      </w:pPr>
    </w:p>
    <w:p w:rsidR="0053316D" w:rsidRPr="00A34388" w:rsidRDefault="0053316D" w:rsidP="0053316D">
      <w:pPr>
        <w:keepNext/>
        <w:keepLines/>
        <w:rPr>
          <w:rFonts w:cs="Arial"/>
          <w:color w:val="000000" w:themeColor="text1"/>
          <w:sz w:val="22"/>
          <w:szCs w:val="22"/>
          <w:lang w:val="es-ES_tradnl"/>
        </w:rPr>
      </w:pPr>
      <w:r w:rsidRPr="00332758">
        <w:rPr>
          <w:rFonts w:cs="Arial"/>
          <w:sz w:val="22"/>
          <w:szCs w:val="22"/>
          <w:lang w:val="es-ES_tradnl"/>
        </w:rPr>
        <w:t>PRESUPUESTO Y GASTOS REALES</w:t>
      </w:r>
    </w:p>
    <w:p w:rsidR="0053316D" w:rsidRPr="00A34388" w:rsidRDefault="0053316D" w:rsidP="0053316D">
      <w:pPr>
        <w:rPr>
          <w:lang w:val="es-ES_tradnl"/>
        </w:rPr>
      </w:pPr>
    </w:p>
    <w:p w:rsidR="0053316D" w:rsidRPr="00A34388" w:rsidRDefault="0053316D" w:rsidP="0053316D">
      <w:pPr>
        <w:pStyle w:val="NormalWeb"/>
        <w:spacing w:before="0" w:beforeAutospacing="0" w:after="0" w:afterAutospacing="0"/>
        <w:jc w:val="center"/>
        <w:rPr>
          <w:lang w:val="es-ES_tradnl"/>
        </w:rPr>
      </w:pPr>
      <w:r w:rsidRPr="00A34388">
        <w:rPr>
          <w:color w:val="000000"/>
          <w:sz w:val="22"/>
          <w:szCs w:val="22"/>
          <w:lang w:val="es-ES_tradnl"/>
        </w:rPr>
        <w:t xml:space="preserve">Presupuesto y gastos reales (por resultado)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lang w:val="es-ES_tradnl"/>
        </w:rPr>
      </w:pPr>
    </w:p>
    <w:tbl>
      <w:tblPr>
        <w:tblW w:w="0" w:type="auto"/>
        <w:tblInd w:w="103" w:type="dxa"/>
        <w:tblLook w:val="04A0" w:firstRow="1" w:lastRow="0" w:firstColumn="1" w:lastColumn="0" w:noHBand="0" w:noVBand="1"/>
      </w:tblPr>
      <w:tblGrid>
        <w:gridCol w:w="590"/>
        <w:gridCol w:w="4235"/>
        <w:gridCol w:w="1512"/>
        <w:gridCol w:w="1512"/>
        <w:gridCol w:w="1512"/>
      </w:tblGrid>
      <w:tr w:rsidR="0053316D" w:rsidRPr="00A34388" w:rsidTr="0053316D">
        <w:tc>
          <w:tcPr>
            <w:tcW w:w="482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A34388">
              <w:rPr>
                <w:rFonts w:cs="Arial"/>
                <w:bCs/>
                <w:color w:val="000000"/>
                <w:sz w:val="16"/>
                <w:szCs w:val="16"/>
                <w:lang w:val="es-ES_tradnl"/>
              </w:rPr>
              <w:t>Gastos en 2012/13</w:t>
            </w:r>
          </w:p>
        </w:tc>
      </w:tr>
      <w:tr w:rsidR="0053316D" w:rsidRPr="00A34388" w:rsidTr="0053316D">
        <w:tc>
          <w:tcPr>
            <w:tcW w:w="590"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IX.1</w:t>
            </w:r>
          </w:p>
        </w:tc>
        <w:tc>
          <w:tcPr>
            <w:tcW w:w="4235"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45.827 </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46.199 </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46.340 </w:t>
            </w:r>
          </w:p>
        </w:tc>
      </w:tr>
      <w:tr w:rsidR="0053316D" w:rsidRPr="00A34388" w:rsidTr="0053316D">
        <w:tc>
          <w:tcPr>
            <w:tcW w:w="590"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IX.4</w:t>
            </w:r>
          </w:p>
        </w:tc>
        <w:tc>
          <w:tcPr>
            <w:tcW w:w="4235"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Se garantiza la seguridad del personal de la OMPI, los delegados, los visitantes, la información y los activos físicos.</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2.433 </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2.268 </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 xml:space="preserve">2.239 </w:t>
            </w:r>
          </w:p>
        </w:tc>
      </w:tr>
      <w:tr w:rsidR="0053316D" w:rsidRPr="00A34388" w:rsidTr="0053316D">
        <w:tc>
          <w:tcPr>
            <w:tcW w:w="590" w:type="dxa"/>
            <w:tcBorders>
              <w:top w:val="nil"/>
              <w:left w:val="single" w:sz="4" w:space="0" w:color="auto"/>
              <w:bottom w:val="single" w:sz="4" w:space="0" w:color="auto"/>
              <w:right w:val="nil"/>
            </w:tcBorders>
            <w:shd w:val="clear" w:color="auto" w:fill="FFFFFF"/>
            <w:noWrap/>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IX.14</w:t>
            </w:r>
          </w:p>
        </w:tc>
        <w:tc>
          <w:tcPr>
            <w:tcW w:w="4235" w:type="dxa"/>
            <w:tcBorders>
              <w:top w:val="nil"/>
              <w:left w:val="nil"/>
              <w:bottom w:val="single" w:sz="4" w:space="0" w:color="auto"/>
              <w:right w:val="nil"/>
            </w:tcBorders>
            <w:shd w:val="clear" w:color="auto" w:fill="FFFFFF"/>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Las inversiones en TIC están estrechamente vinculadas a las prioridades estratégicas y rinden beneficios a la Organización.</w:t>
            </w:r>
          </w:p>
        </w:tc>
        <w:tc>
          <w:tcPr>
            <w:tcW w:w="1512"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2.147 </w:t>
            </w:r>
          </w:p>
        </w:tc>
        <w:tc>
          <w:tcPr>
            <w:tcW w:w="1512"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2.155 </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after="120" w:line="276" w:lineRule="auto"/>
              <w:jc w:val="right"/>
              <w:rPr>
                <w:rFonts w:cs="Arial"/>
                <w:sz w:val="16"/>
                <w:szCs w:val="16"/>
                <w:lang w:val="es-ES_tradnl"/>
              </w:rPr>
            </w:pPr>
            <w:r w:rsidRPr="00332758">
              <w:rPr>
                <w:rFonts w:cs="Arial"/>
                <w:sz w:val="16"/>
                <w:szCs w:val="16"/>
                <w:lang w:val="es-ES_tradnl"/>
              </w:rPr>
              <w:t xml:space="preserve">2.002 </w:t>
            </w:r>
          </w:p>
        </w:tc>
      </w:tr>
      <w:tr w:rsidR="0053316D" w:rsidRPr="00A34388" w:rsidTr="0053316D">
        <w:tc>
          <w:tcPr>
            <w:tcW w:w="590" w:type="dxa"/>
            <w:tcBorders>
              <w:top w:val="nil"/>
              <w:left w:val="single" w:sz="4" w:space="0" w:color="auto"/>
              <w:bottom w:val="single" w:sz="4" w:space="0" w:color="auto"/>
              <w:right w:val="nil"/>
            </w:tcBorders>
            <w:shd w:val="clear" w:color="auto" w:fill="CCFFFF"/>
            <w:noWrap/>
            <w:vAlign w:val="bottom"/>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 xml:space="preserve"> </w:t>
            </w:r>
          </w:p>
        </w:tc>
        <w:tc>
          <w:tcPr>
            <w:tcW w:w="4235" w:type="dxa"/>
            <w:tcBorders>
              <w:top w:val="nil"/>
              <w:left w:val="nil"/>
              <w:bottom w:val="single" w:sz="4" w:space="0" w:color="auto"/>
              <w:right w:val="nil"/>
            </w:tcBorders>
            <w:shd w:val="clear" w:color="auto" w:fill="CCFFFF"/>
            <w:noWrap/>
            <w:vAlign w:val="center"/>
            <w:hideMark/>
          </w:tcPr>
          <w:p w:rsidR="0053316D" w:rsidRPr="00A34388" w:rsidRDefault="0053316D">
            <w:pPr>
              <w:spacing w:before="120" w:after="120" w:line="276" w:lineRule="auto"/>
              <w:rPr>
                <w:rFonts w:cs="Arial"/>
                <w:b/>
                <w:bCs/>
                <w:color w:val="808080"/>
                <w:sz w:val="16"/>
                <w:szCs w:val="16"/>
                <w:lang w:val="es-ES_tradnl"/>
              </w:rPr>
            </w:pPr>
            <w:r w:rsidRPr="00332758">
              <w:rPr>
                <w:rFonts w:cs="Arial"/>
                <w:b/>
                <w:bCs/>
                <w:sz w:val="16"/>
                <w:szCs w:val="16"/>
                <w:lang w:val="es-ES_tradnl"/>
              </w:rPr>
              <w:t>TOTAL</w:t>
            </w:r>
          </w:p>
        </w:tc>
        <w:tc>
          <w:tcPr>
            <w:tcW w:w="151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50.408</w:t>
            </w:r>
          </w:p>
        </w:tc>
        <w:tc>
          <w:tcPr>
            <w:tcW w:w="1512" w:type="dxa"/>
            <w:tcBorders>
              <w:top w:val="single" w:sz="4" w:space="0" w:color="auto"/>
              <w:left w:val="nil"/>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50.622</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332758" w:rsidRDefault="0053316D">
            <w:pPr>
              <w:spacing w:before="120" w:after="120" w:line="276" w:lineRule="auto"/>
              <w:jc w:val="right"/>
              <w:rPr>
                <w:rFonts w:cs="Arial"/>
                <w:b/>
                <w:bCs/>
                <w:sz w:val="16"/>
                <w:szCs w:val="16"/>
                <w:lang w:val="es-ES_tradnl"/>
              </w:rPr>
            </w:pPr>
            <w:r w:rsidRPr="00332758">
              <w:rPr>
                <w:rFonts w:cs="Arial"/>
                <w:b/>
                <w:bCs/>
                <w:sz w:val="16"/>
                <w:szCs w:val="16"/>
                <w:lang w:val="es-ES_tradnl"/>
              </w:rPr>
              <w:t>50.581</w:t>
            </w:r>
          </w:p>
        </w:tc>
      </w:tr>
    </w:tbl>
    <w:p w:rsidR="0053316D" w:rsidRPr="00A34388" w:rsidRDefault="0053316D" w:rsidP="0053316D">
      <w:pPr>
        <w:rPr>
          <w:lang w:val="es-ES_tradnl"/>
        </w:rPr>
      </w:pPr>
    </w:p>
    <w:p w:rsidR="0053316D" w:rsidRPr="00A34388" w:rsidRDefault="0053316D" w:rsidP="0053316D">
      <w:pPr>
        <w:rPr>
          <w:rFonts w:cs="Arial"/>
          <w:color w:val="000000"/>
          <w:sz w:val="22"/>
          <w:szCs w:val="22"/>
          <w:lang w:val="es-ES_tradnl"/>
        </w:rPr>
      </w:pPr>
    </w:p>
    <w:p w:rsidR="0017006B" w:rsidRDefault="0017006B">
      <w:pPr>
        <w:rPr>
          <w:rFonts w:cs="Arial"/>
          <w:color w:val="000000"/>
          <w:sz w:val="22"/>
          <w:szCs w:val="22"/>
          <w:lang w:val="es-ES_tradnl"/>
        </w:rPr>
      </w:pPr>
      <w:r>
        <w:rPr>
          <w:color w:val="000000"/>
          <w:sz w:val="22"/>
          <w:szCs w:val="22"/>
          <w:lang w:val="es-ES_tradnl"/>
        </w:rPr>
        <w:br w:type="page"/>
      </w:r>
    </w:p>
    <w:p w:rsidR="0053316D" w:rsidRPr="00A34388" w:rsidRDefault="0053316D" w:rsidP="0053316D">
      <w:pPr>
        <w:pStyle w:val="NormalWeb"/>
        <w:spacing w:before="0" w:beforeAutospacing="0" w:after="0" w:afterAutospacing="0"/>
        <w:jc w:val="center"/>
        <w:rPr>
          <w:lang w:val="es-ES_tradnl"/>
        </w:rPr>
      </w:pPr>
      <w:r w:rsidRPr="00A34388">
        <w:rPr>
          <w:color w:val="000000"/>
          <w:sz w:val="22"/>
          <w:szCs w:val="22"/>
          <w:lang w:val="es-ES_tradnl"/>
        </w:rPr>
        <w:lastRenderedPageBreak/>
        <w:t xml:space="preserve">Presupuesto y gastos reales (de personal y no relativos al personal)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lang w:val="es-ES_tradnl"/>
        </w:rPr>
      </w:pPr>
    </w:p>
    <w:tbl>
      <w:tblPr>
        <w:tblW w:w="0" w:type="auto"/>
        <w:tblInd w:w="93" w:type="dxa"/>
        <w:tblLook w:val="04A0" w:firstRow="1" w:lastRow="0" w:firstColumn="1" w:lastColumn="0" w:noHBand="0" w:noVBand="1"/>
      </w:tblPr>
      <w:tblGrid>
        <w:gridCol w:w="2425"/>
        <w:gridCol w:w="1736"/>
        <w:gridCol w:w="1737"/>
        <w:gridCol w:w="1736"/>
        <w:gridCol w:w="1737"/>
      </w:tblGrid>
      <w:tr w:rsidR="0053316D" w:rsidRPr="00A34388" w:rsidTr="0053316D">
        <w:tc>
          <w:tcPr>
            <w:tcW w:w="2425"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rPr>
                <w:rFonts w:cs="Arial"/>
                <w:color w:val="000000"/>
                <w:sz w:val="16"/>
                <w:szCs w:val="16"/>
                <w:lang w:val="es-ES_tradnl"/>
              </w:rPr>
            </w:pPr>
            <w:r w:rsidRPr="00A34388">
              <w:rPr>
                <w:rFonts w:cs="Arial"/>
                <w:color w:val="000000"/>
                <w:sz w:val="16"/>
                <w:szCs w:val="16"/>
                <w:lang w:val="es-ES_tradnl"/>
              </w:rPr>
              <w:t xml:space="preserve"> </w:t>
            </w:r>
          </w:p>
        </w:tc>
        <w:tc>
          <w:tcPr>
            <w:tcW w:w="1736"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Presupuesto aprobado 2012/13</w:t>
            </w:r>
          </w:p>
        </w:tc>
        <w:tc>
          <w:tcPr>
            <w:tcW w:w="1737"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736"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Gastos en 2012/13</w:t>
            </w:r>
          </w:p>
        </w:tc>
        <w:tc>
          <w:tcPr>
            <w:tcW w:w="1737"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53316D">
        <w:tc>
          <w:tcPr>
            <w:tcW w:w="2425"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Recursos de personal  </w:t>
            </w:r>
          </w:p>
        </w:tc>
        <w:tc>
          <w:tcPr>
            <w:tcW w:w="1736"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19.128</w:t>
            </w:r>
          </w:p>
        </w:tc>
        <w:tc>
          <w:tcPr>
            <w:tcW w:w="1737"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20.260</w:t>
            </w:r>
          </w:p>
        </w:tc>
        <w:tc>
          <w:tcPr>
            <w:tcW w:w="1736"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20.260</w:t>
            </w:r>
          </w:p>
        </w:tc>
        <w:tc>
          <w:tcPr>
            <w:tcW w:w="1737" w:type="dxa"/>
            <w:tcBorders>
              <w:top w:val="single" w:sz="4" w:space="0" w:color="auto"/>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c>
          <w:tcPr>
            <w:tcW w:w="2425"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Recursos no relativos al personal </w:t>
            </w:r>
          </w:p>
        </w:tc>
        <w:tc>
          <w:tcPr>
            <w:tcW w:w="173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31.279</w:t>
            </w:r>
          </w:p>
        </w:tc>
        <w:tc>
          <w:tcPr>
            <w:tcW w:w="1737"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30.363</w:t>
            </w:r>
          </w:p>
        </w:tc>
        <w:tc>
          <w:tcPr>
            <w:tcW w:w="173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30.321</w:t>
            </w:r>
          </w:p>
        </w:tc>
        <w:tc>
          <w:tcPr>
            <w:tcW w:w="1737"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c>
          <w:tcPr>
            <w:tcW w:w="2425"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 xml:space="preserve"> TOTAL </w:t>
            </w:r>
          </w:p>
        </w:tc>
        <w:tc>
          <w:tcPr>
            <w:tcW w:w="173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50.408</w:t>
            </w:r>
          </w:p>
        </w:tc>
        <w:tc>
          <w:tcPr>
            <w:tcW w:w="1737"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50.622</w:t>
            </w:r>
          </w:p>
        </w:tc>
        <w:tc>
          <w:tcPr>
            <w:tcW w:w="173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50.581</w:t>
            </w:r>
          </w:p>
        </w:tc>
        <w:tc>
          <w:tcPr>
            <w:tcW w:w="1737"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b/>
                <w:sz w:val="16"/>
                <w:szCs w:val="16"/>
                <w:lang w:val="es-ES_tradnl"/>
              </w:rPr>
            </w:pPr>
            <w:r w:rsidRPr="00332758">
              <w:rPr>
                <w:rFonts w:cs="Arial"/>
                <w:b/>
                <w:sz w:val="16"/>
                <w:szCs w:val="16"/>
                <w:lang w:val="es-ES_tradnl"/>
              </w:rPr>
              <w:t>100%</w:t>
            </w:r>
          </w:p>
        </w:tc>
      </w:tr>
    </w:tbl>
    <w:p w:rsidR="0053316D" w:rsidRPr="00A34388" w:rsidRDefault="0053316D" w:rsidP="0053316D">
      <w:pPr>
        <w:keepNext/>
        <w:keepLines/>
        <w:rPr>
          <w:rFonts w:cs="Arial"/>
          <w:color w:val="000000" w:themeColor="text1"/>
          <w:szCs w:val="20"/>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NOTAS:</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4C0FD5">
      <w:pPr>
        <w:keepNext/>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53316D" w:rsidRPr="00A34388" w:rsidRDefault="0053316D" w:rsidP="0053316D">
      <w:pPr>
        <w:keepNext/>
        <w:keepLines/>
        <w:rPr>
          <w:rFonts w:cs="Arial"/>
          <w:color w:val="000000" w:themeColor="text1"/>
          <w:szCs w:val="20"/>
          <w:lang w:val="es-ES_tradnl"/>
        </w:rPr>
      </w:pPr>
    </w:p>
    <w:p w:rsidR="0053316D" w:rsidRPr="00332758" w:rsidRDefault="0053316D" w:rsidP="0053316D">
      <w:pPr>
        <w:pStyle w:val="ListParagraph"/>
        <w:autoSpaceDE w:val="0"/>
        <w:autoSpaceDN w:val="0"/>
        <w:adjustRightInd w:val="0"/>
        <w:ind w:left="0"/>
        <w:rPr>
          <w:rFonts w:cs="Arial"/>
          <w:u w:val="single"/>
          <w:lang w:val="es-ES_tradnl"/>
        </w:rPr>
      </w:pPr>
      <w:r w:rsidRPr="00332758">
        <w:rPr>
          <w:rFonts w:cs="Arial"/>
          <w:lang w:val="es-ES_tradnl"/>
        </w:rPr>
        <w:t>A.</w:t>
      </w:r>
      <w:r w:rsidRPr="00332758">
        <w:rPr>
          <w:rFonts w:cs="Arial"/>
          <w:lang w:val="es-ES_tradnl"/>
        </w:rPr>
        <w:tab/>
      </w:r>
      <w:r w:rsidRPr="00332758">
        <w:rPr>
          <w:rFonts w:cs="Arial"/>
          <w:u w:val="single"/>
          <w:lang w:val="es-ES_tradnl"/>
        </w:rPr>
        <w:t xml:space="preserve">Presupuesto 2012/13 después de las transferencias </w:t>
      </w:r>
    </w:p>
    <w:p w:rsidR="0053316D" w:rsidRPr="00A34388" w:rsidRDefault="0053316D" w:rsidP="0053316D">
      <w:pPr>
        <w:keepNext/>
        <w:tabs>
          <w:tab w:val="left" w:pos="709"/>
        </w:tabs>
        <w:autoSpaceDE w:val="0"/>
        <w:autoSpaceDN w:val="0"/>
        <w:ind w:left="709" w:hanging="709"/>
        <w:jc w:val="both"/>
        <w:rPr>
          <w:rFonts w:cs="Arial"/>
          <w:color w:val="000000"/>
          <w:szCs w:val="20"/>
          <w:lang w:val="es-ES_tradnl"/>
        </w:rPr>
      </w:pPr>
    </w:p>
    <w:p w:rsidR="0053316D" w:rsidRPr="00A34388" w:rsidRDefault="0053316D" w:rsidP="0053316D">
      <w:pPr>
        <w:keepNext/>
        <w:tabs>
          <w:tab w:val="left" w:pos="709"/>
        </w:tabs>
        <w:autoSpaceDE w:val="0"/>
        <w:autoSpaceDN w:val="0"/>
        <w:jc w:val="both"/>
        <w:rPr>
          <w:rFonts w:cs="Arial"/>
          <w:szCs w:val="20"/>
          <w:lang w:val="es-ES_tradnl"/>
        </w:rPr>
      </w:pPr>
      <w:r w:rsidRPr="00A34388">
        <w:rPr>
          <w:rFonts w:cs="Arial"/>
          <w:szCs w:val="20"/>
          <w:lang w:val="es-ES_tradnl"/>
        </w:rPr>
        <w:t>25.6.</w:t>
      </w:r>
      <w:r w:rsidRPr="00A34388">
        <w:rPr>
          <w:rFonts w:cs="Arial"/>
          <w:szCs w:val="20"/>
          <w:lang w:val="es-ES_tradnl"/>
        </w:rPr>
        <w:tab/>
        <w:t>El presupuesto 2012/13 después de las transferencias refleja un descenso en los recursos no relativos al personal debido a los ajustes efectuados para aumentar la eficacia en función</w:t>
      </w:r>
      <w:r w:rsidRPr="00A34388">
        <w:rPr>
          <w:lang w:val="es-ES_tradnl"/>
        </w:rPr>
        <w:t xml:space="preserve"> de los costos, de conformidad con el compromiso de la Organización de reducir gastos por un importe de 10,2 millones de francos suizos en el bienio 2012/13</w:t>
      </w:r>
      <w:r w:rsidRPr="00A34388">
        <w:rPr>
          <w:rFonts w:cs="Arial"/>
          <w:szCs w:val="20"/>
          <w:lang w:val="es-ES_tradnl"/>
        </w:rPr>
        <w:t xml:space="preserve">.  </w:t>
      </w:r>
    </w:p>
    <w:p w:rsidR="0053316D" w:rsidRPr="00A34388" w:rsidRDefault="0053316D" w:rsidP="0053316D">
      <w:pPr>
        <w:keepNext/>
        <w:tabs>
          <w:tab w:val="left" w:pos="709"/>
        </w:tabs>
        <w:autoSpaceDE w:val="0"/>
        <w:autoSpaceDN w:val="0"/>
        <w:jc w:val="both"/>
        <w:rPr>
          <w:rFonts w:cs="Arial"/>
          <w:szCs w:val="20"/>
          <w:lang w:val="es-ES_tradnl"/>
        </w:rPr>
      </w:pPr>
    </w:p>
    <w:p w:rsidR="0053316D" w:rsidRPr="00A34388" w:rsidRDefault="0053316D" w:rsidP="0053316D">
      <w:pPr>
        <w:keepNext/>
        <w:keepLines/>
        <w:tabs>
          <w:tab w:val="left" w:pos="709"/>
        </w:tabs>
        <w:jc w:val="both"/>
        <w:rPr>
          <w:rFonts w:cs="Arial"/>
          <w:color w:val="000000"/>
          <w:szCs w:val="20"/>
          <w:lang w:val="es-ES_tradnl"/>
        </w:rPr>
      </w:pPr>
      <w:r w:rsidRPr="00A34388">
        <w:rPr>
          <w:rFonts w:cs="Arial"/>
          <w:color w:val="000000"/>
          <w:szCs w:val="20"/>
          <w:lang w:val="es-ES_tradnl"/>
        </w:rPr>
        <w:t>25.7.</w:t>
      </w:r>
      <w:r w:rsidRPr="00A34388">
        <w:rPr>
          <w:rFonts w:cs="Arial"/>
          <w:color w:val="000000"/>
          <w:szCs w:val="20"/>
          <w:lang w:val="es-ES_tradnl"/>
        </w:rPr>
        <w:tab/>
      </w:r>
      <w:r w:rsidR="001619CB" w:rsidRPr="00A34388">
        <w:rPr>
          <w:rFonts w:cs="Arial"/>
          <w:color w:val="000000"/>
          <w:szCs w:val="20"/>
          <w:lang w:val="es-ES_tradnl"/>
        </w:rPr>
        <w:t xml:space="preserve">Lo anterior se vio </w:t>
      </w:r>
      <w:r w:rsidRPr="00A34388">
        <w:rPr>
          <w:rFonts w:cs="Arial"/>
          <w:color w:val="000000"/>
          <w:szCs w:val="20"/>
          <w:lang w:val="es-ES_tradnl"/>
        </w:rPr>
        <w:t xml:space="preserve">contrarrestado por un aumento de los recursos de personal, debido principalmente a la reclasificación de una serie de puestos </w:t>
      </w:r>
      <w:r w:rsidR="000A4C66" w:rsidRPr="00A34388">
        <w:rPr>
          <w:rFonts w:cs="Arial"/>
          <w:color w:val="000000"/>
          <w:szCs w:val="20"/>
          <w:lang w:val="es-ES_tradnl"/>
        </w:rPr>
        <w:t xml:space="preserve">con el objetivo, entre otros, de </w:t>
      </w:r>
      <w:r w:rsidRPr="00A34388">
        <w:rPr>
          <w:rFonts w:cs="Arial"/>
          <w:color w:val="000000"/>
          <w:szCs w:val="20"/>
          <w:lang w:val="es-ES_tradnl"/>
        </w:rPr>
        <w:t xml:space="preserve">fortalecer la arquitectura </w:t>
      </w:r>
      <w:r w:rsidR="001619CB" w:rsidRPr="00A34388">
        <w:rPr>
          <w:rFonts w:cs="Arial"/>
          <w:color w:val="000000"/>
          <w:szCs w:val="20"/>
          <w:lang w:val="es-ES_tradnl"/>
        </w:rPr>
        <w:t xml:space="preserve">institucional </w:t>
      </w:r>
      <w:r w:rsidRPr="00A34388">
        <w:rPr>
          <w:rFonts w:cs="Arial"/>
          <w:color w:val="000000"/>
          <w:szCs w:val="20"/>
          <w:lang w:val="es-ES_tradnl"/>
        </w:rPr>
        <w:t xml:space="preserve">en materia de T.I. y </w:t>
      </w:r>
      <w:r w:rsidR="000A4C66" w:rsidRPr="00A34388">
        <w:rPr>
          <w:rFonts w:cs="Arial"/>
          <w:color w:val="000000"/>
          <w:szCs w:val="20"/>
          <w:lang w:val="es-ES_tradnl"/>
        </w:rPr>
        <w:t xml:space="preserve">de </w:t>
      </w:r>
      <w:r w:rsidR="00D53B8B" w:rsidRPr="00A34388">
        <w:rPr>
          <w:rFonts w:cs="Arial"/>
          <w:color w:val="000000"/>
          <w:szCs w:val="20"/>
          <w:lang w:val="es-ES_tradnl"/>
        </w:rPr>
        <w:t xml:space="preserve">regularizar </w:t>
      </w:r>
      <w:r w:rsidRPr="00A34388">
        <w:rPr>
          <w:rFonts w:cs="Arial"/>
          <w:color w:val="000000"/>
          <w:szCs w:val="20"/>
          <w:lang w:val="es-ES_tradnl"/>
        </w:rPr>
        <w:t xml:space="preserve">funciones </w:t>
      </w:r>
      <w:r w:rsidR="001619CB" w:rsidRPr="00A34388">
        <w:rPr>
          <w:rFonts w:cs="Arial"/>
          <w:color w:val="000000"/>
          <w:szCs w:val="20"/>
          <w:lang w:val="es-ES_tradnl"/>
        </w:rPr>
        <w:t>de naturaleza permanente</w:t>
      </w:r>
      <w:r w:rsidRPr="00A34388">
        <w:rPr>
          <w:rFonts w:cs="Arial"/>
          <w:color w:val="000000"/>
          <w:szCs w:val="20"/>
          <w:lang w:val="es-ES_tradnl"/>
        </w:rPr>
        <w:t>.</w:t>
      </w:r>
    </w:p>
    <w:p w:rsidR="0053316D" w:rsidRPr="00A34388" w:rsidRDefault="0053316D" w:rsidP="0053316D">
      <w:pPr>
        <w:keepNext/>
        <w:keepLines/>
        <w:tabs>
          <w:tab w:val="left" w:pos="709"/>
        </w:tabs>
        <w:jc w:val="both"/>
        <w:rPr>
          <w:rFonts w:cs="Arial"/>
          <w:color w:val="000000"/>
          <w:szCs w:val="20"/>
          <w:lang w:val="es-ES_tradnl"/>
        </w:rPr>
      </w:pPr>
    </w:p>
    <w:p w:rsidR="0053316D" w:rsidRPr="00A34388" w:rsidRDefault="0053316D" w:rsidP="0053316D">
      <w:pPr>
        <w:keepNext/>
        <w:tabs>
          <w:tab w:val="left" w:pos="709"/>
        </w:tabs>
        <w:autoSpaceDE w:val="0"/>
        <w:autoSpaceDN w:val="0"/>
        <w:jc w:val="both"/>
        <w:rPr>
          <w:rFonts w:cs="Arial"/>
          <w:szCs w:val="20"/>
          <w:lang w:val="es-ES_tradnl"/>
        </w:rPr>
      </w:pPr>
      <w:r w:rsidRPr="00A34388">
        <w:rPr>
          <w:rFonts w:cs="Arial"/>
          <w:szCs w:val="20"/>
          <w:lang w:val="es-ES_tradnl"/>
        </w:rPr>
        <w:t>25.8.</w:t>
      </w:r>
      <w:r w:rsidRPr="00A34388">
        <w:rPr>
          <w:rFonts w:cs="Arial"/>
          <w:szCs w:val="20"/>
          <w:lang w:val="es-ES_tradnl"/>
        </w:rPr>
        <w:tab/>
        <w:t>En general, en el presupuesto no relativo a personal puede apreciar</w:t>
      </w:r>
      <w:r w:rsidR="00D53B8B" w:rsidRPr="00A34388">
        <w:rPr>
          <w:rFonts w:cs="Arial"/>
          <w:szCs w:val="20"/>
          <w:lang w:val="es-ES_tradnl"/>
        </w:rPr>
        <w:t>se</w:t>
      </w:r>
      <w:r w:rsidRPr="00A34388">
        <w:rPr>
          <w:rFonts w:cs="Arial"/>
          <w:szCs w:val="20"/>
          <w:lang w:val="es-ES_tradnl"/>
        </w:rPr>
        <w:t xml:space="preserve"> un </w:t>
      </w:r>
      <w:r w:rsidR="00D53B8B" w:rsidRPr="00A34388">
        <w:rPr>
          <w:rFonts w:cs="Arial"/>
          <w:szCs w:val="20"/>
          <w:lang w:val="es-ES_tradnl"/>
        </w:rPr>
        <w:t xml:space="preserve">trasvase de recursos </w:t>
      </w:r>
      <w:r w:rsidRPr="00A34388">
        <w:rPr>
          <w:rFonts w:cs="Arial"/>
          <w:szCs w:val="20"/>
          <w:lang w:val="es-ES_tradnl"/>
        </w:rPr>
        <w:t>de</w:t>
      </w:r>
      <w:r w:rsidR="00D53B8B" w:rsidRPr="00A34388">
        <w:rPr>
          <w:rFonts w:cs="Arial"/>
          <w:szCs w:val="20"/>
          <w:lang w:val="es-ES_tradnl"/>
        </w:rPr>
        <w:t>sde</w:t>
      </w:r>
      <w:r w:rsidRPr="00A34388">
        <w:rPr>
          <w:rFonts w:cs="Arial"/>
          <w:szCs w:val="20"/>
          <w:lang w:val="es-ES_tradnl"/>
        </w:rPr>
        <w:t xml:space="preserve"> los resultados IX.4 (Se garantiza la seguridad del personal de la OMPI, los delegados, los visitantes, la información y los activos físicos</w:t>
      </w:r>
      <w:r w:rsidRPr="00A34388">
        <w:rPr>
          <w:rFonts w:cs="Arial"/>
          <w:color w:val="000000"/>
          <w:szCs w:val="20"/>
          <w:lang w:val="es-ES_tradnl"/>
        </w:rPr>
        <w:t>)</w:t>
      </w:r>
      <w:r w:rsidRPr="00A34388">
        <w:rPr>
          <w:rFonts w:cs="Arial"/>
          <w:szCs w:val="20"/>
          <w:lang w:val="es-ES_tradnl"/>
        </w:rPr>
        <w:t xml:space="preserve"> y IX.14 (Las inversiones en TIC están estrechamente vinculadas</w:t>
      </w:r>
      <w:r w:rsidRPr="00A34388">
        <w:rPr>
          <w:rFonts w:cs="Arial"/>
          <w:color w:val="000000"/>
          <w:szCs w:val="20"/>
          <w:lang w:val="es-ES_tradnl"/>
        </w:rPr>
        <w:t xml:space="preserve">) al resultado IX.1 (Servicios de apoyo eficaces, eficientes, de calidad y orientados al cliente), que refleja el aumento de la </w:t>
      </w:r>
      <w:r w:rsidR="00D53B8B" w:rsidRPr="00A34388">
        <w:rPr>
          <w:rFonts w:cs="Arial"/>
          <w:color w:val="000000"/>
          <w:szCs w:val="20"/>
          <w:lang w:val="es-ES_tradnl"/>
        </w:rPr>
        <w:t xml:space="preserve">subcontratación externa con </w:t>
      </w:r>
      <w:r w:rsidRPr="00A34388">
        <w:rPr>
          <w:rFonts w:cs="Arial"/>
          <w:color w:val="000000"/>
          <w:szCs w:val="20"/>
          <w:lang w:val="es-ES_tradnl"/>
        </w:rPr>
        <w:t>el CICE.</w:t>
      </w:r>
    </w:p>
    <w:p w:rsidR="0053316D" w:rsidRPr="00A34388" w:rsidRDefault="0053316D" w:rsidP="0053316D">
      <w:pPr>
        <w:keepNext/>
        <w:keepLines/>
        <w:tabs>
          <w:tab w:val="left" w:pos="709"/>
        </w:tabs>
        <w:jc w:val="both"/>
        <w:rPr>
          <w:rFonts w:cs="Arial"/>
          <w:color w:val="000000"/>
          <w:szCs w:val="20"/>
          <w:lang w:val="es-ES_tradnl"/>
        </w:rPr>
      </w:pPr>
    </w:p>
    <w:p w:rsidR="0053316D" w:rsidRPr="00A34388" w:rsidRDefault="0053316D" w:rsidP="0053316D">
      <w:pPr>
        <w:keepNext/>
        <w:keepLines/>
        <w:tabs>
          <w:tab w:val="left" w:pos="709"/>
        </w:tabs>
        <w:ind w:left="709" w:hanging="709"/>
        <w:jc w:val="both"/>
        <w:rPr>
          <w:rFonts w:cs="Arial"/>
          <w:color w:val="000000"/>
          <w:szCs w:val="20"/>
          <w:lang w:val="es-ES_tradnl"/>
        </w:rPr>
      </w:pPr>
    </w:p>
    <w:p w:rsidR="0053316D" w:rsidRPr="00A34388" w:rsidRDefault="0053316D" w:rsidP="0053316D">
      <w:pPr>
        <w:keepNext/>
        <w:keepLines/>
        <w:tabs>
          <w:tab w:val="left" w:pos="709"/>
        </w:tabs>
        <w:ind w:left="709" w:hanging="709"/>
        <w:jc w:val="both"/>
        <w:rPr>
          <w:rFonts w:cs="Arial"/>
          <w:szCs w:val="20"/>
          <w:lang w:val="es-ES_tradnl"/>
        </w:rPr>
      </w:pPr>
      <w:r w:rsidRPr="00A34388">
        <w:rPr>
          <w:rFonts w:cs="Arial"/>
          <w:szCs w:val="20"/>
          <w:lang w:val="es-ES_tradnl"/>
        </w:rPr>
        <w:t>B.</w:t>
      </w:r>
      <w:r w:rsidRPr="00A34388">
        <w:rPr>
          <w:rFonts w:cs="Arial"/>
          <w:szCs w:val="20"/>
          <w:lang w:val="es-ES_tradnl"/>
        </w:rPr>
        <w:tab/>
      </w:r>
      <w:r w:rsidRPr="00A34388">
        <w:rPr>
          <w:rFonts w:cs="Arial"/>
          <w:szCs w:val="20"/>
          <w:u w:val="single"/>
          <w:lang w:val="es-ES_tradnl"/>
        </w:rPr>
        <w:t xml:space="preserve">Utilización del presupuesto </w:t>
      </w:r>
      <w:r w:rsidR="00D53B8B" w:rsidRPr="00A34388">
        <w:rPr>
          <w:u w:val="single"/>
          <w:lang w:val="es-ES_tradnl"/>
        </w:rPr>
        <w:t>en 2012/</w:t>
      </w:r>
      <w:r w:rsidRPr="00A34388">
        <w:rPr>
          <w:rFonts w:cs="Arial"/>
          <w:szCs w:val="20"/>
          <w:u w:val="single"/>
          <w:lang w:val="es-ES_tradnl"/>
        </w:rPr>
        <w:t>1</w:t>
      </w:r>
      <w:r w:rsidR="00D53B8B" w:rsidRPr="00A34388">
        <w:rPr>
          <w:rFonts w:cs="Arial"/>
          <w:szCs w:val="20"/>
          <w:u w:val="single"/>
          <w:lang w:val="es-ES_tradnl"/>
        </w:rPr>
        <w:t>3</w:t>
      </w:r>
    </w:p>
    <w:p w:rsidR="0053316D" w:rsidRPr="00A34388" w:rsidRDefault="0053316D" w:rsidP="0053316D">
      <w:pPr>
        <w:keepNext/>
        <w:keepLines/>
        <w:tabs>
          <w:tab w:val="left" w:pos="709"/>
        </w:tabs>
        <w:ind w:left="709" w:hanging="709"/>
        <w:jc w:val="both"/>
        <w:rPr>
          <w:rFonts w:cs="Arial"/>
          <w:color w:val="000000" w:themeColor="text1"/>
          <w:szCs w:val="20"/>
          <w:lang w:val="es-ES_tradnl"/>
        </w:rPr>
      </w:pPr>
    </w:p>
    <w:p w:rsidR="00020026" w:rsidRPr="00A34388" w:rsidRDefault="0053316D" w:rsidP="0053316D">
      <w:pPr>
        <w:tabs>
          <w:tab w:val="left" w:pos="709"/>
        </w:tabs>
        <w:autoSpaceDE w:val="0"/>
        <w:autoSpaceDN w:val="0"/>
        <w:adjustRightInd w:val="0"/>
        <w:jc w:val="both"/>
        <w:rPr>
          <w:rFonts w:eastAsia="Batang" w:cs="Arial"/>
          <w:szCs w:val="20"/>
          <w:lang w:val="es-ES_tradnl" w:eastAsia="ko-KR"/>
        </w:rPr>
      </w:pPr>
      <w:r w:rsidRPr="00A34388">
        <w:rPr>
          <w:rFonts w:eastAsia="Batang" w:cs="Arial"/>
          <w:szCs w:val="20"/>
          <w:lang w:val="es-ES_tradnl" w:eastAsia="ko-KR"/>
        </w:rPr>
        <w:t>25.9.</w:t>
      </w:r>
      <w:r w:rsidRPr="00A34388">
        <w:rPr>
          <w:rFonts w:eastAsia="Batang" w:cs="Arial"/>
          <w:szCs w:val="20"/>
          <w:lang w:val="es-ES_tradnl" w:eastAsia="ko-KR"/>
        </w:rPr>
        <w:tab/>
      </w:r>
      <w:r w:rsidR="00020026" w:rsidRPr="00A34388">
        <w:rPr>
          <w:rFonts w:eastAsia="Batang" w:cs="Arial"/>
          <w:szCs w:val="20"/>
          <w:lang w:val="es-ES_tradnl" w:eastAsia="ko-KR"/>
        </w:rPr>
        <w:t xml:space="preserve">En general, durante el bienio la utilización del presupuesto </w:t>
      </w:r>
      <w:r w:rsidR="006628FD" w:rsidRPr="00A34388">
        <w:rPr>
          <w:rFonts w:eastAsia="Batang" w:cs="Arial"/>
          <w:szCs w:val="20"/>
          <w:lang w:val="es-ES_tradnl" w:eastAsia="ko-KR"/>
        </w:rPr>
        <w:t xml:space="preserve">a cargo del </w:t>
      </w:r>
      <w:r w:rsidR="00020026" w:rsidRPr="00A34388">
        <w:rPr>
          <w:rFonts w:eastAsia="Batang" w:cs="Arial"/>
          <w:szCs w:val="20"/>
          <w:lang w:val="es-ES_tradnl" w:eastAsia="ko-KR"/>
        </w:rPr>
        <w:t xml:space="preserve">programa fue acorde con el presupuesto 2012/13 después de las transferencias. </w:t>
      </w:r>
    </w:p>
    <w:p w:rsidR="00020026" w:rsidRPr="00A34388" w:rsidRDefault="00020026" w:rsidP="0053316D">
      <w:pPr>
        <w:tabs>
          <w:tab w:val="left" w:pos="709"/>
        </w:tabs>
        <w:autoSpaceDE w:val="0"/>
        <w:autoSpaceDN w:val="0"/>
        <w:adjustRightInd w:val="0"/>
        <w:jc w:val="both"/>
        <w:rPr>
          <w:rFonts w:eastAsia="Batang" w:cs="Arial"/>
          <w:szCs w:val="20"/>
          <w:lang w:val="es-ES_tradnl" w:eastAsia="ko-KR"/>
        </w:rPr>
      </w:pPr>
    </w:p>
    <w:p w:rsidR="00197073" w:rsidRPr="00A34388" w:rsidRDefault="00197073">
      <w:pPr>
        <w:rPr>
          <w:rFonts w:ascii="Arial Bold" w:hAnsi="Arial Bold" w:cs="Arial"/>
          <w:b/>
          <w:bCs/>
          <w:iCs/>
          <w:caps/>
          <w:sz w:val="22"/>
          <w:szCs w:val="28"/>
          <w:lang w:val="es-ES_tradnl"/>
        </w:rPr>
      </w:pPr>
      <w:r w:rsidRPr="00A34388">
        <w:rPr>
          <w:lang w:val="es-ES_tradnl"/>
        </w:rPr>
        <w:br w:type="page"/>
      </w:r>
    </w:p>
    <w:p w:rsidR="001F2211" w:rsidRPr="003934C8" w:rsidRDefault="001F2211" w:rsidP="001F2211">
      <w:pPr>
        <w:pStyle w:val="Heading3"/>
        <w:rPr>
          <w:rFonts w:hint="eastAsia"/>
          <w:lang w:val="es-ES"/>
        </w:rPr>
      </w:pPr>
      <w:bookmarkStart w:id="99" w:name="_Toc392852667"/>
      <w:bookmarkStart w:id="100" w:name="_Toc395279687"/>
      <w:r w:rsidRPr="003934C8">
        <w:rPr>
          <w:lang w:val="es-ES"/>
        </w:rPr>
        <w:lastRenderedPageBreak/>
        <w:t>Programa 26</w:t>
      </w:r>
      <w:r w:rsidRPr="003934C8">
        <w:rPr>
          <w:lang w:val="es-ES"/>
        </w:rPr>
        <w:tab/>
        <w:t>Supervisión interna</w:t>
      </w:r>
      <w:bookmarkEnd w:id="99"/>
      <w:bookmarkEnd w:id="100"/>
    </w:p>
    <w:p w:rsidR="001F2211" w:rsidRPr="00D42A38" w:rsidRDefault="001F2211" w:rsidP="001F2211">
      <w:pPr>
        <w:rPr>
          <w:b/>
          <w:sz w:val="22"/>
          <w:szCs w:val="22"/>
          <w:lang w:val="es-ES_tradnl"/>
        </w:rPr>
      </w:pPr>
    </w:p>
    <w:p w:rsidR="001F2211" w:rsidRPr="00D42A38" w:rsidRDefault="001F2211" w:rsidP="001F2211">
      <w:pPr>
        <w:rPr>
          <w:b/>
          <w:sz w:val="22"/>
          <w:szCs w:val="22"/>
          <w:lang w:val="es-ES_tradnl"/>
        </w:rPr>
      </w:pPr>
      <w:bookmarkStart w:id="101" w:name="_Toc394914538"/>
      <w:r w:rsidRPr="00D42A38">
        <w:rPr>
          <w:b/>
          <w:sz w:val="22"/>
          <w:szCs w:val="22"/>
          <w:lang w:val="es-ES_tradnl"/>
        </w:rPr>
        <w:t>Director del Programa</w:t>
      </w:r>
      <w:r w:rsidRPr="00D42A38">
        <w:rPr>
          <w:b/>
          <w:sz w:val="22"/>
          <w:szCs w:val="22"/>
          <w:lang w:val="es-ES_tradnl"/>
        </w:rPr>
        <w:tab/>
        <w:t>Sr. T. Rajaobelina</w:t>
      </w:r>
      <w:bookmarkEnd w:id="101"/>
    </w:p>
    <w:p w:rsidR="0053316D" w:rsidRPr="00A34388" w:rsidRDefault="0053316D" w:rsidP="0053316D">
      <w:pPr>
        <w:rPr>
          <w:rFonts w:cs="Arial"/>
          <w:sz w:val="22"/>
          <w:szCs w:val="22"/>
          <w:lang w:val="es-ES_tradnl"/>
        </w:rPr>
      </w:pPr>
    </w:p>
    <w:p w:rsidR="0053316D" w:rsidRPr="00A34388" w:rsidRDefault="0053316D" w:rsidP="0053316D">
      <w:pPr>
        <w:rPr>
          <w:rFonts w:cs="Arial"/>
          <w:bCs/>
          <w:sz w:val="22"/>
          <w:szCs w:val="22"/>
          <w:lang w:val="es-ES_tradnl"/>
        </w:rPr>
      </w:pPr>
    </w:p>
    <w:p w:rsidR="0053316D" w:rsidRPr="00A34388" w:rsidRDefault="0053316D" w:rsidP="0053316D">
      <w:pPr>
        <w:rPr>
          <w:rFonts w:cs="Arial"/>
          <w:sz w:val="22"/>
          <w:szCs w:val="22"/>
          <w:lang w:val="es-ES_tradnl"/>
        </w:rPr>
      </w:pPr>
      <w:r w:rsidRPr="00A34388">
        <w:rPr>
          <w:rFonts w:cs="Arial"/>
          <w:bCs/>
          <w:sz w:val="22"/>
          <w:szCs w:val="22"/>
          <w:lang w:val="es-ES_tradnl"/>
        </w:rPr>
        <w:t>AVANCES LOGRADOS EN EL BIENIO 2012/13</w:t>
      </w:r>
    </w:p>
    <w:p w:rsidR="0053316D" w:rsidRPr="00332758" w:rsidRDefault="0053316D" w:rsidP="0053316D">
      <w:pPr>
        <w:rPr>
          <w:rFonts w:cs="Arial"/>
          <w:sz w:val="22"/>
          <w:szCs w:val="22"/>
          <w:lang w:val="es-ES_tradnl"/>
        </w:rPr>
      </w:pPr>
    </w:p>
    <w:p w:rsidR="0053316D" w:rsidRPr="00A34388" w:rsidRDefault="0053316D" w:rsidP="0053316D">
      <w:pPr>
        <w:pStyle w:val="ListParagraph"/>
        <w:tabs>
          <w:tab w:val="left" w:pos="720"/>
        </w:tabs>
        <w:ind w:left="0"/>
        <w:jc w:val="both"/>
        <w:rPr>
          <w:rFonts w:cs="Arial"/>
          <w:lang w:val="es-ES_tradnl"/>
        </w:rPr>
      </w:pPr>
      <w:r w:rsidRPr="00332758">
        <w:rPr>
          <w:rFonts w:cs="Arial"/>
          <w:lang w:val="es-ES_tradnl"/>
        </w:rPr>
        <w:t>26.1.</w:t>
      </w:r>
      <w:r w:rsidRPr="00332758">
        <w:rPr>
          <w:rFonts w:cs="Arial"/>
          <w:lang w:val="es-ES_tradnl"/>
        </w:rPr>
        <w:tab/>
        <w:t xml:space="preserve">La División de Auditoría y Supervisión Internas (DASI) experimentó importantes cambios de personal con la toma de posesión del nuevo director de la DASI y el nombramiento de un nuevo Jefe de la Sección de Investigación.  </w:t>
      </w:r>
      <w:r w:rsidRPr="00A34388">
        <w:rPr>
          <w:rFonts w:cs="Arial"/>
          <w:lang w:val="es-ES_tradnl"/>
        </w:rPr>
        <w:t xml:space="preserve">Al finalizar el bienio, todos los puestos vacantes habían sido cubiertos y la plantilla estaba completa.  También se produjeron cambios importantes a raíz de la introducción y uso de un software de gestión de documentos de trabajo electrónicos para el registro de los procesos de supervisión, incluida la planificación, labor de campo, revisión e información.  Este software permitió mejorar los procesos de trabajo, pero su implantación requirió un </w:t>
      </w:r>
      <w:r w:rsidR="00D53B8B" w:rsidRPr="00A34388">
        <w:rPr>
          <w:rFonts w:cs="Arial"/>
          <w:lang w:val="es-ES_tradnl"/>
        </w:rPr>
        <w:t>período</w:t>
      </w:r>
      <w:r w:rsidRPr="00A34388">
        <w:rPr>
          <w:rFonts w:cs="Arial"/>
          <w:lang w:val="es-ES_tradnl"/>
        </w:rPr>
        <w:t xml:space="preserve"> prolongado, lo que afectó ligeramente al plan para el bienio. </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332758">
        <w:rPr>
          <w:rFonts w:cs="Arial"/>
          <w:lang w:val="es-ES_tradnl"/>
        </w:rPr>
        <w:t>26.2.</w:t>
      </w:r>
      <w:r w:rsidRPr="00332758">
        <w:rPr>
          <w:rFonts w:cs="Arial"/>
          <w:lang w:val="es-ES_tradnl"/>
        </w:rPr>
        <w:tab/>
        <w:t xml:space="preserve">La DASI publicó 19 informes de auditoría y evaluación que contenían 161 recomendaciones de mejoras.  </w:t>
      </w:r>
      <w:r w:rsidRPr="00A34388">
        <w:rPr>
          <w:rFonts w:cs="Arial"/>
          <w:lang w:val="es-ES_tradnl"/>
        </w:rPr>
        <w:t>La  puesta en marcha del Plan de supervisión de la DASI se llevó a cabo utilizando la metodología de evaluación de riesgos de ésta y teniendo en cuenta la información recibida de los Estados miembros, la Comisión Consultiva Independiente de Supervisión (CCIS) de la OMPI, el personal directivo superior y el Auditor Externo.  La auditoría y evaluación abarcó diversas áreas de gestión de programas y proyectos, incluida la Agenda para el Desarrollo, la gestión por resultados, la gestión de los recursos humanos, el Departamento Lingüístico y de Conferencias, la tecnología de la información y la comunicación, los viajes y los ingresos generados por los sistemas del PCT, Madrid y La Haya.</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26.3.</w:t>
      </w:r>
      <w:r w:rsidRPr="00A34388">
        <w:rPr>
          <w:rFonts w:cs="Arial"/>
          <w:lang w:val="es-ES_tradnl"/>
        </w:rPr>
        <w:tab/>
        <w:t>Mediante su labor independiente y objetiva de supervisión, la DASI ayudó a la dirección de la OMPI a consolidar y mantener una cultura de aprendizaje y un firme empeño de rendición de cuentas a todos los niveles al tiempo que promueve la mejora de los procesos y operaciones de la Organización.</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26.4.</w:t>
      </w:r>
      <w:r w:rsidRPr="00A34388">
        <w:rPr>
          <w:rFonts w:cs="Arial"/>
          <w:lang w:val="es-ES_tradnl"/>
        </w:rPr>
        <w:tab/>
        <w:t>Se logró poner bajo control el volumen de casos de investigación pendientes sin comprometer el plan de trabajo de la DASI, pese a que durante el bienio surgieron 40 nuevos casos.  La Política de Investigación y la revisión del Manual sobre los procedimientos de investigación resultaron ser herramientas importantes para una mejor gestión de los casos acumulados.</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26.5.</w:t>
      </w:r>
      <w:r w:rsidRPr="00A34388">
        <w:rPr>
          <w:rFonts w:cs="Arial"/>
          <w:lang w:val="es-ES_tradnl"/>
        </w:rPr>
        <w:tab/>
        <w:t>Para comprender mejor las expectativas de los colegas y recabar sus opiniones en torno a la labor de supervisión, la DASI comenzó a realizar encuestas de satisfacción de los clientes.  Dichas encuestas permitieron a la DASI calibrar mejor las expectativas de las partes interesadas sobre su rendimiento e identificar aspectos necesitados de mejora.</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26.6.</w:t>
      </w:r>
      <w:r w:rsidRPr="00A34388">
        <w:rPr>
          <w:rFonts w:cs="Arial"/>
          <w:lang w:val="es-ES_tradnl"/>
        </w:rPr>
        <w:tab/>
        <w:t xml:space="preserve">A lo largo de todo el bienio, la DASI continuó comunicando con el personal, la dirección y los  Estados mediante varias presentaciones.  </w:t>
      </w:r>
      <w:r w:rsidRPr="00332758">
        <w:rPr>
          <w:rFonts w:cs="Arial"/>
          <w:lang w:val="es-ES_tradnl"/>
        </w:rPr>
        <w:t>Organizó también un seminario para promover la sensibilización hacia la función de evaluación en la OMPI y preconizó unas prácticas óptimas de evaluación por su utilidad para la gestión y la toma de decisiones.</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26.7.</w:t>
      </w:r>
      <w:r w:rsidRPr="00A34388">
        <w:rPr>
          <w:rFonts w:cs="Arial"/>
          <w:lang w:val="es-ES_tradnl"/>
        </w:rPr>
        <w:tab/>
        <w:t xml:space="preserve">La DASI efectuó un seguimiento de las recomendaciones formuladas en años anteriores para cerciorarse de que la dirección las había puesto en marcha.  </w:t>
      </w:r>
      <w:r w:rsidRPr="00332758">
        <w:rPr>
          <w:rFonts w:cs="Arial"/>
          <w:lang w:val="es-ES_tradnl"/>
        </w:rPr>
        <w:t>La dirección de la OMPI consulta también a la DASI en torno a otras cuestiones, por ejemplo la elaboración o revisión de políticas y la preparación de revisiones externas.</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26.8.</w:t>
      </w:r>
      <w:r w:rsidRPr="00A34388">
        <w:rPr>
          <w:rFonts w:cs="Arial"/>
          <w:lang w:val="es-ES_tradnl"/>
        </w:rPr>
        <w:tab/>
        <w:t xml:space="preserve">La CCIS siguió revisando atentamente las actividades de la DASI a lo largo del bienio. </w:t>
      </w:r>
      <w:r w:rsidRPr="00332758">
        <w:rPr>
          <w:rFonts w:cs="Arial"/>
          <w:lang w:val="es-ES_tradnl"/>
        </w:rPr>
        <w:t xml:space="preserve"> En el pasado la CCIS había calificado el funcionamiento de la DASI como de "elevado riesgo".  </w:t>
      </w:r>
      <w:r w:rsidRPr="00A34388">
        <w:rPr>
          <w:rFonts w:cs="Arial"/>
          <w:lang w:val="es-ES_tradnl"/>
        </w:rPr>
        <w:t>Pues bien, en su informe anual dirigido al Comité del Programa y Presupuesto en 2012</w:t>
      </w:r>
      <w:r w:rsidRPr="00A34388">
        <w:rPr>
          <w:rFonts w:cs="Arial"/>
          <w:vertAlign w:val="superscript"/>
          <w:lang w:val="es-ES_tradnl"/>
        </w:rPr>
        <w:footnoteReference w:id="41"/>
      </w:r>
      <w:r w:rsidRPr="00A34388">
        <w:rPr>
          <w:rFonts w:cs="Arial"/>
          <w:lang w:val="es-ES_tradnl"/>
        </w:rPr>
        <w:t xml:space="preserve">, la CCIS subrayó que considera que los progresos realizados para corregir las deficiencias </w:t>
      </w:r>
      <w:r w:rsidR="000A49D1" w:rsidRPr="00A34388">
        <w:rPr>
          <w:rFonts w:cs="Arial"/>
          <w:lang w:val="es-ES_tradnl"/>
        </w:rPr>
        <w:t xml:space="preserve">detectada </w:t>
      </w:r>
      <w:r w:rsidRPr="00A34388">
        <w:rPr>
          <w:rFonts w:cs="Arial"/>
          <w:lang w:val="es-ES_tradnl"/>
        </w:rPr>
        <w:t>en la DASI habían bastado para reducir el nivel de riesgo de su labor, y alabó la calidad de algunos de sus informes de supervisión</w:t>
      </w:r>
      <w:r w:rsidRPr="00A34388">
        <w:rPr>
          <w:rStyle w:val="FootnoteReference"/>
          <w:rFonts w:cs="Arial"/>
          <w:lang w:val="es-ES_tradnl"/>
        </w:rPr>
        <w:footnoteReference w:id="42"/>
      </w:r>
      <w:r w:rsidRPr="00A34388">
        <w:rPr>
          <w:rFonts w:cs="Arial"/>
          <w:lang w:val="es-ES_tradnl"/>
        </w:rPr>
        <w:t>.</w:t>
      </w:r>
    </w:p>
    <w:p w:rsidR="0053316D" w:rsidRPr="00A34388" w:rsidRDefault="0053316D" w:rsidP="0053316D">
      <w:pPr>
        <w:pStyle w:val="ListParagraph"/>
        <w:tabs>
          <w:tab w:val="left" w:pos="720"/>
        </w:tabs>
        <w:ind w:left="0"/>
        <w:jc w:val="both"/>
        <w:rPr>
          <w:rFonts w:cs="Arial"/>
          <w:lang w:val="es-ES_tradnl"/>
        </w:rPr>
      </w:pPr>
    </w:p>
    <w:p w:rsidR="0053316D" w:rsidRPr="00A34388" w:rsidRDefault="0053316D" w:rsidP="0053316D">
      <w:pPr>
        <w:rPr>
          <w:rFonts w:ascii="ArialMT" w:hAnsi="ArialMT" w:cs="ArialMT"/>
          <w:color w:val="000000"/>
          <w:szCs w:val="20"/>
          <w:lang w:val="es-ES_tradnl"/>
        </w:rPr>
      </w:pPr>
      <w:r w:rsidRPr="00A34388">
        <w:rPr>
          <w:rFonts w:ascii="ArialMT" w:hAnsi="ArialMT" w:cs="ArialMT"/>
          <w:color w:val="000000"/>
          <w:szCs w:val="20"/>
          <w:lang w:val="es-ES_tradnl"/>
        </w:rPr>
        <w:br w:type="page"/>
      </w:r>
    </w:p>
    <w:p w:rsidR="005F2771" w:rsidRDefault="005F2771" w:rsidP="0053316D">
      <w:pPr>
        <w:rPr>
          <w:rFonts w:cs="Arial"/>
          <w:bCs/>
          <w:sz w:val="22"/>
          <w:szCs w:val="22"/>
          <w:lang w:val="es-ES_tradnl"/>
        </w:rPr>
      </w:pPr>
    </w:p>
    <w:p w:rsidR="0053316D" w:rsidRPr="00A34388" w:rsidRDefault="0053316D" w:rsidP="0053316D">
      <w:pPr>
        <w:rPr>
          <w:rFonts w:cs="Arial"/>
          <w:bCs/>
          <w:sz w:val="22"/>
          <w:szCs w:val="22"/>
          <w:lang w:val="es-ES_tradnl"/>
        </w:rPr>
      </w:pPr>
      <w:r w:rsidRPr="00332758">
        <w:rPr>
          <w:rFonts w:cs="Arial"/>
          <w:bCs/>
          <w:sz w:val="22"/>
          <w:szCs w:val="22"/>
          <w:lang w:val="es-ES_tradnl"/>
        </w:rPr>
        <w:t>APLICACIÓN DE LA AGENDA PARA EL DESARROLLO</w:t>
      </w:r>
      <w:r w:rsidRPr="00A34388">
        <w:rPr>
          <w:rFonts w:cs="Arial"/>
          <w:bCs/>
          <w:sz w:val="22"/>
          <w:szCs w:val="22"/>
          <w:lang w:val="es-ES_tradnl"/>
        </w:rPr>
        <w:t xml:space="preserve"> </w:t>
      </w:r>
    </w:p>
    <w:p w:rsidR="0053316D" w:rsidRPr="00A34388" w:rsidRDefault="0053316D" w:rsidP="0053316D">
      <w:pPr>
        <w:rPr>
          <w:rFonts w:cs="Arial"/>
          <w:b/>
          <w:bCs/>
          <w:color w:val="000000"/>
          <w:sz w:val="22"/>
          <w:szCs w:val="22"/>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26.9.</w:t>
      </w:r>
      <w:r w:rsidRPr="00A34388">
        <w:rPr>
          <w:rFonts w:cs="Arial"/>
          <w:lang w:val="es-ES_tradnl"/>
        </w:rPr>
        <w:tab/>
        <w:t>Se llevaron a cabo cuatro evaluaciones de proyectos de la Agenda para el Desarrollo, a saber:</w:t>
      </w:r>
    </w:p>
    <w:p w:rsidR="0053316D" w:rsidRPr="00A34388" w:rsidRDefault="0053316D" w:rsidP="0053316D">
      <w:pPr>
        <w:jc w:val="both"/>
        <w:rPr>
          <w:rFonts w:cs="Arial"/>
          <w:szCs w:val="20"/>
          <w:lang w:val="es-ES_tradnl"/>
        </w:rPr>
      </w:pPr>
    </w:p>
    <w:p w:rsidR="0053316D" w:rsidRPr="00A34388" w:rsidRDefault="0053316D" w:rsidP="0053316D">
      <w:pPr>
        <w:pStyle w:val="ListParagraph"/>
        <w:numPr>
          <w:ilvl w:val="0"/>
          <w:numId w:val="87"/>
        </w:numPr>
        <w:ind w:left="1134" w:firstLine="0"/>
        <w:jc w:val="both"/>
        <w:rPr>
          <w:rFonts w:cs="Arial"/>
          <w:lang w:val="es-ES_tradnl"/>
        </w:rPr>
      </w:pPr>
      <w:r w:rsidRPr="00A34388">
        <w:rPr>
          <w:rFonts w:cs="Arial"/>
          <w:lang w:val="es-ES_tradnl"/>
        </w:rPr>
        <w:t>Proyecto de creación de instrumentos de acceso a la información sobre patentes;</w:t>
      </w:r>
    </w:p>
    <w:p w:rsidR="0053316D" w:rsidRPr="00A34388" w:rsidRDefault="0053316D" w:rsidP="0053316D">
      <w:pPr>
        <w:pStyle w:val="ListParagraph"/>
        <w:numPr>
          <w:ilvl w:val="0"/>
          <w:numId w:val="87"/>
        </w:numPr>
        <w:ind w:left="1134" w:firstLine="0"/>
        <w:jc w:val="both"/>
        <w:rPr>
          <w:rFonts w:cs="Arial"/>
          <w:lang w:val="es-ES_tradnl"/>
        </w:rPr>
      </w:pPr>
      <w:r w:rsidRPr="00A34388">
        <w:rPr>
          <w:rFonts w:cs="Arial"/>
          <w:lang w:val="es-ES_tradnl"/>
        </w:rPr>
        <w:t>Proyecto de acceso a bases de datos especializadas;</w:t>
      </w:r>
    </w:p>
    <w:p w:rsidR="0053316D" w:rsidRPr="00A34388" w:rsidRDefault="0053316D" w:rsidP="0053316D">
      <w:pPr>
        <w:pStyle w:val="ListParagraph"/>
        <w:numPr>
          <w:ilvl w:val="0"/>
          <w:numId w:val="87"/>
        </w:numPr>
        <w:ind w:left="1134" w:firstLine="0"/>
        <w:jc w:val="both"/>
        <w:rPr>
          <w:rFonts w:cs="Arial"/>
          <w:lang w:val="es-ES_tradnl"/>
        </w:rPr>
      </w:pPr>
      <w:r w:rsidRPr="00A34388">
        <w:rPr>
          <w:rFonts w:cs="Arial"/>
          <w:lang w:val="es-ES_tradnl"/>
        </w:rPr>
        <w:t>Proyecto piloto para la creación de academias nacionales de P.I.;  y</w:t>
      </w:r>
    </w:p>
    <w:p w:rsidR="0053316D" w:rsidRPr="00A34388" w:rsidRDefault="0053316D" w:rsidP="0053316D">
      <w:pPr>
        <w:pStyle w:val="ListParagraph"/>
        <w:numPr>
          <w:ilvl w:val="0"/>
          <w:numId w:val="87"/>
        </w:numPr>
        <w:ind w:left="1134" w:firstLine="0"/>
        <w:jc w:val="both"/>
        <w:rPr>
          <w:rFonts w:cs="Arial"/>
          <w:lang w:val="es-ES_tradnl"/>
        </w:rPr>
      </w:pPr>
      <w:r w:rsidRPr="00A34388">
        <w:rPr>
          <w:rFonts w:cs="Arial"/>
          <w:lang w:val="es-ES_tradnl"/>
        </w:rPr>
        <w:t>Proyecto para la mejora de la capacidad de las instituciones de P.I. de ámbito nacional, subregional y regional y de los respectivos usuarios.</w:t>
      </w:r>
    </w:p>
    <w:p w:rsidR="0053316D" w:rsidRPr="00A34388" w:rsidRDefault="0053316D" w:rsidP="0053316D">
      <w:pPr>
        <w:ind w:left="1134"/>
        <w:jc w:val="both"/>
        <w:rPr>
          <w:rFonts w:cs="Arial"/>
          <w:szCs w:val="20"/>
          <w:lang w:val="es-ES_tradnl"/>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26.10.</w:t>
      </w:r>
      <w:r w:rsidRPr="00A34388">
        <w:rPr>
          <w:rFonts w:cs="Arial"/>
          <w:lang w:val="es-ES_tradnl"/>
        </w:rPr>
        <w:tab/>
        <w:t>Además, la DASI incorporó, cuando procedía, aspectos de la Agenda para el Desarrollo en sus evaluaciones de la cartera de proyectos y programas por país.</w:t>
      </w:r>
    </w:p>
    <w:p w:rsidR="0053316D" w:rsidRPr="00A34388" w:rsidRDefault="0053316D" w:rsidP="0053316D">
      <w:pPr>
        <w:rPr>
          <w:rFonts w:cs="Arial"/>
          <w:sz w:val="22"/>
          <w:szCs w:val="22"/>
          <w:lang w:val="es-ES_tradnl"/>
        </w:rPr>
      </w:pPr>
    </w:p>
    <w:p w:rsidR="005F2771" w:rsidRPr="00A34388" w:rsidRDefault="005F2771" w:rsidP="0053316D">
      <w:pPr>
        <w:rPr>
          <w:rFonts w:cs="Arial"/>
          <w:sz w:val="22"/>
          <w:szCs w:val="22"/>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DATOS SOBRE EL RENDIMIENTO</w:t>
      </w:r>
    </w:p>
    <w:p w:rsidR="0053316D" w:rsidRPr="00A34388" w:rsidRDefault="0053316D" w:rsidP="0053316D">
      <w:pPr>
        <w:rPr>
          <w:rFonts w:cs="Arial"/>
          <w:b/>
          <w:sz w:val="22"/>
          <w:szCs w:val="22"/>
          <w:lang w:val="es-ES_tradnl"/>
        </w:rPr>
      </w:pPr>
    </w:p>
    <w:tbl>
      <w:tblPr>
        <w:tblW w:w="485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5"/>
        <w:gridCol w:w="1697"/>
        <w:gridCol w:w="1567"/>
        <w:gridCol w:w="3199"/>
        <w:gridCol w:w="1266"/>
      </w:tblGrid>
      <w:tr w:rsidR="0053316D" w:rsidRPr="00A9508D" w:rsidTr="0053316D">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Instauración de un sistema eficaz y profesional de auditoría interna que abarca todas las esferas de alto riesgo.</w:t>
            </w:r>
          </w:p>
        </w:tc>
      </w:tr>
      <w:tr w:rsidR="0053316D" w:rsidRPr="00A34388" w:rsidTr="0053316D">
        <w:tc>
          <w:tcPr>
            <w:tcW w:w="837"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844"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723"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F2771">
        <w:tc>
          <w:tcPr>
            <w:tcW w:w="837" w:type="pct"/>
            <w:tcBorders>
              <w:top w:val="nil"/>
              <w:left w:val="single" w:sz="4" w:space="0" w:color="auto"/>
              <w:bottom w:val="nil"/>
              <w:right w:val="nil"/>
            </w:tcBorders>
            <w:hideMark/>
          </w:tcPr>
          <w:p w:rsidR="0053316D" w:rsidRPr="00A34388" w:rsidRDefault="0053316D">
            <w:pPr>
              <w:keepNext/>
              <w:keepLines/>
              <w:spacing w:line="276" w:lineRule="auto"/>
              <w:rPr>
                <w:rFonts w:cs="Arial"/>
                <w:sz w:val="16"/>
                <w:szCs w:val="16"/>
                <w:lang w:val="es-ES_tradnl" w:bidi="th-TH"/>
              </w:rPr>
            </w:pPr>
            <w:r w:rsidRPr="00332758">
              <w:rPr>
                <w:rFonts w:cs="Arial"/>
                <w:sz w:val="16"/>
                <w:szCs w:val="16"/>
                <w:lang w:val="es-ES_tradnl" w:bidi="th-TH"/>
              </w:rPr>
              <w:t>Número de auditorías realizadas en esferas de alto riesgo.</w:t>
            </w:r>
            <w:r w:rsidRPr="00A34388">
              <w:rPr>
                <w:rFonts w:cs="Arial"/>
                <w:sz w:val="16"/>
                <w:szCs w:val="16"/>
                <w:lang w:val="es-ES_tradnl" w:bidi="th-TH"/>
              </w:rPr>
              <w:t xml:space="preserve"> </w:t>
            </w:r>
          </w:p>
        </w:tc>
        <w:tc>
          <w:tcPr>
            <w:tcW w:w="914" w:type="pct"/>
            <w:tcBorders>
              <w:top w:val="nil"/>
              <w:left w:val="nil"/>
              <w:bottom w:val="nil"/>
              <w:right w:val="nil"/>
            </w:tcBorders>
          </w:tcPr>
          <w:p w:rsidR="0053316D" w:rsidRPr="001E2F41" w:rsidRDefault="0053316D">
            <w:pPr>
              <w:keepNext/>
              <w:keepLines/>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pPr>
              <w:keepNext/>
              <w:keepLines/>
              <w:spacing w:line="276" w:lineRule="auto"/>
              <w:rPr>
                <w:rFonts w:cs="Arial"/>
                <w:color w:val="002060"/>
                <w:sz w:val="16"/>
                <w:szCs w:val="16"/>
                <w:lang w:val="es-ES_tradnl" w:bidi="th-TH"/>
              </w:rPr>
            </w:pPr>
            <w:r w:rsidRPr="001E2F41">
              <w:rPr>
                <w:rFonts w:cs="Arial"/>
                <w:color w:val="002060"/>
                <w:sz w:val="16"/>
                <w:szCs w:val="16"/>
                <w:lang w:val="es-ES_tradnl" w:bidi="th-TH"/>
              </w:rPr>
              <w:t>Se terminaron seis auditorías de las esferas de alto riesgo.</w:t>
            </w:r>
          </w:p>
          <w:p w:rsidR="0053316D" w:rsidRPr="0017006B" w:rsidRDefault="0053316D">
            <w:pPr>
              <w:keepNext/>
              <w:keepLines/>
              <w:spacing w:line="276" w:lineRule="auto"/>
              <w:rPr>
                <w:rFonts w:cs="Arial"/>
                <w:i/>
                <w:sz w:val="8"/>
                <w:szCs w:val="8"/>
                <w:lang w:val="es-ES_tradnl"/>
              </w:rPr>
            </w:pPr>
          </w:p>
          <w:p w:rsidR="0053316D" w:rsidRPr="0017006B" w:rsidRDefault="0053316D" w:rsidP="00B217AA">
            <w:pPr>
              <w:keepNext/>
              <w:keepLines/>
              <w:spacing w:line="276" w:lineRule="auto"/>
              <w:rPr>
                <w:rFonts w:cs="Arial"/>
                <w:sz w:val="16"/>
                <w:szCs w:val="16"/>
                <w:lang w:val="es-ES_tradnl" w:bidi="th-TH"/>
              </w:rPr>
            </w:pPr>
            <w:r w:rsidRPr="0017006B">
              <w:rPr>
                <w:rFonts w:cs="Arial"/>
                <w:i/>
                <w:sz w:val="16"/>
                <w:szCs w:val="16"/>
                <w:lang w:val="es-ES_tradnl"/>
              </w:rPr>
              <w:t>Referencia original:</w:t>
            </w:r>
            <w:r w:rsidR="007E4D96" w:rsidRPr="0017006B">
              <w:rPr>
                <w:rFonts w:cs="Arial"/>
                <w:i/>
                <w:sz w:val="16"/>
                <w:szCs w:val="16"/>
                <w:lang w:val="es-ES_tradnl"/>
              </w:rPr>
              <w:t xml:space="preserve"> </w:t>
            </w:r>
            <w:r w:rsidRPr="0017006B">
              <w:rPr>
                <w:rFonts w:cs="Arial"/>
                <w:i/>
                <w:sz w:val="16"/>
                <w:szCs w:val="16"/>
                <w:lang w:val="es-ES_tradnl"/>
              </w:rPr>
              <w:t xml:space="preserve"> presup.</w:t>
            </w:r>
            <w:r w:rsidR="007761B5" w:rsidRPr="0017006B">
              <w:rPr>
                <w:rFonts w:cs="Arial"/>
                <w:i/>
                <w:sz w:val="16"/>
                <w:szCs w:val="16"/>
                <w:lang w:val="es-ES_tradnl"/>
              </w:rPr>
              <w:t xml:space="preserve"> </w:t>
            </w:r>
            <w:r w:rsidRPr="0017006B">
              <w:rPr>
                <w:rFonts w:cs="Arial"/>
                <w:i/>
                <w:sz w:val="16"/>
                <w:szCs w:val="16"/>
                <w:lang w:val="es-ES_tradnl"/>
              </w:rPr>
              <w:t>por prog</w:t>
            </w:r>
            <w:r w:rsidR="00B217AA" w:rsidRPr="0017006B">
              <w:rPr>
                <w:rFonts w:cs="Arial"/>
                <w:i/>
                <w:sz w:val="16"/>
                <w:szCs w:val="16"/>
                <w:lang w:val="es-ES_tradnl"/>
              </w:rPr>
              <w:t>.</w:t>
            </w:r>
            <w:r w:rsidRPr="0017006B">
              <w:rPr>
                <w:rFonts w:cs="Arial"/>
                <w:i/>
                <w:sz w:val="16"/>
                <w:szCs w:val="16"/>
                <w:lang w:val="es-ES_tradnl"/>
              </w:rPr>
              <w:t xml:space="preserve"> 2012/13:</w:t>
            </w:r>
            <w:r w:rsidRPr="0017006B">
              <w:rPr>
                <w:rFonts w:cs="Arial"/>
                <w:sz w:val="16"/>
                <w:szCs w:val="16"/>
                <w:lang w:val="es-ES_tradnl"/>
              </w:rPr>
              <w:br/>
            </w:r>
            <w:r w:rsidRPr="0017006B">
              <w:rPr>
                <w:rFonts w:cs="Arial"/>
                <w:sz w:val="16"/>
                <w:szCs w:val="16"/>
                <w:lang w:val="es-ES_tradnl" w:bidi="th-TH"/>
              </w:rPr>
              <w:t xml:space="preserve">Seis auditorías </w:t>
            </w:r>
            <w:r w:rsidR="005163F2" w:rsidRPr="0017006B">
              <w:rPr>
                <w:rFonts w:cs="Arial"/>
                <w:sz w:val="16"/>
                <w:szCs w:val="16"/>
                <w:lang w:val="es-ES_tradnl" w:bidi="th-TH"/>
              </w:rPr>
              <w:t xml:space="preserve">terminadas </w:t>
            </w:r>
            <w:r w:rsidRPr="0017006B">
              <w:rPr>
                <w:rFonts w:cs="Arial"/>
                <w:sz w:val="16"/>
                <w:szCs w:val="16"/>
                <w:lang w:val="es-ES_tradnl" w:bidi="th-TH"/>
              </w:rPr>
              <w:t>(2010)</w:t>
            </w:r>
          </w:p>
        </w:tc>
        <w:tc>
          <w:tcPr>
            <w:tcW w:w="844" w:type="pct"/>
            <w:tcBorders>
              <w:top w:val="nil"/>
              <w:left w:val="nil"/>
              <w:bottom w:val="nil"/>
              <w:right w:val="nil"/>
            </w:tcBorders>
            <w:tcMar>
              <w:top w:w="110" w:type="dxa"/>
              <w:left w:w="108" w:type="dxa"/>
              <w:bottom w:w="0" w:type="dxa"/>
              <w:right w:w="108" w:type="dxa"/>
            </w:tcMar>
            <w:hideMark/>
          </w:tcPr>
          <w:p w:rsidR="0053316D" w:rsidRPr="0017006B" w:rsidRDefault="0053316D">
            <w:pPr>
              <w:autoSpaceDE w:val="0"/>
              <w:autoSpaceDN w:val="0"/>
              <w:adjustRightInd w:val="0"/>
              <w:spacing w:line="276" w:lineRule="auto"/>
              <w:rPr>
                <w:rFonts w:cs="Arial"/>
                <w:sz w:val="16"/>
                <w:szCs w:val="16"/>
                <w:lang w:val="es-ES_tradnl"/>
              </w:rPr>
            </w:pPr>
            <w:r w:rsidRPr="0017006B">
              <w:rPr>
                <w:rFonts w:cs="Arial"/>
                <w:sz w:val="16"/>
                <w:szCs w:val="16"/>
                <w:lang w:val="es-ES_tradnl"/>
              </w:rPr>
              <w:t>12 auditorías</w:t>
            </w:r>
          </w:p>
          <w:p w:rsidR="0053316D" w:rsidRPr="0017006B" w:rsidRDefault="0053316D">
            <w:pPr>
              <w:keepNext/>
              <w:keepLines/>
              <w:spacing w:line="276" w:lineRule="auto"/>
              <w:rPr>
                <w:rFonts w:cs="Arial"/>
                <w:sz w:val="16"/>
                <w:szCs w:val="16"/>
                <w:lang w:val="es-ES_tradnl" w:bidi="th-TH"/>
              </w:rPr>
            </w:pPr>
            <w:r w:rsidRPr="0017006B">
              <w:rPr>
                <w:rFonts w:cs="Arial"/>
                <w:sz w:val="16"/>
                <w:szCs w:val="16"/>
                <w:lang w:val="es-ES_tradnl"/>
              </w:rPr>
              <w:t>(en 2012/13)</w:t>
            </w:r>
          </w:p>
        </w:tc>
        <w:tc>
          <w:tcPr>
            <w:tcW w:w="1723" w:type="pct"/>
            <w:tcBorders>
              <w:top w:val="nil"/>
              <w:left w:val="nil"/>
              <w:bottom w:val="nil"/>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 xml:space="preserve">2012/13: </w:t>
            </w:r>
            <w:r w:rsidR="007E4D96" w:rsidRPr="00A34388">
              <w:rPr>
                <w:rFonts w:cs="Arial"/>
                <w:sz w:val="16"/>
                <w:szCs w:val="16"/>
                <w:lang w:val="es-ES_tradnl" w:bidi="th-TH"/>
              </w:rPr>
              <w:t xml:space="preserve"> </w:t>
            </w:r>
            <w:r w:rsidRPr="00A34388">
              <w:rPr>
                <w:rFonts w:cs="Arial"/>
                <w:sz w:val="16"/>
                <w:szCs w:val="16"/>
                <w:lang w:val="es-ES_tradnl" w:bidi="th-TH"/>
              </w:rPr>
              <w:t xml:space="preserve">se terminaron 11 auditorías. </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En 2012 se terminaron 4 auditorías de las esferas de alto riesgo.</w:t>
            </w:r>
          </w:p>
          <w:p w:rsidR="0053316D" w:rsidRPr="00A3438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En 2013 se terminaron 7 auditorías de las esferas de alto riesgo.</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5F2771">
        <w:tc>
          <w:tcPr>
            <w:tcW w:w="837"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t>Se aplicarán las normas profesionales, el código de ética y los consejos para la práctica del Instituto de Auditores Internos.</w:t>
            </w:r>
          </w:p>
        </w:tc>
        <w:tc>
          <w:tcPr>
            <w:tcW w:w="914" w:type="pct"/>
            <w:tcBorders>
              <w:top w:val="nil"/>
              <w:left w:val="nil"/>
              <w:bottom w:val="single" w:sz="4" w:space="0" w:color="auto"/>
              <w:right w:val="nil"/>
            </w:tcBorders>
          </w:tcPr>
          <w:p w:rsidR="0053316D" w:rsidRPr="001E2F41" w:rsidRDefault="0053316D">
            <w:pPr>
              <w:keepNext/>
              <w:keepLines/>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pPr>
              <w:spacing w:line="276" w:lineRule="auto"/>
              <w:rPr>
                <w:rFonts w:cs="Arial"/>
                <w:color w:val="002060"/>
                <w:sz w:val="16"/>
                <w:szCs w:val="16"/>
                <w:lang w:val="es-ES_tradnl"/>
              </w:rPr>
            </w:pPr>
            <w:r w:rsidRPr="001E2F41">
              <w:rPr>
                <w:rFonts w:cs="Arial"/>
                <w:color w:val="002060"/>
                <w:sz w:val="16"/>
                <w:szCs w:val="16"/>
                <w:lang w:val="es-ES_tradnl"/>
              </w:rPr>
              <w:t>El Auditor Externo llevó a cabo el examen de verificación de la calidad de la función de auditoría interna.</w:t>
            </w:r>
          </w:p>
          <w:p w:rsidR="0053316D" w:rsidRPr="0017006B" w:rsidRDefault="0053316D">
            <w:pPr>
              <w:spacing w:line="276" w:lineRule="auto"/>
              <w:rPr>
                <w:rFonts w:cs="Arial"/>
                <w:i/>
                <w:sz w:val="8"/>
                <w:szCs w:val="8"/>
                <w:lang w:val="es-ES_tradnl"/>
              </w:rPr>
            </w:pPr>
          </w:p>
          <w:p w:rsidR="0053316D" w:rsidRPr="0017006B" w:rsidRDefault="0053316D">
            <w:pPr>
              <w:spacing w:line="276" w:lineRule="auto"/>
              <w:rPr>
                <w:rFonts w:cs="Arial"/>
                <w:i/>
                <w:sz w:val="16"/>
                <w:szCs w:val="16"/>
                <w:lang w:val="es-ES_tradnl"/>
              </w:rPr>
            </w:pPr>
            <w:r w:rsidRPr="0017006B">
              <w:rPr>
                <w:rFonts w:cs="Arial"/>
                <w:i/>
                <w:sz w:val="16"/>
                <w:szCs w:val="16"/>
                <w:lang w:val="es-ES_tradnl"/>
              </w:rPr>
              <w:t xml:space="preserve">Referencia original: </w:t>
            </w:r>
            <w:r w:rsidR="007E4D96" w:rsidRPr="0017006B">
              <w:rPr>
                <w:rFonts w:cs="Arial"/>
                <w:i/>
                <w:sz w:val="16"/>
                <w:szCs w:val="16"/>
                <w:lang w:val="es-ES_tradnl"/>
              </w:rPr>
              <w:t xml:space="preserve"> </w:t>
            </w:r>
            <w:r w:rsidRPr="0017006B">
              <w:rPr>
                <w:rFonts w:cs="Arial"/>
                <w:i/>
                <w:sz w:val="16"/>
                <w:szCs w:val="16"/>
                <w:lang w:val="es-ES_tradnl"/>
              </w:rPr>
              <w:t>presup.</w:t>
            </w:r>
            <w:r w:rsidR="007761B5" w:rsidRPr="0017006B">
              <w:rPr>
                <w:rFonts w:cs="Arial"/>
                <w:i/>
                <w:sz w:val="16"/>
                <w:szCs w:val="16"/>
                <w:lang w:val="es-ES_tradnl"/>
              </w:rPr>
              <w:t xml:space="preserve"> </w:t>
            </w:r>
            <w:r w:rsidR="00B217AA" w:rsidRPr="0017006B">
              <w:rPr>
                <w:rFonts w:cs="Arial"/>
                <w:i/>
                <w:sz w:val="16"/>
                <w:szCs w:val="16"/>
                <w:lang w:val="es-ES_tradnl"/>
              </w:rPr>
              <w:t>por prog.</w:t>
            </w:r>
            <w:r w:rsidRPr="0017006B">
              <w:rPr>
                <w:rFonts w:cs="Arial"/>
                <w:i/>
                <w:sz w:val="16"/>
                <w:szCs w:val="16"/>
                <w:lang w:val="es-ES_tradnl"/>
              </w:rPr>
              <w:t xml:space="preserve"> 2012/13:</w:t>
            </w:r>
          </w:p>
          <w:p w:rsidR="0053316D" w:rsidRPr="0017006B" w:rsidRDefault="0053316D">
            <w:pPr>
              <w:spacing w:line="276" w:lineRule="auto"/>
              <w:rPr>
                <w:rFonts w:cs="Arial"/>
                <w:sz w:val="16"/>
                <w:szCs w:val="16"/>
                <w:lang w:val="es-ES_tradnl" w:bidi="th-TH"/>
              </w:rPr>
            </w:pPr>
            <w:r w:rsidRPr="0017006B">
              <w:rPr>
                <w:rFonts w:cs="Arial"/>
                <w:sz w:val="16"/>
                <w:szCs w:val="16"/>
                <w:lang w:val="es-ES_tradnl" w:bidi="th-TH"/>
              </w:rPr>
              <w:t>Las actividades de la Sección de Auditoría Interna se valoran de la siguiente manera “conformidad general con las normas del Instituto de Auditores Internos” (examen de aseguramiento de calidad de la Sección de Auditoría Interna realizado por el Auditor Externo en 2009).</w:t>
            </w:r>
          </w:p>
        </w:tc>
        <w:tc>
          <w:tcPr>
            <w:tcW w:w="844" w:type="pct"/>
            <w:tcBorders>
              <w:top w:val="nil"/>
              <w:left w:val="nil"/>
              <w:bottom w:val="single" w:sz="4" w:space="0" w:color="auto"/>
              <w:right w:val="nil"/>
            </w:tcBorders>
            <w:tcMar>
              <w:top w:w="110" w:type="dxa"/>
              <w:left w:w="108" w:type="dxa"/>
              <w:bottom w:w="0" w:type="dxa"/>
              <w:right w:w="108" w:type="dxa"/>
            </w:tcMar>
          </w:tcPr>
          <w:p w:rsidR="0053316D" w:rsidRPr="0017006B" w:rsidRDefault="0053316D">
            <w:pPr>
              <w:autoSpaceDE w:val="0"/>
              <w:autoSpaceDN w:val="0"/>
              <w:adjustRightInd w:val="0"/>
              <w:spacing w:line="276" w:lineRule="auto"/>
              <w:rPr>
                <w:rFonts w:cs="Arial"/>
                <w:sz w:val="16"/>
                <w:szCs w:val="16"/>
                <w:lang w:val="es-ES_tradnl"/>
              </w:rPr>
            </w:pPr>
            <w:r w:rsidRPr="0017006B">
              <w:rPr>
                <w:rFonts w:cs="Arial"/>
                <w:sz w:val="16"/>
                <w:szCs w:val="16"/>
                <w:lang w:val="es-ES_tradnl"/>
              </w:rPr>
              <w:t>Conservar la calificación "</w:t>
            </w:r>
            <w:r w:rsidRPr="0017006B">
              <w:rPr>
                <w:rFonts w:cs="Arial"/>
                <w:sz w:val="16"/>
                <w:szCs w:val="16"/>
                <w:lang w:val="es-ES_tradnl" w:bidi="th-TH"/>
              </w:rPr>
              <w:t>conformidad general con las normas del Instituto de Auditores Internos</w:t>
            </w:r>
            <w:r w:rsidRPr="0017006B">
              <w:rPr>
                <w:rFonts w:cs="Arial"/>
                <w:sz w:val="16"/>
                <w:szCs w:val="16"/>
                <w:lang w:val="es-ES_tradnl"/>
              </w:rPr>
              <w:t>"</w:t>
            </w:r>
          </w:p>
          <w:p w:rsidR="0053316D" w:rsidRPr="0017006B" w:rsidRDefault="0053316D">
            <w:pPr>
              <w:autoSpaceDE w:val="0"/>
              <w:autoSpaceDN w:val="0"/>
              <w:adjustRightInd w:val="0"/>
              <w:spacing w:line="276" w:lineRule="auto"/>
              <w:rPr>
                <w:rFonts w:cs="Arial"/>
                <w:sz w:val="16"/>
                <w:szCs w:val="16"/>
                <w:lang w:val="es-ES_tradnl" w:bidi="th-TH"/>
              </w:rPr>
            </w:pPr>
            <w:r w:rsidRPr="0017006B">
              <w:rPr>
                <w:rFonts w:cs="Arial"/>
                <w:sz w:val="16"/>
                <w:szCs w:val="16"/>
                <w:lang w:val="es-ES_tradnl"/>
              </w:rPr>
              <w:t xml:space="preserve">En los siguientes exámenes de aseguramiento de calidad externos </w:t>
            </w:r>
          </w:p>
          <w:p w:rsidR="0053316D" w:rsidRPr="0017006B" w:rsidRDefault="0053316D">
            <w:pPr>
              <w:spacing w:line="276" w:lineRule="auto"/>
              <w:rPr>
                <w:rFonts w:cs="Arial"/>
                <w:sz w:val="16"/>
                <w:szCs w:val="16"/>
                <w:lang w:val="es-ES_tradnl" w:bidi="th-TH"/>
              </w:rPr>
            </w:pPr>
          </w:p>
        </w:tc>
        <w:tc>
          <w:tcPr>
            <w:tcW w:w="1723"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332758" w:rsidRDefault="0053316D">
            <w:pPr>
              <w:spacing w:line="276" w:lineRule="auto"/>
              <w:rPr>
                <w:rFonts w:cs="Arial"/>
                <w:sz w:val="16"/>
                <w:szCs w:val="16"/>
                <w:lang w:val="es-ES_tradnl" w:bidi="th-TH"/>
              </w:rPr>
            </w:pPr>
            <w:r w:rsidRPr="00332758">
              <w:rPr>
                <w:rFonts w:cs="Arial"/>
                <w:sz w:val="16"/>
                <w:szCs w:val="16"/>
                <w:lang w:val="es-ES_tradnl" w:bidi="th-TH"/>
              </w:rPr>
              <w:t xml:space="preserve">La labor de auditoría está sujeta a dos niveles de supervisión y control de la calidad a fin de garantizar que se cumplen las normas y lo consejos para la práctica del Instituto de Auditores Internos. </w:t>
            </w:r>
          </w:p>
          <w:p w:rsidR="0053316D" w:rsidRPr="00A34388" w:rsidRDefault="0053316D">
            <w:pPr>
              <w:spacing w:line="276" w:lineRule="auto"/>
              <w:rPr>
                <w:rFonts w:cs="Arial"/>
                <w:sz w:val="16"/>
                <w:szCs w:val="16"/>
                <w:lang w:val="es-ES_tradnl" w:bidi="th-TH"/>
              </w:rPr>
            </w:pPr>
          </w:p>
          <w:p w:rsidR="0053316D" w:rsidRPr="00A34388" w:rsidRDefault="0053316D" w:rsidP="005163F2">
            <w:pPr>
              <w:spacing w:line="276" w:lineRule="auto"/>
              <w:rPr>
                <w:rFonts w:cs="Arial"/>
                <w:sz w:val="16"/>
                <w:szCs w:val="16"/>
                <w:lang w:val="es-ES_tradnl"/>
              </w:rPr>
            </w:pPr>
            <w:r w:rsidRPr="00A34388">
              <w:rPr>
                <w:rFonts w:cs="Arial"/>
                <w:sz w:val="16"/>
                <w:szCs w:val="16"/>
                <w:lang w:val="es-ES_tradnl" w:bidi="th-TH"/>
              </w:rPr>
              <w:t>Para prepararse para una verificación externa de la calidad, la DASI llevó a cabo una autoevaluación de acuerdo con las normas del Instituto de Auditores Internos.  El informe concluyó que la DASI cumple en general con dichas normas.</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sz w:val="16"/>
                <w:szCs w:val="16"/>
                <w:lang w:val="es-ES_tradnl"/>
              </w:rPr>
              <w:t xml:space="preserve"> </w:t>
            </w:r>
          </w:p>
        </w:tc>
      </w:tr>
      <w:tr w:rsidR="0053316D" w:rsidRPr="00A34388" w:rsidTr="005F2771">
        <w:tc>
          <w:tcPr>
            <w:tcW w:w="837" w:type="pct"/>
            <w:tcBorders>
              <w:top w:val="single" w:sz="4" w:space="0" w:color="auto"/>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bidi="th-TH"/>
              </w:rPr>
            </w:pPr>
            <w:r w:rsidRPr="00332758">
              <w:rPr>
                <w:rFonts w:cs="Arial"/>
                <w:sz w:val="16"/>
                <w:szCs w:val="16"/>
                <w:lang w:val="es-ES_tradnl" w:bidi="th-TH"/>
              </w:rPr>
              <w:lastRenderedPageBreak/>
              <w:t>Seguimiento exhaustivo y preciso de la aplicación de las recomendaciones de supervisión formuladas, señalando las anteriores recomendaciones, las nuevas que se han añadido y su situación.</w:t>
            </w:r>
          </w:p>
        </w:tc>
        <w:tc>
          <w:tcPr>
            <w:tcW w:w="914" w:type="pct"/>
            <w:tcBorders>
              <w:top w:val="single" w:sz="4" w:space="0" w:color="auto"/>
              <w:left w:val="nil"/>
              <w:bottom w:val="single" w:sz="4" w:space="0" w:color="auto"/>
              <w:right w:val="nil"/>
            </w:tcBorders>
          </w:tcPr>
          <w:p w:rsidR="0053316D" w:rsidRPr="001E2F41" w:rsidRDefault="0053316D">
            <w:pPr>
              <w:keepNext/>
              <w:keepLines/>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pPr>
              <w:spacing w:line="276" w:lineRule="auto"/>
              <w:rPr>
                <w:rFonts w:cs="Arial"/>
                <w:color w:val="002060"/>
                <w:sz w:val="16"/>
                <w:szCs w:val="16"/>
                <w:lang w:val="es-ES_tradnl"/>
              </w:rPr>
            </w:pPr>
            <w:r w:rsidRPr="001E2F41">
              <w:rPr>
                <w:rFonts w:cs="Arial"/>
                <w:color w:val="002060"/>
                <w:sz w:val="16"/>
                <w:szCs w:val="16"/>
                <w:lang w:val="es-ES_tradnl"/>
              </w:rPr>
              <w:t>Presentación bianual de informes sobre la aplicación de las recomendaciones relativas a la supervisión.</w:t>
            </w:r>
          </w:p>
          <w:p w:rsidR="0053316D" w:rsidRPr="00A34388" w:rsidRDefault="0053316D">
            <w:pPr>
              <w:spacing w:line="276" w:lineRule="auto"/>
              <w:rPr>
                <w:rFonts w:cs="Arial"/>
                <w:i/>
                <w:sz w:val="8"/>
                <w:szCs w:val="8"/>
                <w:lang w:val="es-ES_tradnl"/>
              </w:rPr>
            </w:pPr>
          </w:p>
          <w:p w:rsidR="0053316D" w:rsidRPr="00A34388" w:rsidRDefault="0053316D">
            <w:pPr>
              <w:spacing w:line="276" w:lineRule="auto"/>
              <w:rPr>
                <w:rFonts w:cs="Arial"/>
                <w:sz w:val="16"/>
                <w:szCs w:val="16"/>
                <w:lang w:val="es-ES_tradnl" w:bidi="th-TH"/>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r>
            <w:r w:rsidRPr="00A34388">
              <w:rPr>
                <w:rFonts w:cs="Arial"/>
                <w:sz w:val="16"/>
                <w:szCs w:val="16"/>
                <w:lang w:val="es-ES_tradnl" w:bidi="th-TH"/>
              </w:rPr>
              <w:t>La División de Auditoría y Supervisión Internas examinó dos veces la situación de aplicación de las recomendaciones de supervisión en 2010</w:t>
            </w:r>
          </w:p>
          <w:p w:rsidR="0053316D" w:rsidRPr="00A34388" w:rsidRDefault="0053316D">
            <w:pPr>
              <w:spacing w:line="276" w:lineRule="auto"/>
              <w:rPr>
                <w:rFonts w:cs="Arial"/>
                <w:sz w:val="16"/>
                <w:szCs w:val="16"/>
                <w:lang w:val="es-ES_tradnl" w:bidi="th-TH"/>
              </w:rPr>
            </w:pPr>
          </w:p>
        </w:tc>
        <w:tc>
          <w:tcPr>
            <w:tcW w:w="844" w:type="pct"/>
            <w:tcBorders>
              <w:top w:val="single" w:sz="4" w:space="0" w:color="auto"/>
              <w:left w:val="nil"/>
              <w:bottom w:val="single" w:sz="4" w:space="0" w:color="auto"/>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sz w:val="16"/>
                <w:szCs w:val="16"/>
                <w:lang w:val="es-ES_tradnl"/>
              </w:rPr>
            </w:pPr>
            <w:r w:rsidRPr="00A34388">
              <w:rPr>
                <w:rFonts w:cs="Arial"/>
                <w:sz w:val="16"/>
                <w:szCs w:val="16"/>
                <w:lang w:val="es-ES_tradnl"/>
              </w:rPr>
              <w:t>Se hace un seguimiento cada seis meses de la aplicación de todas las recomendaciones de la DASI</w:t>
            </w:r>
          </w:p>
        </w:tc>
        <w:tc>
          <w:tcPr>
            <w:tcW w:w="1723" w:type="pct"/>
            <w:tcBorders>
              <w:top w:val="single" w:sz="4" w:space="0" w:color="auto"/>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rsidP="005163F2">
            <w:pPr>
              <w:spacing w:line="276" w:lineRule="auto"/>
              <w:rPr>
                <w:rFonts w:cs="Arial"/>
                <w:sz w:val="16"/>
                <w:szCs w:val="16"/>
                <w:lang w:val="es-ES_tradnl" w:bidi="th-TH"/>
              </w:rPr>
            </w:pPr>
            <w:r w:rsidRPr="00A34388">
              <w:rPr>
                <w:rFonts w:cs="Arial"/>
                <w:sz w:val="16"/>
                <w:szCs w:val="16"/>
                <w:lang w:val="es-ES_tradnl" w:bidi="th-TH"/>
              </w:rPr>
              <w:t xml:space="preserve">Los informes semestrales </w:t>
            </w:r>
            <w:r w:rsidR="005163F2" w:rsidRPr="00A34388">
              <w:rPr>
                <w:rFonts w:cs="Arial"/>
                <w:sz w:val="16"/>
                <w:szCs w:val="16"/>
                <w:lang w:val="es-ES_tradnl" w:bidi="th-TH"/>
              </w:rPr>
              <w:t xml:space="preserve">periódicos </w:t>
            </w:r>
            <w:r w:rsidRPr="00A34388">
              <w:rPr>
                <w:rFonts w:cs="Arial"/>
                <w:sz w:val="16"/>
                <w:szCs w:val="16"/>
                <w:lang w:val="es-ES_tradnl" w:bidi="th-TH"/>
              </w:rPr>
              <w:t>dirigidos al Director General y la CCIS incluían todas las recomendaciones de supervisión.</w:t>
            </w:r>
          </w:p>
        </w:tc>
        <w:tc>
          <w:tcPr>
            <w:tcW w:w="682" w:type="pct"/>
            <w:tcBorders>
              <w:top w:val="single" w:sz="4" w:space="0" w:color="auto"/>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sz w:val="16"/>
                <w:szCs w:val="16"/>
                <w:lang w:val="es-ES_tradnl"/>
              </w:rPr>
              <w:t xml:space="preserve"> </w:t>
            </w:r>
          </w:p>
        </w:tc>
      </w:tr>
      <w:tr w:rsidR="0053316D" w:rsidRPr="00A9508D" w:rsidTr="0053316D">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rsidP="005F2771">
            <w:pPr>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Los informes de investigación constituyen una base sólida para la toma de decisiones por parte del Director General.</w:t>
            </w:r>
          </w:p>
        </w:tc>
      </w:tr>
      <w:tr w:rsidR="0053316D" w:rsidRPr="00A34388" w:rsidTr="0053316D">
        <w:tc>
          <w:tcPr>
            <w:tcW w:w="837" w:type="pct"/>
            <w:tcBorders>
              <w:top w:val="single" w:sz="4" w:space="0" w:color="auto"/>
              <w:left w:val="single" w:sz="4" w:space="0" w:color="auto"/>
              <w:bottom w:val="nil"/>
              <w:right w:val="nil"/>
            </w:tcBorders>
            <w:vAlign w:val="center"/>
            <w:hideMark/>
          </w:tcPr>
          <w:p w:rsidR="0053316D" w:rsidRPr="00A34388" w:rsidRDefault="0053316D" w:rsidP="005F2771">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rsidP="005F2771">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844"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rsidP="005F2771">
            <w:pPr>
              <w:spacing w:line="276" w:lineRule="auto"/>
              <w:rPr>
                <w:rFonts w:cs="Arial"/>
                <w:b/>
                <w:color w:val="808080"/>
                <w:sz w:val="16"/>
                <w:szCs w:val="16"/>
                <w:lang w:val="es-ES_tradnl"/>
              </w:rPr>
            </w:pPr>
            <w:r w:rsidRPr="00332758">
              <w:rPr>
                <w:rFonts w:cs="Arial"/>
                <w:b/>
                <w:sz w:val="16"/>
                <w:szCs w:val="16"/>
                <w:lang w:val="es-ES_tradnl"/>
              </w:rPr>
              <w:t>Objetivos</w:t>
            </w:r>
          </w:p>
        </w:tc>
        <w:tc>
          <w:tcPr>
            <w:tcW w:w="1723"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rsidP="005F2771">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rsidP="005F2771">
            <w:pPr>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c>
          <w:tcPr>
            <w:tcW w:w="837" w:type="pct"/>
            <w:tcBorders>
              <w:top w:val="nil"/>
              <w:left w:val="single" w:sz="4" w:space="0" w:color="auto"/>
              <w:bottom w:val="single" w:sz="4" w:space="0" w:color="auto"/>
              <w:right w:val="nil"/>
            </w:tcBorders>
          </w:tcPr>
          <w:p w:rsidR="0053316D" w:rsidRPr="00A34388" w:rsidRDefault="0053316D" w:rsidP="005F2771">
            <w:pPr>
              <w:spacing w:line="276" w:lineRule="auto"/>
              <w:rPr>
                <w:rFonts w:cs="Arial"/>
                <w:sz w:val="16"/>
                <w:szCs w:val="16"/>
                <w:lang w:val="es-ES_tradnl" w:bidi="th-TH"/>
              </w:rPr>
            </w:pPr>
            <w:r w:rsidRPr="00332758">
              <w:rPr>
                <w:rFonts w:cs="Arial"/>
                <w:sz w:val="16"/>
                <w:szCs w:val="16"/>
                <w:lang w:val="es-ES_tradnl" w:bidi="th-TH"/>
              </w:rPr>
              <w:t>Las investigaciones se realizarán de conformidad con lo estipulado en la Carta de Supervisión Interna, las Directrices uniformes de las NN.UU. para las investigaciones, el Manual sobre los procedimientos de investigación y la política de investigación (en curso de elaboración).</w:t>
            </w:r>
          </w:p>
          <w:p w:rsidR="0053316D" w:rsidRPr="00A34388" w:rsidRDefault="0053316D" w:rsidP="005F2771">
            <w:pPr>
              <w:spacing w:line="276" w:lineRule="auto"/>
              <w:rPr>
                <w:rFonts w:cs="Arial"/>
                <w:sz w:val="16"/>
                <w:szCs w:val="16"/>
                <w:lang w:val="es-ES_tradnl" w:bidi="th-TH"/>
              </w:rPr>
            </w:pPr>
          </w:p>
        </w:tc>
        <w:tc>
          <w:tcPr>
            <w:tcW w:w="914" w:type="pct"/>
            <w:tcBorders>
              <w:top w:val="nil"/>
              <w:left w:val="nil"/>
              <w:bottom w:val="single" w:sz="4" w:space="0" w:color="auto"/>
              <w:right w:val="nil"/>
            </w:tcBorders>
          </w:tcPr>
          <w:p w:rsidR="0053316D" w:rsidRPr="001E2F41" w:rsidRDefault="0053316D" w:rsidP="005F2771">
            <w:pPr>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rsidP="005F2771">
            <w:pPr>
              <w:spacing w:line="276" w:lineRule="auto"/>
              <w:rPr>
                <w:rFonts w:cs="Arial"/>
                <w:color w:val="002060"/>
                <w:sz w:val="16"/>
                <w:szCs w:val="16"/>
                <w:lang w:val="es-ES_tradnl"/>
              </w:rPr>
            </w:pPr>
            <w:r w:rsidRPr="001E2F41">
              <w:rPr>
                <w:rFonts w:cs="Arial"/>
                <w:color w:val="002060"/>
                <w:sz w:val="16"/>
                <w:szCs w:val="16"/>
                <w:lang w:val="es-ES_tradnl"/>
              </w:rPr>
              <w:t>12 meses</w:t>
            </w:r>
          </w:p>
          <w:p w:rsidR="0053316D" w:rsidRPr="00A34388" w:rsidRDefault="0053316D" w:rsidP="005F2771">
            <w:pPr>
              <w:spacing w:line="276" w:lineRule="auto"/>
              <w:rPr>
                <w:rFonts w:cs="Arial"/>
                <w:i/>
                <w:sz w:val="8"/>
                <w:szCs w:val="8"/>
                <w:lang w:val="es-ES_tradnl"/>
              </w:rPr>
            </w:pPr>
          </w:p>
          <w:p w:rsidR="0053316D" w:rsidRPr="00A34388" w:rsidRDefault="0053316D" w:rsidP="005F2771">
            <w:pPr>
              <w:spacing w:line="276" w:lineRule="auto"/>
              <w:rPr>
                <w:rFonts w:cs="Arial"/>
                <w:sz w:val="16"/>
                <w:szCs w:val="16"/>
                <w:lang w:val="es-ES_tradnl" w:bidi="th-TH"/>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r>
            <w:r w:rsidRPr="00A34388">
              <w:rPr>
                <w:rFonts w:cs="Arial"/>
                <w:sz w:val="16"/>
                <w:szCs w:val="16"/>
                <w:lang w:val="es-ES_tradnl" w:bidi="th-TH"/>
              </w:rPr>
              <w:t>Las investigaciones se realizan de conformidad con lo estipulado en la Carta de Supervisión Interna, las Directrices Uniformes de las NN.UU. para las investigaciones y el Manual sobre los  procedimientos de investigación</w:t>
            </w:r>
          </w:p>
          <w:p w:rsidR="0053316D" w:rsidRPr="00A34388" w:rsidRDefault="0053316D" w:rsidP="005F2771">
            <w:pPr>
              <w:spacing w:line="276" w:lineRule="auto"/>
              <w:rPr>
                <w:rFonts w:cs="Arial"/>
                <w:sz w:val="16"/>
                <w:szCs w:val="16"/>
                <w:lang w:val="es-ES_tradnl" w:bidi="th-TH"/>
              </w:rPr>
            </w:pPr>
          </w:p>
        </w:tc>
        <w:tc>
          <w:tcPr>
            <w:tcW w:w="844"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rsidP="005F2771">
            <w:pPr>
              <w:autoSpaceDE w:val="0"/>
              <w:autoSpaceDN w:val="0"/>
              <w:adjustRightInd w:val="0"/>
              <w:spacing w:line="276" w:lineRule="auto"/>
              <w:rPr>
                <w:rFonts w:cs="Arial"/>
                <w:sz w:val="16"/>
                <w:szCs w:val="16"/>
                <w:lang w:val="es-ES_tradnl"/>
              </w:rPr>
            </w:pPr>
            <w:r w:rsidRPr="00A34388">
              <w:rPr>
                <w:rFonts w:cs="Arial"/>
                <w:sz w:val="16"/>
                <w:szCs w:val="16"/>
                <w:lang w:val="es-ES_tradnl"/>
              </w:rPr>
              <w:t>Tiempo medio para concluir una investigación inferior a seis meses</w:t>
            </w:r>
          </w:p>
        </w:tc>
        <w:tc>
          <w:tcPr>
            <w:tcW w:w="1723"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332758" w:rsidRDefault="0053316D" w:rsidP="005F2771">
            <w:pPr>
              <w:spacing w:line="276" w:lineRule="auto"/>
              <w:rPr>
                <w:rFonts w:cs="Arial"/>
                <w:sz w:val="16"/>
                <w:szCs w:val="16"/>
                <w:lang w:val="es-ES_tradnl" w:bidi="th-TH"/>
              </w:rPr>
            </w:pPr>
            <w:r w:rsidRPr="00332758">
              <w:rPr>
                <w:rFonts w:cs="Arial"/>
                <w:sz w:val="16"/>
                <w:szCs w:val="16"/>
                <w:lang w:val="es-ES_tradnl" w:bidi="th-TH"/>
              </w:rPr>
              <w:t>En 2012 se iniciaron 21 investigaciones, en comparación con 11 en 2011 y 13 en 2010.</w:t>
            </w:r>
          </w:p>
          <w:p w:rsidR="0053316D" w:rsidRPr="00A34388" w:rsidRDefault="0053316D" w:rsidP="005F2771">
            <w:pPr>
              <w:spacing w:line="276" w:lineRule="auto"/>
              <w:rPr>
                <w:rFonts w:cs="Arial"/>
                <w:sz w:val="16"/>
                <w:szCs w:val="16"/>
                <w:lang w:val="es-ES_tradnl" w:bidi="th-TH"/>
              </w:rPr>
            </w:pPr>
          </w:p>
          <w:p w:rsidR="0053316D" w:rsidRPr="00A34388" w:rsidRDefault="0053316D" w:rsidP="005F2771">
            <w:pPr>
              <w:spacing w:line="276" w:lineRule="auto"/>
              <w:rPr>
                <w:rFonts w:cs="Arial"/>
                <w:sz w:val="16"/>
                <w:szCs w:val="16"/>
                <w:lang w:val="es-ES_tradnl" w:bidi="th-TH"/>
              </w:rPr>
            </w:pPr>
            <w:r w:rsidRPr="00A34388">
              <w:rPr>
                <w:rFonts w:cs="Arial"/>
                <w:sz w:val="16"/>
                <w:szCs w:val="16"/>
                <w:lang w:val="es-ES_tradnl" w:bidi="th-TH"/>
              </w:rPr>
              <w:t xml:space="preserve">Se concluyeron 25 investigaciones en 2012 y 21 en 2013. </w:t>
            </w:r>
          </w:p>
          <w:p w:rsidR="0053316D" w:rsidRPr="00A34388" w:rsidRDefault="0053316D" w:rsidP="005F2771">
            <w:pPr>
              <w:spacing w:line="276" w:lineRule="auto"/>
              <w:rPr>
                <w:rFonts w:cs="Arial"/>
                <w:sz w:val="16"/>
                <w:szCs w:val="16"/>
                <w:lang w:val="es-ES_tradnl" w:bidi="th-TH"/>
              </w:rPr>
            </w:pPr>
          </w:p>
          <w:p w:rsidR="0053316D" w:rsidRPr="00A34388" w:rsidRDefault="0053316D" w:rsidP="005F2771">
            <w:pPr>
              <w:spacing w:line="276" w:lineRule="auto"/>
              <w:rPr>
                <w:rFonts w:cs="Arial"/>
                <w:sz w:val="16"/>
                <w:szCs w:val="16"/>
                <w:lang w:val="es-ES_tradnl"/>
              </w:rPr>
            </w:pPr>
            <w:r w:rsidRPr="00A34388">
              <w:rPr>
                <w:rFonts w:cs="Arial"/>
                <w:sz w:val="16"/>
                <w:szCs w:val="16"/>
                <w:lang w:val="es-ES_tradnl" w:bidi="th-TH"/>
              </w:rPr>
              <w:t xml:space="preserve">El tiempo medio para concluir una investigación es de 6 meses en 2012 y 3 meses en 2013. </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rsidP="005F2771">
            <w:pPr>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Style w:val="Style5"/>
                <w:rFonts w:cs="Arial"/>
                <w:sz w:val="16"/>
                <w:szCs w:val="16"/>
                <w:lang w:val="es-ES_tradnl"/>
              </w:rPr>
              <w:t xml:space="preserve"> </w:t>
            </w:r>
          </w:p>
        </w:tc>
      </w:tr>
      <w:tr w:rsidR="0053316D" w:rsidRPr="00A9508D" w:rsidTr="0053316D">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rsidP="005F2771">
            <w:pPr>
              <w:keepNext/>
              <w:keepLines/>
              <w:spacing w:before="120" w:after="120" w:line="276" w:lineRule="auto"/>
              <w:ind w:left="1701" w:hanging="1701"/>
              <w:rPr>
                <w:rFonts w:cs="Arial"/>
                <w:bCs/>
                <w:sz w:val="16"/>
                <w:szCs w:val="16"/>
                <w:lang w:val="es-ES_tradnl"/>
              </w:rPr>
            </w:pPr>
            <w:r w:rsidRPr="00332758">
              <w:rPr>
                <w:rFonts w:cs="Arial"/>
                <w:b/>
                <w:bCs/>
                <w:sz w:val="16"/>
                <w:szCs w:val="16"/>
                <w:lang w:val="es-ES_tradnl"/>
              </w:rPr>
              <w:lastRenderedPageBreak/>
              <w:t>Resultado previsto:</w:t>
            </w:r>
            <w:r w:rsidRPr="00332758">
              <w:rPr>
                <w:rFonts w:cs="Arial"/>
                <w:bCs/>
                <w:sz w:val="16"/>
                <w:szCs w:val="16"/>
                <w:lang w:val="es-ES_tradnl"/>
              </w:rPr>
              <w:tab/>
              <w:t>El personal directivo superior, los directores de programa y los Estados miembros tienen a su disposición informaciones basadas en datos fidedignos para tomar decisiones.</w:t>
            </w:r>
          </w:p>
        </w:tc>
      </w:tr>
      <w:tr w:rsidR="0053316D" w:rsidRPr="00A34388" w:rsidTr="0053316D">
        <w:tc>
          <w:tcPr>
            <w:tcW w:w="837" w:type="pct"/>
            <w:tcBorders>
              <w:top w:val="single" w:sz="4" w:space="0" w:color="auto"/>
              <w:left w:val="single" w:sz="4" w:space="0" w:color="auto"/>
              <w:bottom w:val="nil"/>
              <w:right w:val="nil"/>
            </w:tcBorders>
            <w:vAlign w:val="center"/>
            <w:hideMark/>
          </w:tcPr>
          <w:p w:rsidR="0053316D" w:rsidRPr="00A34388" w:rsidRDefault="0053316D" w:rsidP="005F2771">
            <w:pPr>
              <w:keepNext/>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14" w:type="pct"/>
            <w:tcBorders>
              <w:top w:val="single" w:sz="4" w:space="0" w:color="auto"/>
              <w:left w:val="nil"/>
              <w:bottom w:val="nil"/>
              <w:right w:val="nil"/>
            </w:tcBorders>
            <w:vAlign w:val="center"/>
            <w:hideMark/>
          </w:tcPr>
          <w:p w:rsidR="0053316D" w:rsidRPr="00A34388" w:rsidRDefault="0053316D" w:rsidP="005F2771">
            <w:pPr>
              <w:keepNext/>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844"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rsidP="005F2771">
            <w:pPr>
              <w:keepNext/>
              <w:spacing w:line="276" w:lineRule="auto"/>
              <w:rPr>
                <w:rFonts w:cs="Arial"/>
                <w:b/>
                <w:color w:val="808080"/>
                <w:sz w:val="16"/>
                <w:szCs w:val="16"/>
                <w:lang w:val="es-ES_tradnl"/>
              </w:rPr>
            </w:pPr>
            <w:r w:rsidRPr="00332758">
              <w:rPr>
                <w:rFonts w:cs="Arial"/>
                <w:b/>
                <w:sz w:val="16"/>
                <w:szCs w:val="16"/>
                <w:lang w:val="es-ES_tradnl"/>
              </w:rPr>
              <w:t>Objetivos</w:t>
            </w:r>
          </w:p>
        </w:tc>
        <w:tc>
          <w:tcPr>
            <w:tcW w:w="1722"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rsidP="005F2771">
            <w:pPr>
              <w:keepNext/>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rsidP="005F2771">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53316D">
        <w:tc>
          <w:tcPr>
            <w:tcW w:w="837" w:type="pct"/>
            <w:tcBorders>
              <w:top w:val="nil"/>
              <w:left w:val="single" w:sz="4" w:space="0" w:color="auto"/>
              <w:bottom w:val="single" w:sz="4" w:space="0" w:color="auto"/>
              <w:right w:val="nil"/>
            </w:tcBorders>
            <w:hideMark/>
          </w:tcPr>
          <w:p w:rsidR="0053316D" w:rsidRPr="00A34388" w:rsidRDefault="0053316D" w:rsidP="005F2771">
            <w:pPr>
              <w:keepNext/>
              <w:spacing w:line="276" w:lineRule="auto"/>
              <w:rPr>
                <w:rFonts w:cs="Arial"/>
                <w:sz w:val="16"/>
                <w:szCs w:val="16"/>
                <w:lang w:val="es-ES_tradnl" w:bidi="th-TH"/>
              </w:rPr>
            </w:pPr>
            <w:r w:rsidRPr="00332758">
              <w:rPr>
                <w:rFonts w:cs="Arial"/>
                <w:sz w:val="16"/>
                <w:szCs w:val="16"/>
                <w:lang w:val="es-ES_tradnl" w:bidi="th-TH"/>
              </w:rPr>
              <w:t>Las evaluaciones se realizan de conformidad con lo establecido en la Política de evaluación y el Manual sobre los procedimientos de evaluación.</w:t>
            </w:r>
          </w:p>
        </w:tc>
        <w:tc>
          <w:tcPr>
            <w:tcW w:w="914" w:type="pct"/>
            <w:tcBorders>
              <w:top w:val="nil"/>
              <w:left w:val="nil"/>
              <w:bottom w:val="single" w:sz="4" w:space="0" w:color="auto"/>
              <w:right w:val="nil"/>
            </w:tcBorders>
          </w:tcPr>
          <w:p w:rsidR="0053316D" w:rsidRPr="001E2F41" w:rsidRDefault="0053316D" w:rsidP="005F2771">
            <w:pPr>
              <w:keepNext/>
              <w:keepLines/>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finales de 2011:  </w:t>
            </w:r>
            <w:r w:rsidRPr="001E2F41">
              <w:rPr>
                <w:rFonts w:cs="Arial"/>
                <w:color w:val="002060"/>
                <w:sz w:val="16"/>
                <w:szCs w:val="16"/>
                <w:lang w:val="es-ES_tradnl"/>
              </w:rPr>
              <w:t>Casi se terminó una evaluación de la cartera de proyectos por país (Kenya) (se recibió el proyecto de informe final).</w:t>
            </w:r>
          </w:p>
          <w:p w:rsidR="0053316D" w:rsidRPr="00A34388" w:rsidRDefault="0053316D" w:rsidP="005F2771">
            <w:pPr>
              <w:keepNext/>
              <w:spacing w:line="276" w:lineRule="auto"/>
              <w:rPr>
                <w:rFonts w:cs="Arial"/>
                <w:i/>
                <w:sz w:val="8"/>
                <w:szCs w:val="8"/>
                <w:lang w:val="es-ES_tradnl"/>
              </w:rPr>
            </w:pPr>
          </w:p>
          <w:p w:rsidR="0053316D" w:rsidRPr="00A34388" w:rsidRDefault="0053316D" w:rsidP="005F2771">
            <w:pPr>
              <w:keepNext/>
              <w:spacing w:line="276" w:lineRule="auto"/>
              <w:rPr>
                <w:rFonts w:cs="Arial"/>
                <w:sz w:val="16"/>
                <w:szCs w:val="16"/>
                <w:lang w:val="es-ES_tradnl" w:bidi="th-TH"/>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r>
            <w:r w:rsidRPr="00A34388">
              <w:rPr>
                <w:rFonts w:cs="Arial"/>
                <w:sz w:val="16"/>
                <w:szCs w:val="16"/>
                <w:lang w:val="es-ES_tradnl" w:bidi="th-TH"/>
              </w:rPr>
              <w:t>La Política de Evaluación se aplicará progresivamente a lo largo de 2012 y 2013</w:t>
            </w:r>
          </w:p>
        </w:tc>
        <w:tc>
          <w:tcPr>
            <w:tcW w:w="844"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rsidP="005F2771">
            <w:pPr>
              <w:keepNext/>
              <w:autoSpaceDE w:val="0"/>
              <w:autoSpaceDN w:val="0"/>
              <w:adjustRightInd w:val="0"/>
              <w:spacing w:line="276" w:lineRule="auto"/>
              <w:rPr>
                <w:rFonts w:cs="Arial"/>
                <w:sz w:val="16"/>
                <w:szCs w:val="16"/>
                <w:lang w:val="es-ES_tradnl" w:bidi="th-TH"/>
              </w:rPr>
            </w:pPr>
            <w:r w:rsidRPr="00A34388">
              <w:rPr>
                <w:rFonts w:cs="Arial"/>
                <w:sz w:val="16"/>
                <w:szCs w:val="16"/>
                <w:lang w:val="es-ES_tradnl"/>
              </w:rPr>
              <w:t>Completar al menos seis evaluaciones durante el bienio</w:t>
            </w:r>
          </w:p>
        </w:tc>
        <w:tc>
          <w:tcPr>
            <w:tcW w:w="1722"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rsidP="005F2771">
            <w:pPr>
              <w:keepNext/>
              <w:spacing w:line="276" w:lineRule="auto"/>
              <w:rPr>
                <w:rFonts w:cs="Arial"/>
                <w:sz w:val="16"/>
                <w:szCs w:val="16"/>
                <w:lang w:val="es-ES_tradnl" w:bidi="th-TH"/>
              </w:rPr>
            </w:pPr>
            <w:r w:rsidRPr="00A34388">
              <w:rPr>
                <w:rFonts w:cs="Arial"/>
                <w:sz w:val="16"/>
                <w:szCs w:val="16"/>
                <w:lang w:val="es-ES_tradnl" w:bidi="th-TH"/>
              </w:rPr>
              <w:t>Se completaron ocho evaluaciones durante el bienio.</w:t>
            </w:r>
          </w:p>
          <w:p w:rsidR="0053316D" w:rsidRPr="00A34388" w:rsidRDefault="0053316D" w:rsidP="005F2771">
            <w:pPr>
              <w:keepNext/>
              <w:spacing w:line="276" w:lineRule="auto"/>
              <w:rPr>
                <w:rFonts w:cs="Arial"/>
                <w:sz w:val="16"/>
                <w:szCs w:val="16"/>
                <w:lang w:val="es-ES_tradnl" w:bidi="th-TH"/>
              </w:rPr>
            </w:pPr>
          </w:p>
          <w:p w:rsidR="0053316D" w:rsidRPr="00A34388" w:rsidRDefault="0053316D" w:rsidP="005F2771">
            <w:pPr>
              <w:keepNext/>
              <w:spacing w:line="276" w:lineRule="auto"/>
              <w:rPr>
                <w:rFonts w:cs="Arial"/>
                <w:sz w:val="16"/>
                <w:szCs w:val="16"/>
                <w:lang w:val="es-ES_tradnl" w:bidi="th-TH"/>
              </w:rPr>
            </w:pPr>
            <w:r w:rsidRPr="00A34388">
              <w:rPr>
                <w:rFonts w:cs="Arial"/>
                <w:sz w:val="16"/>
                <w:szCs w:val="16"/>
                <w:lang w:val="es-ES_tradnl" w:bidi="th-TH"/>
              </w:rPr>
              <w:t>Seis en 2012:</w:t>
            </w:r>
          </w:p>
          <w:p w:rsidR="0053316D" w:rsidRPr="00A34388" w:rsidRDefault="0053316D" w:rsidP="005F2771">
            <w:pPr>
              <w:pStyle w:val="ListParagraph"/>
              <w:keepNext/>
              <w:numPr>
                <w:ilvl w:val="0"/>
                <w:numId w:val="88"/>
              </w:numPr>
              <w:spacing w:line="276" w:lineRule="auto"/>
              <w:rPr>
                <w:rFonts w:cs="Arial"/>
                <w:sz w:val="16"/>
                <w:szCs w:val="16"/>
                <w:lang w:val="es-ES_tradnl" w:bidi="th-TH"/>
              </w:rPr>
            </w:pPr>
            <w:r w:rsidRPr="00A34388">
              <w:rPr>
                <w:rFonts w:cs="Arial"/>
                <w:sz w:val="16"/>
                <w:szCs w:val="16"/>
                <w:lang w:val="es-ES_tradnl" w:bidi="th-TH"/>
              </w:rPr>
              <w:t>Evaluación de la cartera de proyectos por país (Kenya)</w:t>
            </w:r>
          </w:p>
          <w:p w:rsidR="0053316D" w:rsidRPr="00A34388" w:rsidRDefault="0053316D" w:rsidP="005F2771">
            <w:pPr>
              <w:pStyle w:val="ListParagraph"/>
              <w:keepNext/>
              <w:numPr>
                <w:ilvl w:val="0"/>
                <w:numId w:val="88"/>
              </w:numPr>
              <w:spacing w:line="276" w:lineRule="auto"/>
              <w:rPr>
                <w:rFonts w:cs="Arial"/>
                <w:sz w:val="16"/>
                <w:szCs w:val="16"/>
                <w:lang w:val="es-ES_tradnl" w:bidi="th-TH"/>
              </w:rPr>
            </w:pPr>
            <w:r w:rsidRPr="00A34388">
              <w:rPr>
                <w:rFonts w:cs="Arial"/>
                <w:sz w:val="16"/>
                <w:szCs w:val="16"/>
                <w:lang w:val="es-ES_tradnl" w:bidi="th-TH"/>
              </w:rPr>
              <w:t>informe de validación del informe sobre el rendimiento de los programas (PPR) de 2010/11 (en colaboración con la Sección de Auditoría Interna)</w:t>
            </w:r>
          </w:p>
          <w:p w:rsidR="0053316D" w:rsidRPr="00A34388" w:rsidRDefault="0053316D" w:rsidP="005F2771">
            <w:pPr>
              <w:pStyle w:val="ListParagraph"/>
              <w:keepNext/>
              <w:numPr>
                <w:ilvl w:val="0"/>
                <w:numId w:val="88"/>
              </w:numPr>
              <w:spacing w:line="276" w:lineRule="auto"/>
              <w:rPr>
                <w:rFonts w:cs="Arial"/>
                <w:sz w:val="16"/>
                <w:szCs w:val="16"/>
                <w:lang w:val="es-ES_tradnl" w:bidi="th-TH"/>
              </w:rPr>
            </w:pPr>
            <w:r w:rsidRPr="00A34388">
              <w:rPr>
                <w:rFonts w:cs="Arial"/>
                <w:sz w:val="16"/>
                <w:szCs w:val="16"/>
                <w:lang w:val="es-ES_tradnl" w:bidi="th-TH"/>
              </w:rPr>
              <w:t>cuatro evaluaciones de proyectos para la Agenda para el Desarrollo</w:t>
            </w:r>
          </w:p>
          <w:p w:rsidR="0053316D" w:rsidRPr="00A34388" w:rsidRDefault="0053316D" w:rsidP="005F2771">
            <w:pPr>
              <w:keepNext/>
              <w:spacing w:line="276" w:lineRule="auto"/>
              <w:rPr>
                <w:rFonts w:cs="Arial"/>
                <w:sz w:val="16"/>
                <w:szCs w:val="16"/>
                <w:lang w:val="es-ES_tradnl" w:bidi="th-TH"/>
              </w:rPr>
            </w:pPr>
          </w:p>
          <w:p w:rsidR="0053316D" w:rsidRPr="00A34388" w:rsidRDefault="0053316D" w:rsidP="005F2771">
            <w:pPr>
              <w:keepNext/>
              <w:spacing w:line="276" w:lineRule="auto"/>
              <w:rPr>
                <w:rFonts w:cs="Arial"/>
                <w:sz w:val="16"/>
                <w:szCs w:val="16"/>
                <w:lang w:val="es-ES_tradnl" w:bidi="th-TH"/>
              </w:rPr>
            </w:pPr>
            <w:r w:rsidRPr="00A34388">
              <w:rPr>
                <w:rFonts w:cs="Arial"/>
                <w:sz w:val="16"/>
                <w:szCs w:val="16"/>
                <w:lang w:val="es-ES_tradnl" w:bidi="th-TH"/>
              </w:rPr>
              <w:t xml:space="preserve">Dos en 2013: </w:t>
            </w:r>
          </w:p>
          <w:p w:rsidR="0053316D" w:rsidRPr="00A34388" w:rsidRDefault="0053316D" w:rsidP="005F2771">
            <w:pPr>
              <w:pStyle w:val="ListParagraph"/>
              <w:keepNext/>
              <w:numPr>
                <w:ilvl w:val="0"/>
                <w:numId w:val="89"/>
              </w:numPr>
              <w:spacing w:line="276" w:lineRule="auto"/>
              <w:rPr>
                <w:sz w:val="16"/>
                <w:lang w:val="es-ES_tradnl"/>
              </w:rPr>
            </w:pPr>
            <w:r w:rsidRPr="00A34388">
              <w:rPr>
                <w:sz w:val="16"/>
                <w:lang w:val="es-ES_tradnl"/>
              </w:rPr>
              <w:t>Evaluación del Programa 1</w:t>
            </w:r>
            <w:r w:rsidR="003E3F45">
              <w:rPr>
                <w:sz w:val="16"/>
                <w:lang w:val="es-ES_tradnl"/>
              </w:rPr>
              <w:t>,</w:t>
            </w:r>
            <w:r w:rsidRPr="00A34388">
              <w:rPr>
                <w:sz w:val="16"/>
                <w:lang w:val="es-ES_tradnl"/>
              </w:rPr>
              <w:t xml:space="preserve"> Derecho de patentes</w:t>
            </w:r>
          </w:p>
          <w:p w:rsidR="0053316D" w:rsidRPr="00A34388" w:rsidRDefault="00527233" w:rsidP="005F2771">
            <w:pPr>
              <w:pStyle w:val="ListParagraph"/>
              <w:keepNext/>
              <w:numPr>
                <w:ilvl w:val="0"/>
                <w:numId w:val="89"/>
              </w:numPr>
              <w:spacing w:line="276" w:lineRule="auto"/>
              <w:rPr>
                <w:rFonts w:cs="Arial"/>
                <w:lang w:val="es-ES_tradnl"/>
              </w:rPr>
            </w:pPr>
            <w:hyperlink r:id="rId78" w:tgtFrame="_self" w:history="1">
              <w:r w:rsidR="0053316D" w:rsidRPr="00A34388">
                <w:rPr>
                  <w:sz w:val="16"/>
                  <w:lang w:val="es-ES_tradnl"/>
                </w:rPr>
                <w:t>Informe de evaluación sobre los Servicios de apoyo al Comité Intergubernamental sobre Propiedad Intelectual y Recursos Genéticos, Conocimientos Tradicionales y Folclore</w:t>
              </w:r>
              <w:r w:rsidR="0053316D" w:rsidRPr="00A34388">
                <w:rPr>
                  <w:rStyle w:val="Hyperlink"/>
                  <w:rFonts w:cs="Arial"/>
                  <w:sz w:val="16"/>
                  <w:szCs w:val="16"/>
                  <w:lang w:val="es-ES_tradnl" w:bidi="th-TH"/>
                </w:rPr>
                <w:t xml:space="preserve"> </w:t>
              </w:r>
            </w:hyperlink>
          </w:p>
          <w:p w:rsidR="0053316D" w:rsidRPr="00332758" w:rsidRDefault="0053316D" w:rsidP="005F2771">
            <w:pPr>
              <w:keepNext/>
              <w:spacing w:line="276" w:lineRule="auto"/>
              <w:rPr>
                <w:rFonts w:cs="Arial"/>
                <w:sz w:val="16"/>
                <w:szCs w:val="16"/>
                <w:lang w:val="es-ES_tradnl" w:bidi="th-TH"/>
              </w:rPr>
            </w:pPr>
          </w:p>
          <w:p w:rsidR="0053316D" w:rsidRPr="00332758" w:rsidRDefault="0053316D" w:rsidP="005F2771">
            <w:pPr>
              <w:keepNext/>
              <w:spacing w:line="276" w:lineRule="auto"/>
              <w:rPr>
                <w:rFonts w:cs="Arial"/>
                <w:sz w:val="16"/>
                <w:szCs w:val="16"/>
                <w:lang w:val="es-ES_tradnl"/>
              </w:rPr>
            </w:pPr>
            <w:r w:rsidRPr="00332758">
              <w:rPr>
                <w:rFonts w:cs="Arial"/>
                <w:sz w:val="16"/>
                <w:szCs w:val="16"/>
                <w:lang w:val="es-ES_tradnl"/>
              </w:rPr>
              <w:t>Las evaluaciones se realizan de conformidad con lo establecido en la Política de Evaluación y el Manual sobre los procedimientos de evaluación.</w:t>
            </w:r>
          </w:p>
          <w:p w:rsidR="0053316D" w:rsidRPr="00A34388" w:rsidRDefault="0053316D" w:rsidP="005F2771">
            <w:pPr>
              <w:keepNext/>
              <w:spacing w:line="276" w:lineRule="auto"/>
              <w:rPr>
                <w:rFonts w:cs="Arial"/>
                <w:sz w:val="16"/>
                <w:szCs w:val="16"/>
                <w:lang w:val="es-ES_tradnl"/>
              </w:rPr>
            </w:pP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rsidP="005F2771">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bl>
    <w:p w:rsidR="0053316D" w:rsidRPr="00A34388" w:rsidRDefault="0053316D" w:rsidP="0053316D">
      <w:pPr>
        <w:rPr>
          <w:b/>
          <w:sz w:val="18"/>
          <w:szCs w:val="18"/>
          <w:lang w:val="es-ES_tradnl"/>
        </w:rPr>
      </w:pPr>
    </w:p>
    <w:p w:rsidR="0053316D" w:rsidRPr="00A34388" w:rsidRDefault="0053316D" w:rsidP="0053316D">
      <w:pPr>
        <w:keepNext/>
        <w:keepLines/>
        <w:rPr>
          <w:rFonts w:cs="Arial"/>
          <w:sz w:val="18"/>
          <w:szCs w:val="18"/>
          <w:lang w:val="es-ES_tradnl"/>
        </w:rPr>
      </w:pPr>
    </w:p>
    <w:p w:rsidR="0053316D" w:rsidRPr="00A34388" w:rsidRDefault="0053316D" w:rsidP="0053316D">
      <w:pPr>
        <w:keepNext/>
        <w:keepLines/>
        <w:rPr>
          <w:rFonts w:cs="Arial"/>
          <w:sz w:val="22"/>
          <w:szCs w:val="22"/>
          <w:lang w:val="es-ES_tradnl"/>
        </w:rPr>
      </w:pPr>
      <w:r w:rsidRPr="00332758">
        <w:rPr>
          <w:rFonts w:cs="Arial"/>
          <w:sz w:val="22"/>
          <w:szCs w:val="22"/>
          <w:lang w:val="es-ES_tradnl"/>
        </w:rPr>
        <w:t>PRESUPUESTO Y GASTOS REALES</w:t>
      </w:r>
    </w:p>
    <w:p w:rsidR="0053316D" w:rsidRPr="00A34388" w:rsidRDefault="0053316D" w:rsidP="0053316D">
      <w:pPr>
        <w:pStyle w:val="NormalWeb"/>
        <w:spacing w:before="0" w:beforeAutospacing="0" w:after="0" w:afterAutospacing="0"/>
        <w:jc w:val="center"/>
        <w:rPr>
          <w:color w:val="000000"/>
          <w:sz w:val="20"/>
          <w:szCs w:val="20"/>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(por resultado)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lang w:val="es-ES_tradnl"/>
        </w:rPr>
      </w:pPr>
    </w:p>
    <w:tbl>
      <w:tblPr>
        <w:tblW w:w="0" w:type="auto"/>
        <w:tblInd w:w="103" w:type="dxa"/>
        <w:tblLook w:val="04A0" w:firstRow="1" w:lastRow="0" w:firstColumn="1" w:lastColumn="0" w:noHBand="0" w:noVBand="1"/>
      </w:tblPr>
      <w:tblGrid>
        <w:gridCol w:w="591"/>
        <w:gridCol w:w="4234"/>
        <w:gridCol w:w="1512"/>
        <w:gridCol w:w="1512"/>
        <w:gridCol w:w="1512"/>
      </w:tblGrid>
      <w:tr w:rsidR="0053316D" w:rsidRPr="00A34388" w:rsidTr="0053316D">
        <w:tc>
          <w:tcPr>
            <w:tcW w:w="482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A34388">
              <w:rPr>
                <w:rFonts w:cs="Arial"/>
                <w:bCs/>
                <w:color w:val="000000"/>
                <w:sz w:val="16"/>
                <w:szCs w:val="16"/>
                <w:lang w:val="es-ES_tradnl"/>
              </w:rPr>
              <w:t xml:space="preserve">Gastos en 2012/13 </w:t>
            </w:r>
            <w:r w:rsidRPr="00A34388">
              <w:rPr>
                <w:rFonts w:cs="Arial"/>
                <w:bCs/>
                <w:color w:val="000000"/>
                <w:sz w:val="16"/>
                <w:szCs w:val="16"/>
                <w:lang w:val="es-ES_tradnl"/>
              </w:rPr>
              <w:br/>
            </w:r>
          </w:p>
        </w:tc>
      </w:tr>
      <w:tr w:rsidR="0053316D" w:rsidRPr="00A34388" w:rsidTr="0053316D">
        <w:tc>
          <w:tcPr>
            <w:tcW w:w="591"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IX.11</w:t>
            </w:r>
          </w:p>
        </w:tc>
        <w:tc>
          <w:tcPr>
            <w:tcW w:w="4234"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Instauración de un sistema eficaz y profesional de auditoría interna que abarca todas las esferas de alto riesgo.</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1.364 </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1.553</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1.834</w:t>
            </w:r>
          </w:p>
        </w:tc>
      </w:tr>
      <w:tr w:rsidR="0053316D" w:rsidRPr="00A34388" w:rsidTr="0053316D">
        <w:tc>
          <w:tcPr>
            <w:tcW w:w="591" w:type="dxa"/>
            <w:tcBorders>
              <w:top w:val="nil"/>
              <w:left w:val="single" w:sz="4" w:space="0" w:color="auto"/>
              <w:bottom w:val="nil"/>
              <w:right w:val="nil"/>
            </w:tcBorders>
            <w:shd w:val="clear" w:color="auto" w:fill="FFFFFF"/>
            <w:noWrap/>
            <w:hideMark/>
          </w:tcPr>
          <w:p w:rsidR="0053316D" w:rsidRPr="00A34388" w:rsidRDefault="0053316D">
            <w:pPr>
              <w:spacing w:before="120" w:line="276" w:lineRule="auto"/>
              <w:jc w:val="center"/>
              <w:rPr>
                <w:rFonts w:cs="Arial"/>
                <w:color w:val="808080"/>
                <w:sz w:val="16"/>
                <w:szCs w:val="16"/>
                <w:lang w:val="es-ES_tradnl"/>
              </w:rPr>
            </w:pPr>
            <w:r w:rsidRPr="00332758">
              <w:rPr>
                <w:rFonts w:cs="Arial"/>
                <w:sz w:val="16"/>
                <w:szCs w:val="16"/>
                <w:lang w:val="es-ES_tradnl"/>
              </w:rPr>
              <w:t>IX.12</w:t>
            </w:r>
          </w:p>
        </w:tc>
        <w:tc>
          <w:tcPr>
            <w:tcW w:w="4234" w:type="dxa"/>
            <w:shd w:val="clear" w:color="auto" w:fill="FFFFFF"/>
            <w:hideMark/>
          </w:tcPr>
          <w:p w:rsidR="0053316D" w:rsidRPr="00A34388" w:rsidRDefault="0053316D">
            <w:pPr>
              <w:spacing w:before="120" w:line="276" w:lineRule="auto"/>
              <w:rPr>
                <w:rFonts w:cs="Arial"/>
                <w:color w:val="808080"/>
                <w:sz w:val="16"/>
                <w:szCs w:val="16"/>
                <w:lang w:val="es-ES_tradnl"/>
              </w:rPr>
            </w:pPr>
            <w:r w:rsidRPr="00332758">
              <w:rPr>
                <w:rFonts w:cs="Arial"/>
                <w:sz w:val="16"/>
                <w:szCs w:val="16"/>
                <w:lang w:val="es-ES_tradnl"/>
              </w:rPr>
              <w:t>Los informes de investigación constituyen una base sólida para la toma de decisiones por parte del Director General.</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 xml:space="preserve">1.364 </w:t>
            </w:r>
          </w:p>
        </w:tc>
        <w:tc>
          <w:tcPr>
            <w:tcW w:w="1512" w:type="dxa"/>
            <w:shd w:val="clear" w:color="auto" w:fill="FFFFFF"/>
            <w:vAlign w:val="center"/>
            <w:hideMark/>
          </w:tcPr>
          <w:p w:rsidR="0053316D" w:rsidRPr="00A34388" w:rsidRDefault="0053316D">
            <w:pPr>
              <w:spacing w:before="120" w:line="276" w:lineRule="auto"/>
              <w:jc w:val="right"/>
              <w:rPr>
                <w:rFonts w:cs="Arial"/>
                <w:color w:val="808080"/>
                <w:sz w:val="16"/>
                <w:szCs w:val="16"/>
                <w:lang w:val="es-ES_tradnl"/>
              </w:rPr>
            </w:pPr>
            <w:r w:rsidRPr="00332758">
              <w:rPr>
                <w:rFonts w:cs="Arial"/>
                <w:sz w:val="16"/>
                <w:szCs w:val="16"/>
                <w:lang w:val="es-ES_tradnl"/>
              </w:rPr>
              <w:t>1.641</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line="276" w:lineRule="auto"/>
              <w:jc w:val="right"/>
              <w:rPr>
                <w:rFonts w:cs="Arial"/>
                <w:sz w:val="16"/>
                <w:szCs w:val="16"/>
                <w:lang w:val="es-ES_tradnl"/>
              </w:rPr>
            </w:pPr>
            <w:r w:rsidRPr="00332758">
              <w:rPr>
                <w:rFonts w:cs="Arial"/>
                <w:sz w:val="16"/>
                <w:szCs w:val="16"/>
                <w:lang w:val="es-ES_tradnl"/>
              </w:rPr>
              <w:t>1.497</w:t>
            </w:r>
          </w:p>
        </w:tc>
      </w:tr>
      <w:tr w:rsidR="0053316D" w:rsidRPr="00A34388" w:rsidTr="0053316D">
        <w:tc>
          <w:tcPr>
            <w:tcW w:w="591" w:type="dxa"/>
            <w:tcBorders>
              <w:top w:val="nil"/>
              <w:left w:val="single" w:sz="4" w:space="0" w:color="auto"/>
              <w:bottom w:val="single" w:sz="4" w:space="0" w:color="auto"/>
              <w:right w:val="nil"/>
            </w:tcBorders>
            <w:shd w:val="clear" w:color="auto" w:fill="FFFFFF"/>
            <w:noWrap/>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IX.13</w:t>
            </w:r>
          </w:p>
        </w:tc>
        <w:tc>
          <w:tcPr>
            <w:tcW w:w="4234" w:type="dxa"/>
            <w:tcBorders>
              <w:top w:val="nil"/>
              <w:left w:val="nil"/>
              <w:bottom w:val="single" w:sz="4" w:space="0" w:color="auto"/>
              <w:right w:val="nil"/>
            </w:tcBorders>
            <w:shd w:val="clear" w:color="auto" w:fill="FFFFFF"/>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El personal directivo superior, los directores de programa y los Estados miembros tienen a su disposición informaciones basadas en datos fidedignos para tomar decisiones.</w:t>
            </w:r>
          </w:p>
        </w:tc>
        <w:tc>
          <w:tcPr>
            <w:tcW w:w="1512"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2.321 </w:t>
            </w:r>
          </w:p>
        </w:tc>
        <w:tc>
          <w:tcPr>
            <w:tcW w:w="1512"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1.598</w:t>
            </w:r>
          </w:p>
        </w:tc>
        <w:tc>
          <w:tcPr>
            <w:tcW w:w="1512" w:type="dxa"/>
            <w:tcBorders>
              <w:top w:val="nil"/>
              <w:left w:val="nil"/>
              <w:bottom w:val="nil"/>
              <w:right w:val="single" w:sz="4" w:space="0" w:color="auto"/>
            </w:tcBorders>
            <w:shd w:val="clear" w:color="auto" w:fill="FFFFFF"/>
            <w:vAlign w:val="center"/>
            <w:hideMark/>
          </w:tcPr>
          <w:p w:rsidR="0053316D" w:rsidRPr="00332758" w:rsidRDefault="0053316D">
            <w:pPr>
              <w:spacing w:before="120" w:after="120" w:line="276" w:lineRule="auto"/>
              <w:jc w:val="right"/>
              <w:rPr>
                <w:rFonts w:cs="Arial"/>
                <w:sz w:val="16"/>
                <w:szCs w:val="16"/>
                <w:lang w:val="es-ES_tradnl"/>
              </w:rPr>
            </w:pPr>
            <w:r w:rsidRPr="00332758">
              <w:rPr>
                <w:rFonts w:cs="Arial"/>
                <w:sz w:val="16"/>
                <w:szCs w:val="16"/>
                <w:lang w:val="es-ES_tradnl"/>
              </w:rPr>
              <w:t xml:space="preserve">1.356 </w:t>
            </w:r>
          </w:p>
        </w:tc>
      </w:tr>
      <w:tr w:rsidR="0053316D" w:rsidRPr="00A34388" w:rsidTr="0053316D">
        <w:tc>
          <w:tcPr>
            <w:tcW w:w="591" w:type="dxa"/>
            <w:tcBorders>
              <w:top w:val="nil"/>
              <w:left w:val="single" w:sz="4" w:space="0" w:color="auto"/>
              <w:bottom w:val="single" w:sz="4" w:space="0" w:color="auto"/>
              <w:right w:val="nil"/>
            </w:tcBorders>
            <w:shd w:val="clear" w:color="auto" w:fill="CCFFFF"/>
            <w:noWrap/>
            <w:vAlign w:val="bottom"/>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 xml:space="preserve"> </w:t>
            </w:r>
          </w:p>
        </w:tc>
        <w:tc>
          <w:tcPr>
            <w:tcW w:w="4234" w:type="dxa"/>
            <w:tcBorders>
              <w:top w:val="nil"/>
              <w:left w:val="nil"/>
              <w:bottom w:val="single" w:sz="4" w:space="0" w:color="auto"/>
              <w:right w:val="nil"/>
            </w:tcBorders>
            <w:shd w:val="clear" w:color="auto" w:fill="CCFFFF"/>
            <w:noWrap/>
            <w:vAlign w:val="center"/>
            <w:hideMark/>
          </w:tcPr>
          <w:p w:rsidR="0053316D" w:rsidRPr="00A34388" w:rsidRDefault="0053316D">
            <w:pPr>
              <w:spacing w:before="120" w:after="120" w:line="276" w:lineRule="auto"/>
              <w:rPr>
                <w:rFonts w:cs="Arial"/>
                <w:b/>
                <w:bCs/>
                <w:color w:val="808080"/>
                <w:sz w:val="16"/>
                <w:szCs w:val="16"/>
                <w:lang w:val="es-ES_tradnl"/>
              </w:rPr>
            </w:pPr>
            <w:r w:rsidRPr="00332758">
              <w:rPr>
                <w:rFonts w:cs="Arial"/>
                <w:b/>
                <w:bCs/>
                <w:sz w:val="16"/>
                <w:szCs w:val="16"/>
                <w:lang w:val="es-ES_tradnl"/>
              </w:rPr>
              <w:t>TOTAL</w:t>
            </w:r>
          </w:p>
        </w:tc>
        <w:tc>
          <w:tcPr>
            <w:tcW w:w="1512"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5.050</w:t>
            </w:r>
          </w:p>
        </w:tc>
        <w:tc>
          <w:tcPr>
            <w:tcW w:w="1512" w:type="dxa"/>
            <w:tcBorders>
              <w:top w:val="single" w:sz="4" w:space="0" w:color="auto"/>
              <w:left w:val="nil"/>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4.792</w:t>
            </w:r>
          </w:p>
        </w:tc>
        <w:tc>
          <w:tcPr>
            <w:tcW w:w="1512" w:type="dxa"/>
            <w:tcBorders>
              <w:top w:val="single" w:sz="4" w:space="0" w:color="auto"/>
              <w:left w:val="nil"/>
              <w:bottom w:val="single" w:sz="4" w:space="0" w:color="auto"/>
              <w:right w:val="single" w:sz="4" w:space="0" w:color="auto"/>
            </w:tcBorders>
            <w:shd w:val="clear" w:color="auto" w:fill="CCFFFF"/>
            <w:vAlign w:val="center"/>
            <w:hideMark/>
          </w:tcPr>
          <w:p w:rsidR="0053316D" w:rsidRPr="00332758" w:rsidRDefault="0053316D">
            <w:pPr>
              <w:spacing w:before="120" w:after="120" w:line="276" w:lineRule="auto"/>
              <w:jc w:val="right"/>
              <w:rPr>
                <w:rFonts w:cs="Arial"/>
                <w:b/>
                <w:bCs/>
                <w:sz w:val="16"/>
                <w:szCs w:val="16"/>
                <w:lang w:val="es-ES_tradnl"/>
              </w:rPr>
            </w:pPr>
            <w:r w:rsidRPr="00332758">
              <w:rPr>
                <w:rFonts w:cs="Arial"/>
                <w:b/>
                <w:bCs/>
                <w:sz w:val="16"/>
                <w:szCs w:val="16"/>
                <w:lang w:val="es-ES_tradnl"/>
              </w:rPr>
              <w:t>4.687</w:t>
            </w:r>
          </w:p>
        </w:tc>
      </w:tr>
    </w:tbl>
    <w:p w:rsidR="0053316D" w:rsidRPr="00A34388" w:rsidRDefault="0053316D" w:rsidP="0053316D">
      <w:pPr>
        <w:rPr>
          <w:lang w:val="es-ES_tradnl"/>
        </w:rPr>
      </w:pPr>
    </w:p>
    <w:p w:rsidR="0053316D" w:rsidRPr="00A34388" w:rsidRDefault="0053316D" w:rsidP="0053316D">
      <w:pPr>
        <w:rPr>
          <w:lang w:val="es-ES_tradnl"/>
        </w:rPr>
      </w:pPr>
    </w:p>
    <w:p w:rsidR="009117FD" w:rsidRDefault="009117FD">
      <w:pPr>
        <w:rPr>
          <w:rFonts w:cs="Arial"/>
          <w:color w:val="000000"/>
          <w:szCs w:val="20"/>
          <w:lang w:val="es-ES_tradnl"/>
        </w:rPr>
      </w:pPr>
      <w:r>
        <w:rPr>
          <w:color w:val="000000"/>
          <w:szCs w:val="20"/>
          <w:lang w:val="es-ES_tradnl"/>
        </w:rPr>
        <w:br w:type="page"/>
      </w: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lastRenderedPageBreak/>
        <w:t xml:space="preserve">Presupuesto y gastos reales (de personal y no relativos al personal)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szCs w:val="20"/>
          <w:lang w:val="es-ES_tradnl"/>
        </w:rPr>
      </w:pPr>
    </w:p>
    <w:tbl>
      <w:tblPr>
        <w:tblW w:w="0" w:type="auto"/>
        <w:tblInd w:w="93" w:type="dxa"/>
        <w:tblLook w:val="04A0" w:firstRow="1" w:lastRow="0" w:firstColumn="1" w:lastColumn="0" w:noHBand="0" w:noVBand="1"/>
      </w:tblPr>
      <w:tblGrid>
        <w:gridCol w:w="2709"/>
        <w:gridCol w:w="1665"/>
        <w:gridCol w:w="1666"/>
        <w:gridCol w:w="1665"/>
        <w:gridCol w:w="1666"/>
      </w:tblGrid>
      <w:tr w:rsidR="0053316D" w:rsidRPr="00A34388" w:rsidTr="0053316D">
        <w:tc>
          <w:tcPr>
            <w:tcW w:w="270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rPr>
                <w:rFonts w:cs="Arial"/>
                <w:color w:val="000000"/>
                <w:sz w:val="16"/>
                <w:szCs w:val="16"/>
                <w:lang w:val="es-ES_tradnl"/>
              </w:rPr>
            </w:pPr>
          </w:p>
        </w:tc>
        <w:tc>
          <w:tcPr>
            <w:tcW w:w="1665"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Presupuesto aprobado 2012/13</w:t>
            </w:r>
          </w:p>
        </w:tc>
        <w:tc>
          <w:tcPr>
            <w:tcW w:w="1666"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65"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Gastos en 2012/13</w:t>
            </w:r>
          </w:p>
        </w:tc>
        <w:tc>
          <w:tcPr>
            <w:tcW w:w="1666"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53316D">
        <w:tc>
          <w:tcPr>
            <w:tcW w:w="2709"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Recursos de personal  </w:t>
            </w:r>
          </w:p>
        </w:tc>
        <w:tc>
          <w:tcPr>
            <w:tcW w:w="1665"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4.250</w:t>
            </w:r>
          </w:p>
        </w:tc>
        <w:tc>
          <w:tcPr>
            <w:tcW w:w="1666"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3.987</w:t>
            </w:r>
          </w:p>
        </w:tc>
        <w:tc>
          <w:tcPr>
            <w:tcW w:w="1665"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3.987</w:t>
            </w:r>
          </w:p>
        </w:tc>
        <w:tc>
          <w:tcPr>
            <w:tcW w:w="1666" w:type="dxa"/>
            <w:tcBorders>
              <w:top w:val="single" w:sz="4" w:space="0" w:color="auto"/>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c>
          <w:tcPr>
            <w:tcW w:w="2709"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Recursos no relativos al personal </w:t>
            </w:r>
          </w:p>
        </w:tc>
        <w:tc>
          <w:tcPr>
            <w:tcW w:w="1665"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800</w:t>
            </w:r>
          </w:p>
        </w:tc>
        <w:tc>
          <w:tcPr>
            <w:tcW w:w="166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805</w:t>
            </w:r>
          </w:p>
        </w:tc>
        <w:tc>
          <w:tcPr>
            <w:tcW w:w="1665"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699</w:t>
            </w:r>
          </w:p>
        </w:tc>
        <w:tc>
          <w:tcPr>
            <w:tcW w:w="1666"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87%</w:t>
            </w:r>
          </w:p>
        </w:tc>
      </w:tr>
      <w:tr w:rsidR="0053316D" w:rsidRPr="00A34388" w:rsidTr="0053316D">
        <w:tc>
          <w:tcPr>
            <w:tcW w:w="2709"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 xml:space="preserve"> TOTAL </w:t>
            </w:r>
          </w:p>
        </w:tc>
        <w:tc>
          <w:tcPr>
            <w:tcW w:w="1665"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5.050</w:t>
            </w:r>
          </w:p>
        </w:tc>
        <w:tc>
          <w:tcPr>
            <w:tcW w:w="1666"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4.792</w:t>
            </w:r>
          </w:p>
        </w:tc>
        <w:tc>
          <w:tcPr>
            <w:tcW w:w="1665"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4.687</w:t>
            </w:r>
          </w:p>
        </w:tc>
        <w:tc>
          <w:tcPr>
            <w:tcW w:w="1666"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b/>
                <w:sz w:val="16"/>
                <w:szCs w:val="16"/>
                <w:lang w:val="es-ES_tradnl"/>
              </w:rPr>
            </w:pPr>
            <w:r w:rsidRPr="00332758">
              <w:rPr>
                <w:rFonts w:cs="Arial"/>
                <w:b/>
                <w:sz w:val="16"/>
                <w:szCs w:val="16"/>
                <w:lang w:val="es-ES_tradnl"/>
              </w:rPr>
              <w:t>98%</w:t>
            </w:r>
          </w:p>
        </w:tc>
      </w:tr>
    </w:tbl>
    <w:p w:rsidR="004C0FD5" w:rsidRPr="00332758" w:rsidRDefault="004C0FD5">
      <w:pPr>
        <w:rPr>
          <w:rFonts w:cs="Arial"/>
          <w:sz w:val="16"/>
          <w:szCs w:val="16"/>
          <w:lang w:val="es-ES_tradnl"/>
        </w:rPr>
      </w:pPr>
    </w:p>
    <w:p w:rsidR="0053316D" w:rsidRPr="00A34388" w:rsidRDefault="0053316D" w:rsidP="0053316D">
      <w:pPr>
        <w:autoSpaceDE w:val="0"/>
        <w:autoSpaceDN w:val="0"/>
        <w:rPr>
          <w:rFonts w:cs="Arial"/>
          <w:sz w:val="16"/>
          <w:szCs w:val="16"/>
          <w:lang w:val="es-ES_tradnl"/>
        </w:rPr>
      </w:pPr>
      <w:r w:rsidRPr="00332758">
        <w:rPr>
          <w:rFonts w:cs="Arial"/>
          <w:sz w:val="16"/>
          <w:szCs w:val="16"/>
          <w:lang w:val="es-ES_tradnl"/>
        </w:rPr>
        <w:t>NOTAS:</w:t>
      </w:r>
    </w:p>
    <w:p w:rsidR="0053316D" w:rsidRPr="00A34388" w:rsidRDefault="0053316D" w:rsidP="0053316D">
      <w:pPr>
        <w:autoSpaceDE w:val="0"/>
        <w:autoSpaceDN w:val="0"/>
        <w:rPr>
          <w:rFonts w:cs="Arial"/>
          <w:sz w:val="16"/>
          <w:szCs w:val="16"/>
          <w:lang w:val="es-ES_tradnl"/>
        </w:rPr>
      </w:pPr>
    </w:p>
    <w:p w:rsidR="0053316D" w:rsidRPr="00A34388" w:rsidRDefault="0053316D" w:rsidP="0053316D">
      <w:pPr>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autoSpaceDE w:val="0"/>
        <w:autoSpaceDN w:val="0"/>
        <w:rPr>
          <w:rFonts w:cs="Arial"/>
          <w:sz w:val="16"/>
          <w:szCs w:val="16"/>
          <w:lang w:val="es-ES_tradnl"/>
        </w:rPr>
      </w:pPr>
    </w:p>
    <w:p w:rsidR="0053316D" w:rsidRPr="00A34388" w:rsidRDefault="0053316D" w:rsidP="004C0FD5">
      <w:pPr>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53316D" w:rsidRPr="00A34388" w:rsidRDefault="0053316D" w:rsidP="0053316D">
      <w:pPr>
        <w:autoSpaceDE w:val="0"/>
        <w:autoSpaceDN w:val="0"/>
        <w:rPr>
          <w:rFonts w:cs="Arial"/>
          <w:sz w:val="16"/>
          <w:szCs w:val="16"/>
          <w:lang w:val="es-ES_tradnl"/>
        </w:rPr>
      </w:pPr>
    </w:p>
    <w:p w:rsidR="0053316D" w:rsidRPr="00A34388" w:rsidRDefault="0053316D" w:rsidP="0053316D">
      <w:pPr>
        <w:rPr>
          <w:rFonts w:cs="Arial"/>
          <w:sz w:val="22"/>
          <w:szCs w:val="22"/>
          <w:lang w:val="es-ES_tradnl"/>
        </w:rPr>
      </w:pPr>
    </w:p>
    <w:p w:rsidR="0053316D" w:rsidRPr="00332758" w:rsidRDefault="0053316D" w:rsidP="0053316D">
      <w:pPr>
        <w:tabs>
          <w:tab w:val="left" w:pos="709"/>
        </w:tabs>
        <w:jc w:val="both"/>
        <w:rPr>
          <w:rFonts w:eastAsia="SimSun" w:cs="Arial"/>
          <w:szCs w:val="20"/>
          <w:u w:val="single"/>
          <w:lang w:val="es-ES_tradnl" w:eastAsia="zh-CN"/>
        </w:rPr>
      </w:pPr>
      <w:r w:rsidRPr="00332758">
        <w:rPr>
          <w:rFonts w:eastAsia="SimSun" w:cs="Arial"/>
          <w:szCs w:val="20"/>
          <w:lang w:val="es-ES_tradnl" w:eastAsia="zh-CN"/>
        </w:rPr>
        <w:t>A.</w:t>
      </w:r>
      <w:r w:rsidRPr="00332758">
        <w:rPr>
          <w:rFonts w:eastAsia="SimSun" w:cs="Arial"/>
          <w:szCs w:val="20"/>
          <w:lang w:val="es-ES_tradnl" w:eastAsia="zh-CN"/>
        </w:rPr>
        <w:tab/>
      </w:r>
      <w:r w:rsidRPr="00332758">
        <w:rPr>
          <w:rFonts w:eastAsia="SimSun" w:cs="Arial"/>
          <w:szCs w:val="20"/>
          <w:u w:val="single"/>
          <w:lang w:val="es-ES_tradnl" w:eastAsia="zh-CN"/>
        </w:rPr>
        <w:t>Presupuesto 2012/13 después de las transferencias</w:t>
      </w:r>
    </w:p>
    <w:p w:rsidR="0053316D" w:rsidRPr="00A34388" w:rsidRDefault="0053316D" w:rsidP="0053316D">
      <w:pPr>
        <w:tabs>
          <w:tab w:val="left" w:pos="709"/>
        </w:tabs>
        <w:jc w:val="both"/>
        <w:rPr>
          <w:rFonts w:cs="Arial"/>
          <w:szCs w:val="20"/>
          <w:u w:val="single"/>
          <w:lang w:val="es-ES_tradnl"/>
        </w:rPr>
      </w:pPr>
    </w:p>
    <w:p w:rsidR="0053316D" w:rsidRPr="00A34388" w:rsidRDefault="0053316D" w:rsidP="0053316D">
      <w:pPr>
        <w:keepNext/>
        <w:tabs>
          <w:tab w:val="left" w:pos="709"/>
        </w:tabs>
        <w:autoSpaceDE w:val="0"/>
        <w:autoSpaceDN w:val="0"/>
        <w:jc w:val="both"/>
        <w:rPr>
          <w:rFonts w:cs="Arial"/>
          <w:szCs w:val="20"/>
          <w:lang w:val="es-ES_tradnl"/>
        </w:rPr>
      </w:pPr>
      <w:r w:rsidRPr="00332758">
        <w:rPr>
          <w:rFonts w:cs="Arial"/>
          <w:szCs w:val="20"/>
          <w:lang w:val="es-ES_tradnl"/>
        </w:rPr>
        <w:t>26.11.</w:t>
      </w:r>
      <w:r w:rsidRPr="00332758">
        <w:rPr>
          <w:rFonts w:cs="Arial"/>
          <w:szCs w:val="20"/>
          <w:lang w:val="es-ES_tradnl"/>
        </w:rPr>
        <w:tab/>
        <w:t xml:space="preserve">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  </w:t>
      </w:r>
      <w:r w:rsidR="005163F2" w:rsidRPr="00A34388">
        <w:rPr>
          <w:rFonts w:cs="Arial"/>
          <w:szCs w:val="20"/>
          <w:lang w:val="es-ES_tradnl"/>
        </w:rPr>
        <w:t xml:space="preserve">Esto se vio contrarrestado por </w:t>
      </w:r>
      <w:r w:rsidRPr="00A34388">
        <w:rPr>
          <w:rFonts w:cs="Arial"/>
          <w:szCs w:val="20"/>
          <w:lang w:val="es-ES_tradnl"/>
        </w:rPr>
        <w:t xml:space="preserve">la transferencia </w:t>
      </w:r>
      <w:r w:rsidR="005163F2" w:rsidRPr="00A34388">
        <w:rPr>
          <w:rFonts w:cs="Arial"/>
          <w:szCs w:val="20"/>
          <w:lang w:val="es-ES_tradnl"/>
        </w:rPr>
        <w:t xml:space="preserve">al programa </w:t>
      </w:r>
      <w:r w:rsidRPr="00A34388">
        <w:rPr>
          <w:rFonts w:cs="Arial"/>
          <w:szCs w:val="20"/>
          <w:lang w:val="es-ES_tradnl"/>
        </w:rPr>
        <w:t xml:space="preserve">de recursos adicionales para la realización de una revisión externa independiente del programa de asistencia técnica de la OMPI en países objeto de sanciones de las NN.UU.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eastAsia="SimSun" w:cs="Arial"/>
          <w:szCs w:val="20"/>
          <w:lang w:val="es-ES_tradnl" w:eastAsia="zh-CN"/>
        </w:rPr>
      </w:pPr>
      <w:r w:rsidRPr="00A34388">
        <w:rPr>
          <w:rFonts w:eastAsia="SimSun" w:cs="Arial"/>
          <w:szCs w:val="20"/>
          <w:lang w:val="es-ES_tradnl" w:eastAsia="zh-CN"/>
        </w:rPr>
        <w:t>B.</w:t>
      </w:r>
      <w:r w:rsidRPr="00A34388">
        <w:rPr>
          <w:rFonts w:eastAsia="SimSun" w:cs="Arial"/>
          <w:szCs w:val="20"/>
          <w:lang w:val="es-ES_tradnl" w:eastAsia="zh-CN"/>
        </w:rPr>
        <w:tab/>
      </w:r>
      <w:r w:rsidRPr="00A34388">
        <w:rPr>
          <w:rFonts w:eastAsia="SimSun" w:cs="Arial"/>
          <w:szCs w:val="20"/>
          <w:u w:val="single"/>
          <w:lang w:val="es-ES_tradnl" w:eastAsia="zh-CN"/>
        </w:rPr>
        <w:t xml:space="preserve">Utilización del presupuesto </w:t>
      </w:r>
      <w:r w:rsidR="00B52447" w:rsidRPr="00A34388">
        <w:rPr>
          <w:u w:val="single"/>
          <w:lang w:val="es-ES_tradnl"/>
        </w:rPr>
        <w:t>en 2012/13</w:t>
      </w:r>
    </w:p>
    <w:p w:rsidR="0053316D" w:rsidRPr="00A34388" w:rsidRDefault="0053316D" w:rsidP="0053316D">
      <w:pPr>
        <w:tabs>
          <w:tab w:val="left" w:pos="709"/>
        </w:tabs>
        <w:jc w:val="both"/>
        <w:rPr>
          <w:rFonts w:eastAsia="SimSun" w:cs="Arial"/>
          <w:szCs w:val="20"/>
          <w:lang w:val="es-ES_tradnl" w:eastAsia="zh-CN"/>
        </w:rPr>
      </w:pPr>
    </w:p>
    <w:p w:rsidR="0053316D" w:rsidRPr="00A34388" w:rsidRDefault="0053316D" w:rsidP="0053316D">
      <w:pPr>
        <w:pStyle w:val="ListParagraph"/>
        <w:tabs>
          <w:tab w:val="left" w:pos="720"/>
        </w:tabs>
        <w:ind w:left="0"/>
        <w:jc w:val="both"/>
        <w:rPr>
          <w:rFonts w:cs="Arial"/>
          <w:lang w:val="es-ES_tradnl"/>
        </w:rPr>
      </w:pPr>
      <w:r w:rsidRPr="00A34388">
        <w:rPr>
          <w:rFonts w:cs="Arial"/>
          <w:lang w:val="es-ES_tradnl"/>
        </w:rPr>
        <w:t>26.12.</w:t>
      </w:r>
      <w:r w:rsidRPr="00A34388">
        <w:rPr>
          <w:rFonts w:cs="Arial"/>
          <w:lang w:val="es-ES_tradnl"/>
        </w:rPr>
        <w:tab/>
        <w:t xml:space="preserve">La utilización del presupuesto refleja un ligero incremento </w:t>
      </w:r>
      <w:r w:rsidR="000A4C66" w:rsidRPr="00A34388">
        <w:rPr>
          <w:rFonts w:cs="Arial"/>
          <w:lang w:val="es-ES_tradnl"/>
        </w:rPr>
        <w:t xml:space="preserve">de </w:t>
      </w:r>
      <w:r w:rsidRPr="00A34388">
        <w:rPr>
          <w:rFonts w:cs="Arial"/>
          <w:lang w:val="es-ES_tradnl"/>
        </w:rPr>
        <w:t xml:space="preserve">los recursos dedicados a actividades relacionadas con auditorías </w:t>
      </w:r>
      <w:r w:rsidR="009344B7" w:rsidRPr="00A34388">
        <w:rPr>
          <w:rFonts w:cs="Arial"/>
          <w:lang w:val="es-ES_tradnl"/>
        </w:rPr>
        <w:t xml:space="preserve">en el marco del </w:t>
      </w:r>
      <w:r w:rsidRPr="00A34388">
        <w:rPr>
          <w:rFonts w:cs="Arial"/>
          <w:lang w:val="es-ES_tradnl"/>
        </w:rPr>
        <w:t>resultado IX.11 (Instauración de un sistema eficaz y profesional de auditoría interna</w:t>
      </w:r>
      <w:r w:rsidRPr="00A34388">
        <w:rPr>
          <w:rFonts w:cs="Arial"/>
          <w:color w:val="000000"/>
          <w:lang w:val="es-ES_tradnl"/>
        </w:rPr>
        <w:t>)</w:t>
      </w:r>
      <w:r w:rsidR="009344B7" w:rsidRPr="00A34388">
        <w:rPr>
          <w:rFonts w:cs="Arial"/>
          <w:color w:val="000000"/>
          <w:lang w:val="es-ES_tradnl"/>
        </w:rPr>
        <w:t>,</w:t>
      </w:r>
      <w:r w:rsidRPr="00A34388">
        <w:rPr>
          <w:rFonts w:cs="Arial"/>
          <w:lang w:val="es-ES_tradnl"/>
        </w:rPr>
        <w:t xml:space="preserve"> debido, entre otras razones, al gasto en expertos externos para llevar a cabo auditorías e investigaciones especializadas.  Esto fue compensado por un descenso de los recursos utilizados en las evaluaciones </w:t>
      </w:r>
      <w:r w:rsidR="009344B7" w:rsidRPr="00A34388">
        <w:rPr>
          <w:rFonts w:cs="Arial"/>
          <w:lang w:val="es-ES_tradnl"/>
        </w:rPr>
        <w:t xml:space="preserve">en el marco del </w:t>
      </w:r>
      <w:r w:rsidRPr="00A34388">
        <w:rPr>
          <w:rFonts w:cs="Arial"/>
          <w:lang w:val="es-ES_tradnl"/>
        </w:rPr>
        <w:t>resultado IX.13 (Informaciones basadas en datos fidedignos para tomar decisiones), debido sobre todo a que los costos de los proveedores de servicios individuales externos fueron inferiores a los inicialmente previstos.</w:t>
      </w:r>
    </w:p>
    <w:p w:rsidR="0053316D" w:rsidRPr="00A34388" w:rsidRDefault="0053316D" w:rsidP="0053316D">
      <w:pPr>
        <w:pStyle w:val="ListParagraph"/>
        <w:tabs>
          <w:tab w:val="left" w:pos="720"/>
        </w:tabs>
        <w:ind w:left="0"/>
        <w:jc w:val="both"/>
        <w:rPr>
          <w:rFonts w:cs="Arial"/>
          <w:lang w:val="es-ES_tradnl"/>
        </w:rPr>
      </w:pPr>
    </w:p>
    <w:p w:rsidR="004C0FD5" w:rsidRPr="00A34388" w:rsidRDefault="004C0FD5">
      <w:pPr>
        <w:rPr>
          <w:rFonts w:cs="Arial"/>
          <w:szCs w:val="20"/>
          <w:lang w:val="es-ES_tradnl"/>
        </w:rPr>
      </w:pPr>
      <w:bookmarkStart w:id="102" w:name="_Toc392852668"/>
      <w:r w:rsidRPr="00A34388">
        <w:rPr>
          <w:rFonts w:cs="Arial"/>
          <w:b/>
          <w:bCs/>
          <w:caps/>
          <w:szCs w:val="20"/>
          <w:lang w:val="es-ES_tradnl"/>
        </w:rPr>
        <w:br w:type="page"/>
      </w:r>
    </w:p>
    <w:p w:rsidR="001F2211" w:rsidRPr="003934C8" w:rsidRDefault="001F2211" w:rsidP="001F2211">
      <w:pPr>
        <w:pStyle w:val="Heading3"/>
        <w:rPr>
          <w:rFonts w:hint="eastAsia"/>
          <w:lang w:val="es-ES"/>
        </w:rPr>
      </w:pPr>
      <w:bookmarkStart w:id="103" w:name="_Toc395279688"/>
      <w:bookmarkEnd w:id="102"/>
      <w:r w:rsidRPr="003934C8">
        <w:rPr>
          <w:lang w:val="es-ES"/>
        </w:rPr>
        <w:lastRenderedPageBreak/>
        <w:t>Programa 27</w:t>
      </w:r>
      <w:r w:rsidRPr="003934C8">
        <w:rPr>
          <w:lang w:val="es-ES"/>
        </w:rPr>
        <w:tab/>
        <w:t>Servicios de conferencia y lingüísticos</w:t>
      </w:r>
      <w:bookmarkEnd w:id="103"/>
    </w:p>
    <w:p w:rsidR="001F2211" w:rsidRPr="00D42A38" w:rsidRDefault="001F2211" w:rsidP="001F2211">
      <w:pPr>
        <w:rPr>
          <w:b/>
          <w:sz w:val="22"/>
          <w:szCs w:val="22"/>
          <w:lang w:val="es-ES_tradnl"/>
        </w:rPr>
      </w:pPr>
    </w:p>
    <w:p w:rsidR="001F2211" w:rsidRPr="00D42A38" w:rsidRDefault="001F2211" w:rsidP="001F2211">
      <w:pPr>
        <w:rPr>
          <w:b/>
          <w:sz w:val="22"/>
          <w:szCs w:val="22"/>
          <w:lang w:val="es-ES_tradnl"/>
        </w:rPr>
      </w:pPr>
      <w:bookmarkStart w:id="104" w:name="_Toc394914540"/>
      <w:r w:rsidRPr="00D42A38">
        <w:rPr>
          <w:b/>
          <w:sz w:val="22"/>
          <w:szCs w:val="22"/>
          <w:lang w:val="es-ES_tradnl"/>
        </w:rPr>
        <w:t>Director del Programa</w:t>
      </w:r>
      <w:r w:rsidRPr="00D42A38">
        <w:rPr>
          <w:b/>
          <w:sz w:val="22"/>
          <w:szCs w:val="22"/>
          <w:lang w:val="es-ES_tradnl"/>
        </w:rPr>
        <w:tab/>
        <w:t>Sr. A. Sundaram</w:t>
      </w:r>
      <w:bookmarkEnd w:id="104"/>
    </w:p>
    <w:p w:rsidR="0071153F" w:rsidRPr="00A34388" w:rsidRDefault="0071153F" w:rsidP="0053316D">
      <w:pPr>
        <w:rPr>
          <w:rFonts w:cs="Arial"/>
          <w:bCs/>
          <w:sz w:val="22"/>
          <w:szCs w:val="22"/>
          <w:lang w:val="es-ES_tradnl"/>
        </w:rPr>
      </w:pPr>
    </w:p>
    <w:p w:rsidR="0071153F" w:rsidRPr="00A34388" w:rsidRDefault="0071153F" w:rsidP="0053316D">
      <w:pPr>
        <w:rPr>
          <w:rFonts w:cs="Arial"/>
          <w:bCs/>
          <w:sz w:val="22"/>
          <w:szCs w:val="22"/>
          <w:lang w:val="es-ES_tradnl"/>
        </w:rPr>
      </w:pPr>
    </w:p>
    <w:p w:rsidR="0053316D" w:rsidRPr="00A34388" w:rsidRDefault="0053316D" w:rsidP="0053316D">
      <w:pPr>
        <w:rPr>
          <w:rFonts w:cs="Arial"/>
          <w:sz w:val="22"/>
          <w:szCs w:val="22"/>
          <w:lang w:val="es-ES_tradnl"/>
        </w:rPr>
      </w:pPr>
      <w:r w:rsidRPr="00A34388">
        <w:rPr>
          <w:rFonts w:cs="Arial"/>
          <w:bCs/>
          <w:sz w:val="22"/>
          <w:szCs w:val="22"/>
          <w:lang w:val="es-ES_tradnl"/>
        </w:rPr>
        <w:t>AVANCES LOGRADOS EN EL BIENIO 2012/13</w:t>
      </w:r>
    </w:p>
    <w:p w:rsidR="0071153F" w:rsidRPr="00A34388" w:rsidRDefault="0071153F" w:rsidP="0071153F">
      <w:pPr>
        <w:rPr>
          <w:lang w:val="es-ES_tradnl"/>
        </w:rPr>
      </w:pPr>
    </w:p>
    <w:p w:rsidR="0053316D" w:rsidRPr="00A34388" w:rsidRDefault="0053316D" w:rsidP="0053316D">
      <w:pPr>
        <w:tabs>
          <w:tab w:val="left" w:pos="709"/>
        </w:tabs>
        <w:autoSpaceDE w:val="0"/>
        <w:autoSpaceDN w:val="0"/>
        <w:adjustRightInd w:val="0"/>
        <w:jc w:val="both"/>
        <w:rPr>
          <w:rFonts w:eastAsia="Batang" w:cs="Arial"/>
          <w:color w:val="000000"/>
          <w:szCs w:val="20"/>
          <w:lang w:val="es-ES_tradnl" w:eastAsia="ja-JP"/>
        </w:rPr>
      </w:pPr>
      <w:r w:rsidRPr="00332758">
        <w:rPr>
          <w:rFonts w:eastAsia="Batang" w:cs="Arial"/>
          <w:szCs w:val="20"/>
          <w:lang w:val="es-ES_tradnl" w:eastAsia="ja-JP"/>
        </w:rPr>
        <w:t>27.1.</w:t>
      </w:r>
      <w:r w:rsidRPr="00332758">
        <w:rPr>
          <w:rFonts w:eastAsia="Batang" w:cs="Arial"/>
          <w:szCs w:val="20"/>
          <w:lang w:val="es-ES_tradnl" w:eastAsia="ja-JP"/>
        </w:rPr>
        <w:tab/>
        <w:t>La aplicación de la política lingüística de la OMPI, adoptada por los Estados miembros en las Asambleas de 2011, comenzó en 2012, poniéndose a disposición en los seis idiomas los documentos de las reuniones de todos los comités de la OMPI, así como los de la mayoría de los órganos principales, y terminó al final del bienio.  A raíz de la ampliación de la cobertura lingüística, los volúmenes de traducción experimentaron un notable crecimiento en el bienio.</w:t>
      </w:r>
      <w:r w:rsidRPr="00A34388">
        <w:rPr>
          <w:rFonts w:eastAsia="Batang" w:cs="Arial"/>
          <w:color w:val="000000"/>
          <w:szCs w:val="20"/>
          <w:lang w:val="es-ES_tradnl" w:eastAsia="ja-JP"/>
        </w:rPr>
        <w:t xml:space="preserve">  Frente al total de 24,52 millones de palabras (74.331</w:t>
      </w:r>
      <w:r w:rsidRPr="00A34388">
        <w:rPr>
          <w:rFonts w:eastAsia="Batang" w:cs="Arial"/>
          <w:color w:val="000000"/>
          <w:szCs w:val="20"/>
          <w:vertAlign w:val="superscript"/>
          <w:lang w:val="es-ES_tradnl" w:eastAsia="ja-JP"/>
        </w:rPr>
        <w:footnoteReference w:id="43"/>
      </w:r>
      <w:r w:rsidRPr="00A34388">
        <w:rPr>
          <w:rFonts w:eastAsia="Batang" w:cs="Arial"/>
          <w:color w:val="000000"/>
          <w:szCs w:val="20"/>
          <w:lang w:val="es-ES_tradnl" w:eastAsia="ja-JP"/>
        </w:rPr>
        <w:t xml:space="preserve"> páginas estándar de las NN.UU.) traducidas en 2010/11, un total de 33,17 millones de palabras (100.524</w:t>
      </w:r>
      <w:r w:rsidRPr="00A34388">
        <w:rPr>
          <w:rFonts w:eastAsia="Batang" w:cs="Arial"/>
          <w:color w:val="000000"/>
          <w:szCs w:val="20"/>
          <w:vertAlign w:val="superscript"/>
          <w:lang w:val="es-ES_tradnl" w:eastAsia="ja-JP"/>
        </w:rPr>
        <w:footnoteReference w:id="44"/>
      </w:r>
      <w:r w:rsidRPr="00A34388">
        <w:rPr>
          <w:rFonts w:eastAsia="Batang" w:cs="Arial"/>
          <w:color w:val="000000"/>
          <w:szCs w:val="20"/>
          <w:lang w:val="es-ES_tradnl" w:eastAsia="ja-JP"/>
        </w:rPr>
        <w:t xml:space="preserve"> páginas estándar de las NN.UU.) fueron traducidas durante 2012/13, lo que representa un aumento de la carga de trabajo del 35% </w:t>
      </w:r>
      <w:r w:rsidR="00707FF0" w:rsidRPr="00A34388">
        <w:rPr>
          <w:rFonts w:eastAsia="Batang" w:cs="Arial"/>
          <w:color w:val="000000"/>
          <w:szCs w:val="20"/>
          <w:lang w:val="es-ES_tradnl" w:eastAsia="ja-JP"/>
        </w:rPr>
        <w:t xml:space="preserve">en </w:t>
      </w:r>
      <w:r w:rsidRPr="00A34388">
        <w:rPr>
          <w:rFonts w:eastAsia="Batang" w:cs="Arial"/>
          <w:color w:val="000000"/>
          <w:szCs w:val="20"/>
          <w:lang w:val="es-ES_tradnl" w:eastAsia="ja-JP"/>
        </w:rPr>
        <w:t xml:space="preserve">el bienio.  Los efectos de la nueva política lingüística fueron objeto de un seguimiento estricto a lo largo de 2012, y en 2013 se aplicaron rigurosas medidas de racionalización y control a fin de contener el incremento.  Mientras que entre los años 2011 y 2012 se produjo un aumento del 53%, el número de palabras traducidas en 2013 descendió en un 18% en comparación con las cifras de 2012. </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tabs>
          <w:tab w:val="left" w:pos="709"/>
        </w:tabs>
        <w:autoSpaceDE w:val="0"/>
        <w:autoSpaceDN w:val="0"/>
        <w:adjustRightInd w:val="0"/>
        <w:jc w:val="both"/>
        <w:rPr>
          <w:rFonts w:eastAsia="Batang" w:cs="Arial"/>
          <w:color w:val="000000"/>
          <w:szCs w:val="20"/>
          <w:lang w:val="es-ES_tradnl" w:eastAsia="ja-JP"/>
        </w:rPr>
      </w:pPr>
      <w:r w:rsidRPr="00A34388">
        <w:rPr>
          <w:rFonts w:eastAsia="Batang" w:cs="Arial"/>
          <w:color w:val="000000"/>
          <w:szCs w:val="20"/>
          <w:lang w:val="es-ES_tradnl" w:eastAsia="ja-JP"/>
        </w:rPr>
        <w:t>27.2.</w:t>
      </w:r>
      <w:r w:rsidRPr="00A34388">
        <w:rPr>
          <w:rFonts w:eastAsia="Batang" w:cs="Arial"/>
          <w:color w:val="000000"/>
          <w:szCs w:val="20"/>
          <w:lang w:val="es-ES_tradnl" w:eastAsia="ja-JP"/>
        </w:rPr>
        <w:tab/>
        <w:t xml:space="preserve">La Secretaría siguió recurriendo en mayor medida a la externalización de los servicios de traducción, externalizándose durante el bienio el 56% de la carga de trabajo tanto hacia empresas de traducción como hacia profesionales autónomos.  Para mejorar aún más la calidad de las traducciones, simplificar los procedimientos de trabajo y desarrollar plataformas de bases de datos terminológicas multilingües, las herramientas de traducción asistida por computadora identificadas a finales de 2012 fueron implantadas satisfactoriamente en 2013.  Este tipo de herramientas han quedado ya plenamente incorporadas </w:t>
      </w:r>
      <w:r w:rsidR="00707FF0" w:rsidRPr="00A34388">
        <w:rPr>
          <w:rFonts w:eastAsia="Batang" w:cs="Arial"/>
          <w:color w:val="000000"/>
          <w:szCs w:val="20"/>
          <w:lang w:val="es-ES_tradnl" w:eastAsia="ja-JP"/>
        </w:rPr>
        <w:t xml:space="preserve">en </w:t>
      </w:r>
      <w:r w:rsidRPr="00A34388">
        <w:rPr>
          <w:rFonts w:eastAsia="Batang" w:cs="Arial"/>
          <w:color w:val="000000"/>
          <w:szCs w:val="20"/>
          <w:lang w:val="es-ES_tradnl" w:eastAsia="ja-JP"/>
        </w:rPr>
        <w:t>la labor del programa.</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332758" w:rsidRDefault="0053316D" w:rsidP="0053316D">
      <w:pPr>
        <w:tabs>
          <w:tab w:val="left" w:pos="709"/>
        </w:tabs>
        <w:autoSpaceDE w:val="0"/>
        <w:autoSpaceDN w:val="0"/>
        <w:adjustRightInd w:val="0"/>
        <w:jc w:val="both"/>
        <w:rPr>
          <w:rFonts w:eastAsia="Batang" w:cs="Arial"/>
          <w:szCs w:val="20"/>
          <w:lang w:val="es-ES_tradnl" w:eastAsia="ja-JP"/>
        </w:rPr>
      </w:pPr>
      <w:r w:rsidRPr="00332758">
        <w:rPr>
          <w:rFonts w:eastAsia="Batang" w:cs="Arial"/>
          <w:szCs w:val="20"/>
          <w:lang w:val="es-ES_tradnl" w:eastAsia="ja-JP"/>
        </w:rPr>
        <w:t>27.3.</w:t>
      </w:r>
      <w:r w:rsidRPr="00332758">
        <w:rPr>
          <w:rFonts w:eastAsia="Batang" w:cs="Arial"/>
          <w:szCs w:val="20"/>
          <w:lang w:val="es-ES_tradnl" w:eastAsia="ja-JP"/>
        </w:rPr>
        <w:tab/>
        <w:t xml:space="preserve">Se continuó suministrando servicios de interpretación para todas las reuniones de la OMPI celebradas en la Sede o en otros lugares, según las necesidades.  </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tabs>
          <w:tab w:val="left" w:pos="709"/>
        </w:tabs>
        <w:autoSpaceDE w:val="0"/>
        <w:autoSpaceDN w:val="0"/>
        <w:adjustRightInd w:val="0"/>
        <w:jc w:val="both"/>
        <w:rPr>
          <w:rFonts w:eastAsia="Batang" w:cs="Arial"/>
          <w:color w:val="000000"/>
          <w:szCs w:val="20"/>
          <w:lang w:val="es-ES_tradnl" w:eastAsia="ja-JP"/>
        </w:rPr>
      </w:pPr>
      <w:r w:rsidRPr="00A34388">
        <w:rPr>
          <w:rFonts w:eastAsia="Batang" w:cs="Arial"/>
          <w:color w:val="000000"/>
          <w:szCs w:val="20"/>
          <w:lang w:val="es-ES_tradnl" w:eastAsia="ja-JP"/>
        </w:rPr>
        <w:t>27.4.</w:t>
      </w:r>
      <w:r w:rsidRPr="00A34388">
        <w:rPr>
          <w:rFonts w:eastAsia="Batang" w:cs="Arial"/>
          <w:color w:val="000000"/>
          <w:szCs w:val="20"/>
          <w:lang w:val="es-ES_tradnl" w:eastAsia="ja-JP"/>
        </w:rPr>
        <w:tab/>
        <w:t>El programa participó de manera activa en la organización de la Conferencia Diplomática sobre la Protección de las Interpretaciones y Ejecuciones Audiovisuales celebrada en Beijing en junio de 2012, así como en la organización de la Conferencia Diplomática sobre la conclusión de un tratado que facilite a las personas con discapacidad visual y a las personas con dificultad para acceder al texto impreso el acceso a las obras publicadas en Marrakech, Marruecos, en junio de 2013.  Prestó servicios de conferencia, traducción e interpretación en ambos eventos, a los que asistieron alrededor de 900 participantes.</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tabs>
          <w:tab w:val="left" w:pos="709"/>
        </w:tabs>
        <w:autoSpaceDE w:val="0"/>
        <w:autoSpaceDN w:val="0"/>
        <w:adjustRightInd w:val="0"/>
        <w:jc w:val="both"/>
        <w:rPr>
          <w:rFonts w:eastAsia="Batang" w:cs="Arial"/>
          <w:color w:val="000000"/>
          <w:spacing w:val="-2"/>
          <w:szCs w:val="20"/>
          <w:lang w:val="es-ES_tradnl" w:eastAsia="ja-JP"/>
        </w:rPr>
      </w:pPr>
      <w:r w:rsidRPr="00332758">
        <w:rPr>
          <w:rFonts w:eastAsia="Batang" w:cs="Arial"/>
          <w:szCs w:val="20"/>
          <w:lang w:val="es-ES_tradnl" w:eastAsia="ja-JP"/>
        </w:rPr>
        <w:t>27.5</w:t>
      </w:r>
      <w:r w:rsidRPr="00332758">
        <w:rPr>
          <w:rFonts w:eastAsia="Batang" w:cs="Arial"/>
          <w:szCs w:val="20"/>
          <w:lang w:val="es-ES_tradnl" w:eastAsia="ja-JP"/>
        </w:rPr>
        <w:tab/>
        <w:t xml:space="preserve">Durante el bienio siguieron mejorándose los servicios para los delegados (difusión por Internet, video previa solicitud, inscripción en línea, </w:t>
      </w:r>
      <w:r w:rsidR="00707FF0" w:rsidRPr="00332758">
        <w:rPr>
          <w:rFonts w:eastAsiaTheme="minorHAnsi" w:cs="Arial"/>
          <w:szCs w:val="20"/>
          <w:lang w:val="es-ES_tradnl"/>
        </w:rPr>
        <w:t>etcétera</w:t>
      </w:r>
      <w:r w:rsidRPr="00332758">
        <w:rPr>
          <w:rFonts w:eastAsia="Batang" w:cs="Arial"/>
          <w:szCs w:val="20"/>
          <w:lang w:val="es-ES_tradnl" w:eastAsia="ja-JP"/>
        </w:rPr>
        <w:t xml:space="preserve">).  </w:t>
      </w:r>
      <w:r w:rsidRPr="00A34388">
        <w:rPr>
          <w:rFonts w:eastAsia="Batang" w:cs="Arial"/>
          <w:szCs w:val="20"/>
          <w:lang w:val="es-ES_tradnl" w:eastAsia="ja-JP"/>
        </w:rPr>
        <w:t>El uso de la inscripción en línea se extendió a todos los comités y órganos principales de la OMPI;  asimismo, se introdujo, para l</w:t>
      </w:r>
      <w:r w:rsidR="00707FF0" w:rsidRPr="00A34388">
        <w:rPr>
          <w:rFonts w:eastAsia="Batang" w:cs="Arial"/>
          <w:szCs w:val="20"/>
          <w:lang w:val="es-ES_tradnl" w:eastAsia="ja-JP"/>
        </w:rPr>
        <w:t>o</w:t>
      </w:r>
      <w:r w:rsidRPr="00A34388">
        <w:rPr>
          <w:rFonts w:eastAsia="Batang" w:cs="Arial"/>
          <w:szCs w:val="20"/>
          <w:lang w:val="es-ES_tradnl" w:eastAsia="ja-JP"/>
        </w:rPr>
        <w:t xml:space="preserve">s dos </w:t>
      </w:r>
      <w:r w:rsidR="00707FF0" w:rsidRPr="00A34388">
        <w:rPr>
          <w:rFonts w:eastAsia="Batang" w:cs="Arial"/>
          <w:szCs w:val="20"/>
          <w:lang w:val="es-ES_tradnl" w:eastAsia="ja-JP"/>
        </w:rPr>
        <w:t xml:space="preserve">períodos de </w:t>
      </w:r>
      <w:r w:rsidRPr="00A34388">
        <w:rPr>
          <w:rFonts w:eastAsia="Batang" w:cs="Arial"/>
          <w:szCs w:val="20"/>
          <w:lang w:val="es-ES_tradnl" w:eastAsia="ja-JP"/>
        </w:rPr>
        <w:t xml:space="preserve">sesiones de Asambleas celebradas en 2013, </w:t>
      </w:r>
      <w:r w:rsidRPr="00A34388">
        <w:rPr>
          <w:rFonts w:eastAsia="Batang" w:cs="Arial"/>
          <w:color w:val="000000"/>
          <w:szCs w:val="20"/>
          <w:lang w:val="es-ES_tradnl" w:eastAsia="ja-JP"/>
        </w:rPr>
        <w:t>una versión mejorada del sistema de inscripción por Internet, que incluye la función de facilitar la inscripción a los delegados ya registrados</w:t>
      </w:r>
      <w:r w:rsidRPr="00A34388">
        <w:rPr>
          <w:rFonts w:eastAsia="Batang" w:cs="Arial"/>
          <w:color w:val="000000"/>
          <w:spacing w:val="-2"/>
          <w:szCs w:val="20"/>
          <w:lang w:val="es-ES_tradnl" w:eastAsia="ja-JP"/>
        </w:rPr>
        <w:t>.</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tabs>
          <w:tab w:val="left" w:pos="709"/>
        </w:tabs>
        <w:autoSpaceDE w:val="0"/>
        <w:autoSpaceDN w:val="0"/>
        <w:adjustRightInd w:val="0"/>
        <w:jc w:val="both"/>
        <w:rPr>
          <w:rFonts w:eastAsia="Batang" w:cs="Arial"/>
          <w:color w:val="000000"/>
          <w:szCs w:val="20"/>
          <w:lang w:val="es-ES_tradnl" w:eastAsia="ja-JP"/>
        </w:rPr>
      </w:pPr>
      <w:r w:rsidRPr="00A34388">
        <w:rPr>
          <w:rFonts w:eastAsia="Batang" w:cs="Arial"/>
          <w:color w:val="000000"/>
          <w:szCs w:val="20"/>
          <w:lang w:val="es-ES_tradnl" w:eastAsia="ja-JP"/>
        </w:rPr>
        <w:t>27.6.</w:t>
      </w:r>
      <w:r w:rsidRPr="00A34388">
        <w:rPr>
          <w:rFonts w:eastAsia="Batang" w:cs="Arial"/>
          <w:color w:val="000000"/>
          <w:szCs w:val="20"/>
          <w:lang w:val="es-ES_tradnl" w:eastAsia="ja-JP"/>
        </w:rPr>
        <w:tab/>
        <w:t xml:space="preserve">Durante el bienio, se celebraron en Ginebra alrededor de 260 reuniones intergubernamentales, frente a las 250 del bienio 2010/11.  El número de reuniones ad hoc atendidas (visitas de estudio, consultas, grupos, reuniones bilaterales, actos paralelos, visitas oficiales y reuniones internas), aumentaron hasta 11.200, frente a las 6.560 de 2010/11.  Asimismo, se organizaron un total de 167 reuniones fuera del horario normal, es decir, después de las 18.30 horas o en fines de semana.  </w:t>
      </w:r>
    </w:p>
    <w:p w:rsidR="0053316D" w:rsidRPr="00A34388" w:rsidRDefault="0053316D" w:rsidP="0053316D">
      <w:pPr>
        <w:tabs>
          <w:tab w:val="left" w:pos="709"/>
        </w:tabs>
        <w:autoSpaceDE w:val="0"/>
        <w:autoSpaceDN w:val="0"/>
        <w:adjustRightInd w:val="0"/>
        <w:jc w:val="both"/>
        <w:rPr>
          <w:rFonts w:eastAsia="Batang" w:cs="Arial"/>
          <w:color w:val="000000"/>
          <w:sz w:val="16"/>
          <w:szCs w:val="16"/>
          <w:lang w:val="es-ES_tradnl" w:eastAsia="ja-JP"/>
        </w:rPr>
      </w:pPr>
    </w:p>
    <w:p w:rsidR="0053316D" w:rsidRPr="00A34388" w:rsidRDefault="0053316D" w:rsidP="0053316D">
      <w:pPr>
        <w:keepLines/>
        <w:tabs>
          <w:tab w:val="left" w:pos="709"/>
        </w:tabs>
        <w:autoSpaceDE w:val="0"/>
        <w:autoSpaceDN w:val="0"/>
        <w:adjustRightInd w:val="0"/>
        <w:jc w:val="both"/>
        <w:rPr>
          <w:rFonts w:cs="Arial"/>
          <w:bCs/>
          <w:color w:val="000000"/>
          <w:szCs w:val="20"/>
          <w:lang w:val="es-ES_tradnl"/>
        </w:rPr>
      </w:pPr>
      <w:r w:rsidRPr="00A34388">
        <w:rPr>
          <w:rFonts w:cs="Arial"/>
          <w:bCs/>
          <w:color w:val="000000"/>
          <w:szCs w:val="20"/>
          <w:lang w:val="es-ES_tradnl"/>
        </w:rPr>
        <w:t>27.7.</w:t>
      </w:r>
      <w:r w:rsidRPr="00A34388">
        <w:rPr>
          <w:rFonts w:cs="Arial"/>
          <w:bCs/>
          <w:color w:val="000000"/>
          <w:szCs w:val="20"/>
          <w:lang w:val="es-ES_tradnl"/>
        </w:rPr>
        <w:tab/>
        <w:t>La Política de gestión y archivado de documentos, adoptada durante el bienio, sirvió como marco general para el desarrollo futuro de los procedimientos y calendarios de retención, aplicables al uso, control, seguridad, conservación y disposición de los documentos de la OMPI.</w:t>
      </w:r>
    </w:p>
    <w:p w:rsidR="0053316D" w:rsidRPr="00A34388" w:rsidRDefault="0053316D" w:rsidP="0053316D">
      <w:pPr>
        <w:tabs>
          <w:tab w:val="left" w:pos="709"/>
        </w:tabs>
        <w:jc w:val="both"/>
        <w:rPr>
          <w:rFonts w:cs="Arial"/>
          <w:bCs/>
          <w:sz w:val="16"/>
          <w:szCs w:val="16"/>
          <w:lang w:val="es-ES_tradnl"/>
        </w:rPr>
      </w:pPr>
    </w:p>
    <w:p w:rsidR="0053316D" w:rsidRPr="00A34388" w:rsidRDefault="0053316D" w:rsidP="0053316D">
      <w:pPr>
        <w:tabs>
          <w:tab w:val="left" w:pos="709"/>
        </w:tabs>
        <w:jc w:val="both"/>
        <w:rPr>
          <w:rFonts w:eastAsiaTheme="minorHAnsi" w:cs="Arial"/>
          <w:szCs w:val="20"/>
          <w:lang w:val="es-ES_tradnl"/>
        </w:rPr>
      </w:pPr>
      <w:r w:rsidRPr="00A34388">
        <w:rPr>
          <w:rFonts w:eastAsiaTheme="minorHAnsi" w:cs="Arial"/>
          <w:szCs w:val="20"/>
          <w:lang w:val="es-ES_tradnl"/>
        </w:rPr>
        <w:t>27.8.</w:t>
      </w:r>
      <w:r w:rsidRPr="00A34388">
        <w:rPr>
          <w:rFonts w:eastAsiaTheme="minorHAnsi" w:cs="Arial"/>
          <w:szCs w:val="20"/>
          <w:lang w:val="es-ES_tradnl"/>
        </w:rPr>
        <w:tab/>
        <w:t xml:space="preserve">De acuerdo con el compromiso de la OMPI de introducir medidas </w:t>
      </w:r>
      <w:r w:rsidR="00727123" w:rsidRPr="00A34388">
        <w:rPr>
          <w:rFonts w:eastAsiaTheme="minorHAnsi" w:cs="Arial"/>
          <w:szCs w:val="20"/>
          <w:lang w:val="es-ES_tradnl"/>
        </w:rPr>
        <w:t xml:space="preserve">destinadas a fomentar la eficacia en función de los </w:t>
      </w:r>
      <w:r w:rsidRPr="00A34388">
        <w:rPr>
          <w:rFonts w:eastAsiaTheme="minorHAnsi" w:cs="Arial"/>
          <w:szCs w:val="20"/>
          <w:lang w:val="es-ES_tradnl"/>
        </w:rPr>
        <w:t>costos, se siguieron negociando tarifas con los proveedores externos de servicios de correo.  Gracias a ello, se consiguió una reducción general de los costos de correo del 23% en 2013 frente a las cifras de 2012.</w:t>
      </w:r>
    </w:p>
    <w:p w:rsidR="0053316D" w:rsidRPr="00A34388" w:rsidRDefault="0053316D" w:rsidP="0053316D">
      <w:pPr>
        <w:jc w:val="both"/>
        <w:rPr>
          <w:rFonts w:cs="Arial"/>
          <w:bCs/>
          <w:sz w:val="16"/>
          <w:szCs w:val="16"/>
          <w:lang w:val="es-ES_tradnl"/>
        </w:rPr>
      </w:pPr>
    </w:p>
    <w:p w:rsidR="0053316D" w:rsidRPr="00A34388" w:rsidRDefault="0053316D" w:rsidP="0053316D">
      <w:pPr>
        <w:tabs>
          <w:tab w:val="left" w:pos="709"/>
        </w:tabs>
        <w:jc w:val="both"/>
        <w:rPr>
          <w:rFonts w:cs="Arial"/>
          <w:bCs/>
          <w:szCs w:val="20"/>
          <w:lang w:val="es-ES_tradnl"/>
        </w:rPr>
      </w:pPr>
      <w:r w:rsidRPr="00A34388">
        <w:rPr>
          <w:rFonts w:cs="Arial"/>
          <w:bCs/>
          <w:szCs w:val="20"/>
          <w:lang w:val="es-ES_tradnl"/>
        </w:rPr>
        <w:lastRenderedPageBreak/>
        <w:t>27.9.</w:t>
      </w:r>
      <w:r w:rsidRPr="00A34388">
        <w:rPr>
          <w:rFonts w:cs="Arial"/>
          <w:bCs/>
          <w:szCs w:val="20"/>
          <w:lang w:val="es-ES_tradnl"/>
        </w:rPr>
        <w:tab/>
        <w:t xml:space="preserve">Se siguieron prestando de manera eficiente y puntual los servicios de impresión y publicación, pese al aumento de la carga de trabajo derivada del mayor número de reuniones organizadas por la OMPI durante el bienio, en especial las dos conferencias diplomáticas y los períodos extraordinarios de sesiones de la Asamblea General. </w:t>
      </w:r>
    </w:p>
    <w:p w:rsidR="0053316D" w:rsidRPr="00A34388" w:rsidRDefault="0053316D" w:rsidP="0053316D">
      <w:pPr>
        <w:tabs>
          <w:tab w:val="left" w:pos="709"/>
        </w:tabs>
        <w:jc w:val="both"/>
        <w:rPr>
          <w:rFonts w:cs="Arial"/>
          <w:bCs/>
          <w:szCs w:val="20"/>
          <w:lang w:val="es-ES_tradnl"/>
        </w:rPr>
      </w:pPr>
    </w:p>
    <w:p w:rsidR="0053316D" w:rsidRPr="00A34388" w:rsidRDefault="0053316D" w:rsidP="0053316D">
      <w:pPr>
        <w:tabs>
          <w:tab w:val="left" w:pos="709"/>
        </w:tabs>
        <w:jc w:val="both"/>
        <w:rPr>
          <w:rFonts w:cs="Arial"/>
          <w:bCs/>
          <w:szCs w:val="20"/>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DATOS SOBRE EL RENDIMIENTO</w:t>
      </w:r>
    </w:p>
    <w:p w:rsidR="0053316D" w:rsidRPr="00A34388" w:rsidRDefault="0053316D" w:rsidP="0053316D">
      <w:pPr>
        <w:rPr>
          <w:rFonts w:cs="Arial"/>
          <w:b/>
          <w:sz w:val="22"/>
          <w:szCs w:val="22"/>
          <w:lang w:val="es-ES_tradnl"/>
        </w:rPr>
      </w:pPr>
    </w:p>
    <w:tbl>
      <w:tblPr>
        <w:tblW w:w="485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05"/>
        <w:gridCol w:w="1718"/>
        <w:gridCol w:w="1350"/>
        <w:gridCol w:w="3645"/>
        <w:gridCol w:w="1266"/>
      </w:tblGrid>
      <w:tr w:rsidR="0053316D" w:rsidRPr="00A9508D" w:rsidTr="0053316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332758" w:rsidRDefault="0053316D">
            <w:pPr>
              <w:keepNext/>
              <w:keepLines/>
              <w:tabs>
                <w:tab w:val="left" w:pos="1452"/>
              </w:tabs>
              <w:spacing w:before="120" w:after="120" w:line="276" w:lineRule="auto"/>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r>
      <w:tr w:rsidR="0053316D" w:rsidRPr="00A34388" w:rsidTr="0053316D">
        <w:trPr>
          <w:cantSplit/>
        </w:trPr>
        <w:tc>
          <w:tcPr>
            <w:tcW w:w="703" w:type="pct"/>
            <w:tcBorders>
              <w:top w:val="single" w:sz="4" w:space="0" w:color="auto"/>
              <w:left w:val="single" w:sz="4" w:space="0" w:color="auto"/>
              <w:bottom w:val="nil"/>
              <w:right w:val="nil"/>
            </w:tcBorders>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Indicadores de rendimiento</w:t>
            </w:r>
          </w:p>
        </w:tc>
        <w:tc>
          <w:tcPr>
            <w:tcW w:w="925" w:type="pct"/>
            <w:tcBorders>
              <w:top w:val="single" w:sz="4" w:space="0" w:color="auto"/>
              <w:left w:val="nil"/>
              <w:bottom w:val="nil"/>
              <w:right w:val="nil"/>
            </w:tcBorders>
            <w:vAlign w:val="center"/>
            <w:hideMark/>
          </w:tcPr>
          <w:p w:rsidR="0053316D" w:rsidRPr="00A34388" w:rsidRDefault="0053316D">
            <w:pPr>
              <w:spacing w:line="276" w:lineRule="auto"/>
              <w:rPr>
                <w:rFonts w:cs="Arial"/>
                <w:b/>
                <w:bCs/>
                <w:color w:val="808080"/>
                <w:sz w:val="16"/>
                <w:szCs w:val="16"/>
                <w:lang w:val="es-ES_tradnl"/>
              </w:rPr>
            </w:pPr>
            <w:r w:rsidRPr="00332758">
              <w:rPr>
                <w:rFonts w:cs="Arial"/>
                <w:b/>
                <w:bCs/>
                <w:sz w:val="16"/>
                <w:szCs w:val="16"/>
                <w:lang w:val="es-ES_tradnl"/>
              </w:rPr>
              <w:t>Referencia</w:t>
            </w:r>
          </w:p>
        </w:tc>
        <w:tc>
          <w:tcPr>
            <w:tcW w:w="727" w:type="pct"/>
            <w:tcBorders>
              <w:top w:val="single" w:sz="4" w:space="0" w:color="auto"/>
              <w:left w:val="nil"/>
              <w:bottom w:val="nil"/>
              <w:right w:val="nil"/>
            </w:tcBorders>
            <w:tcMar>
              <w:top w:w="110" w:type="dxa"/>
              <w:left w:w="108" w:type="dxa"/>
              <w:bottom w:w="0" w:type="dxa"/>
              <w:right w:w="108" w:type="dxa"/>
            </w:tcMar>
            <w:vAlign w:val="center"/>
            <w:hideMark/>
          </w:tcPr>
          <w:p w:rsidR="0053316D" w:rsidRPr="00A34388" w:rsidRDefault="0053316D">
            <w:pPr>
              <w:spacing w:line="276" w:lineRule="auto"/>
              <w:rPr>
                <w:rFonts w:cs="Arial"/>
                <w:b/>
                <w:color w:val="808080"/>
                <w:sz w:val="16"/>
                <w:szCs w:val="16"/>
                <w:lang w:val="es-ES_tradnl"/>
              </w:rPr>
            </w:pPr>
            <w:r w:rsidRPr="00332758">
              <w:rPr>
                <w:rFonts w:cs="Arial"/>
                <w:b/>
                <w:sz w:val="16"/>
                <w:szCs w:val="16"/>
                <w:lang w:val="es-ES_tradnl"/>
              </w:rPr>
              <w:t>Objetivos</w:t>
            </w:r>
          </w:p>
        </w:tc>
        <w:tc>
          <w:tcPr>
            <w:tcW w:w="1963" w:type="pct"/>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53316D" w:rsidRPr="00A34388" w:rsidRDefault="0053316D">
            <w:pPr>
              <w:spacing w:line="276" w:lineRule="auto"/>
              <w:rPr>
                <w:rFonts w:cs="Arial"/>
                <w:color w:val="808080"/>
                <w:sz w:val="16"/>
                <w:szCs w:val="16"/>
                <w:lang w:val="es-ES_tradnl"/>
              </w:rPr>
            </w:pPr>
            <w:r w:rsidRPr="00332758">
              <w:rPr>
                <w:rFonts w:cs="Arial"/>
                <w:b/>
                <w:sz w:val="16"/>
                <w:szCs w:val="16"/>
                <w:lang w:val="es-ES_tradnl"/>
              </w:rPr>
              <w:t>Datos sobre el rendimiento</w:t>
            </w:r>
          </w:p>
        </w:tc>
        <w:tc>
          <w:tcPr>
            <w:tcW w:w="682" w:type="pct"/>
            <w:tcBorders>
              <w:top w:val="single" w:sz="4" w:space="0" w:color="auto"/>
              <w:left w:val="nil"/>
              <w:bottom w:val="nil"/>
              <w:right w:val="single" w:sz="4" w:space="0" w:color="auto"/>
            </w:tcBorders>
            <w:tcMar>
              <w:top w:w="110" w:type="dxa"/>
              <w:left w:w="108" w:type="dxa"/>
              <w:bottom w:w="0" w:type="dxa"/>
              <w:right w:w="108" w:type="dxa"/>
            </w:tcMar>
            <w:vAlign w:val="center"/>
            <w:hideMark/>
          </w:tcPr>
          <w:p w:rsidR="0053316D" w:rsidRPr="00332758" w:rsidRDefault="0053316D">
            <w:pPr>
              <w:keepNext/>
              <w:keepLines/>
              <w:spacing w:line="276" w:lineRule="auto"/>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914D2E">
        <w:trPr>
          <w:cantSplit/>
        </w:trPr>
        <w:tc>
          <w:tcPr>
            <w:tcW w:w="703" w:type="pct"/>
            <w:tcBorders>
              <w:top w:val="nil"/>
              <w:left w:val="single" w:sz="4" w:space="0" w:color="auto"/>
              <w:bottom w:val="nil"/>
              <w:right w:val="nil"/>
            </w:tcBorders>
            <w:hideMark/>
          </w:tcPr>
          <w:p w:rsidR="0053316D" w:rsidRPr="00A34388" w:rsidRDefault="0053316D">
            <w:pPr>
              <w:keepNext/>
              <w:spacing w:line="276" w:lineRule="auto"/>
              <w:ind w:left="1" w:hanging="3"/>
              <w:rPr>
                <w:rFonts w:cs="Arial"/>
                <w:sz w:val="16"/>
                <w:szCs w:val="16"/>
                <w:lang w:val="es-ES_tradnl"/>
              </w:rPr>
            </w:pPr>
            <w:r w:rsidRPr="00332758">
              <w:rPr>
                <w:rFonts w:cs="Arial"/>
                <w:sz w:val="16"/>
                <w:szCs w:val="16"/>
                <w:lang w:val="es-ES_tradnl"/>
              </w:rPr>
              <w:t>Porcentaje de usuarios internos y externos satisfechos con los servicios de conferencias de la OMPI.</w:t>
            </w:r>
            <w:r w:rsidRPr="00A34388">
              <w:rPr>
                <w:rFonts w:cs="Arial"/>
                <w:sz w:val="16"/>
                <w:szCs w:val="16"/>
                <w:lang w:val="es-ES_tradnl"/>
              </w:rPr>
              <w:t xml:space="preserve"> </w:t>
            </w:r>
          </w:p>
        </w:tc>
        <w:tc>
          <w:tcPr>
            <w:tcW w:w="925" w:type="pct"/>
            <w:tcBorders>
              <w:top w:val="nil"/>
              <w:left w:val="nil"/>
              <w:bottom w:val="nil"/>
              <w:right w:val="nil"/>
            </w:tcBorders>
          </w:tcPr>
          <w:p w:rsidR="0053316D" w:rsidRPr="00A34388" w:rsidRDefault="0053316D">
            <w:pPr>
              <w:autoSpaceDE w:val="0"/>
              <w:autoSpaceDN w:val="0"/>
              <w:adjustRightInd w:val="0"/>
              <w:spacing w:line="276" w:lineRule="auto"/>
              <w:rPr>
                <w:rFonts w:eastAsia="Batang" w:cs="Arial"/>
                <w:color w:val="002060"/>
                <w:sz w:val="16"/>
                <w:szCs w:val="16"/>
                <w:lang w:val="es-ES_tradnl" w:eastAsia="ja-JP"/>
              </w:rPr>
            </w:pPr>
            <w:r w:rsidRPr="00A34388">
              <w:rPr>
                <w:rFonts w:eastAsia="Batang" w:cs="Arial"/>
                <w:i/>
                <w:color w:val="002060"/>
                <w:sz w:val="16"/>
                <w:szCs w:val="16"/>
                <w:lang w:val="es-ES_tradnl" w:eastAsia="ja-JP"/>
              </w:rPr>
              <w:t xml:space="preserve">Referencia actualizada a finales de 2011: </w:t>
            </w:r>
            <w:r w:rsidRPr="00A34388">
              <w:rPr>
                <w:rFonts w:eastAsia="Batang" w:cs="Arial"/>
                <w:i/>
                <w:sz w:val="16"/>
                <w:szCs w:val="16"/>
                <w:lang w:val="es-ES_tradnl" w:eastAsia="ja-JP"/>
              </w:rPr>
              <w:t xml:space="preserve"> </w:t>
            </w:r>
            <w:r w:rsidRPr="00A34388">
              <w:rPr>
                <w:rFonts w:eastAsia="Batang" w:cs="Arial"/>
                <w:color w:val="002060"/>
                <w:sz w:val="16"/>
                <w:szCs w:val="16"/>
                <w:lang w:val="es-ES_tradnl" w:eastAsia="ja-JP"/>
              </w:rPr>
              <w:t>89% de comentarios favorables</w:t>
            </w:r>
          </w:p>
          <w:p w:rsidR="0053316D" w:rsidRPr="00A34388" w:rsidRDefault="0053316D">
            <w:pPr>
              <w:keepNext/>
              <w:spacing w:line="276" w:lineRule="auto"/>
              <w:rPr>
                <w:rFonts w:cs="Arial"/>
                <w:i/>
                <w:sz w:val="8"/>
                <w:szCs w:val="8"/>
                <w:lang w:val="es-ES_tradnl"/>
              </w:rPr>
            </w:pPr>
          </w:p>
          <w:p w:rsidR="0053316D" w:rsidRPr="00A34388" w:rsidRDefault="0053316D" w:rsidP="00B217AA">
            <w:pPr>
              <w:keepNext/>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r>
            <w:r w:rsidR="00727123" w:rsidRPr="00A34388">
              <w:rPr>
                <w:rFonts w:cs="Arial"/>
                <w:sz w:val="16"/>
                <w:szCs w:val="16"/>
                <w:lang w:val="es-ES_tradnl"/>
              </w:rPr>
              <w:t xml:space="preserve">Porcentaje </w:t>
            </w:r>
            <w:r w:rsidRPr="00A34388">
              <w:rPr>
                <w:rFonts w:cs="Arial"/>
                <w:sz w:val="16"/>
                <w:szCs w:val="16"/>
                <w:lang w:val="es-ES_tradnl"/>
              </w:rPr>
              <w:t xml:space="preserve">a </w:t>
            </w:r>
            <w:r w:rsidR="00727123" w:rsidRPr="00A34388">
              <w:rPr>
                <w:rFonts w:cs="Arial"/>
                <w:sz w:val="16"/>
                <w:szCs w:val="16"/>
                <w:lang w:val="es-ES_tradnl"/>
              </w:rPr>
              <w:t>fines de</w:t>
            </w:r>
            <w:r w:rsidRPr="00A34388">
              <w:rPr>
                <w:rFonts w:cs="Arial"/>
                <w:sz w:val="16"/>
                <w:szCs w:val="16"/>
                <w:lang w:val="es-ES_tradnl"/>
              </w:rPr>
              <w:t xml:space="preserve"> 2011</w:t>
            </w:r>
          </w:p>
        </w:tc>
        <w:tc>
          <w:tcPr>
            <w:tcW w:w="727"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sz w:val="16"/>
                <w:szCs w:val="16"/>
                <w:lang w:val="es-ES_tradnl"/>
              </w:rPr>
            </w:pPr>
            <w:r w:rsidRPr="00A34388">
              <w:rPr>
                <w:rFonts w:cs="Arial"/>
                <w:sz w:val="16"/>
                <w:szCs w:val="16"/>
                <w:lang w:val="es-ES_tradnl"/>
              </w:rPr>
              <w:t xml:space="preserve">Aumento </w:t>
            </w:r>
            <w:r w:rsidR="00727123" w:rsidRPr="00A34388">
              <w:rPr>
                <w:rFonts w:cs="Arial"/>
                <w:sz w:val="16"/>
                <w:szCs w:val="16"/>
                <w:lang w:val="es-ES_tradnl"/>
              </w:rPr>
              <w:t xml:space="preserve">porcentual </w:t>
            </w:r>
            <w:r w:rsidRPr="00A34388">
              <w:rPr>
                <w:rFonts w:cs="Arial"/>
                <w:sz w:val="16"/>
                <w:szCs w:val="16"/>
                <w:lang w:val="es-ES_tradnl"/>
              </w:rPr>
              <w:t xml:space="preserve">del 10% </w:t>
            </w:r>
          </w:p>
          <w:p w:rsidR="0053316D" w:rsidRPr="00A34388" w:rsidRDefault="0053316D">
            <w:pPr>
              <w:keepNext/>
              <w:spacing w:line="276" w:lineRule="auto"/>
              <w:rPr>
                <w:rFonts w:cs="Arial"/>
                <w:sz w:val="16"/>
                <w:szCs w:val="16"/>
                <w:lang w:val="es-ES_tradnl"/>
              </w:rPr>
            </w:pPr>
            <w:r w:rsidRPr="00332758">
              <w:rPr>
                <w:rFonts w:cs="Arial"/>
                <w:sz w:val="16"/>
                <w:szCs w:val="16"/>
                <w:lang w:val="es-ES_tradnl"/>
              </w:rPr>
              <w:t>(fin</w:t>
            </w:r>
            <w:r w:rsidR="00727123" w:rsidRPr="00332758">
              <w:rPr>
                <w:rFonts w:cs="Arial"/>
                <w:sz w:val="16"/>
                <w:szCs w:val="16"/>
                <w:lang w:val="es-ES_tradnl"/>
              </w:rPr>
              <w:t>es</w:t>
            </w:r>
            <w:r w:rsidRPr="00332758">
              <w:rPr>
                <w:rFonts w:cs="Arial"/>
                <w:sz w:val="16"/>
                <w:szCs w:val="16"/>
                <w:lang w:val="es-ES_tradnl"/>
              </w:rPr>
              <w:t xml:space="preserve"> de 2013)</w:t>
            </w:r>
          </w:p>
        </w:tc>
        <w:tc>
          <w:tcPr>
            <w:tcW w:w="1963" w:type="pct"/>
            <w:tcBorders>
              <w:top w:val="nil"/>
              <w:left w:val="nil"/>
              <w:bottom w:val="nil"/>
              <w:right w:val="nil"/>
            </w:tcBorders>
            <w:shd w:val="clear" w:color="auto" w:fill="FFFFFF"/>
            <w:tcMar>
              <w:top w:w="110" w:type="dxa"/>
              <w:left w:w="108" w:type="dxa"/>
              <w:bottom w:w="0" w:type="dxa"/>
              <w:right w:w="108" w:type="dxa"/>
            </w:tcMar>
            <w:hideMark/>
          </w:tcPr>
          <w:p w:rsidR="0053316D" w:rsidRPr="00A34388" w:rsidRDefault="00727123" w:rsidP="00727123">
            <w:pPr>
              <w:spacing w:line="276" w:lineRule="auto"/>
              <w:rPr>
                <w:rFonts w:cs="Arial"/>
                <w:sz w:val="16"/>
                <w:szCs w:val="16"/>
                <w:lang w:val="es-ES_tradnl"/>
              </w:rPr>
            </w:pPr>
            <w:r w:rsidRPr="00A34388">
              <w:rPr>
                <w:rFonts w:cs="Arial"/>
                <w:sz w:val="16"/>
                <w:szCs w:val="16"/>
                <w:lang w:val="es-ES_tradnl" w:bidi="th-TH"/>
              </w:rPr>
              <w:t>Durante el bienio s</w:t>
            </w:r>
            <w:r w:rsidR="0053316D" w:rsidRPr="00A34388">
              <w:rPr>
                <w:rFonts w:cs="Arial"/>
                <w:sz w:val="16"/>
                <w:szCs w:val="16"/>
                <w:lang w:val="es-ES_tradnl" w:bidi="th-TH"/>
              </w:rPr>
              <w:t xml:space="preserve">e celebraron en Ginebra un total de 260 reuniones intergubernamentales. </w:t>
            </w:r>
            <w:r w:rsidR="0053316D" w:rsidRPr="00332758">
              <w:rPr>
                <w:rFonts w:cs="Arial"/>
                <w:sz w:val="16"/>
                <w:szCs w:val="16"/>
                <w:lang w:val="es-ES_tradnl" w:bidi="th-TH"/>
              </w:rPr>
              <w:t xml:space="preserve"> Además, se prestaron servicios de apoyo a las conferencias para otras 11.200 actividades  aproximadamente, como reuniones de grupos y bilaterales, actos paralelos, visitas oficiales y reuniones internas</w:t>
            </w:r>
            <w:r w:rsidR="0053316D" w:rsidRPr="00A34388">
              <w:rPr>
                <w:rFonts w:cs="Arial"/>
                <w:color w:val="FF00FF"/>
                <w:sz w:val="16"/>
                <w:szCs w:val="16"/>
                <w:lang w:val="es-ES_tradnl" w:bidi="th-TH"/>
              </w:rPr>
              <w:t>.</w:t>
            </w:r>
            <w:r w:rsidR="0053316D" w:rsidRPr="00A34388">
              <w:rPr>
                <w:rFonts w:cs="Arial"/>
                <w:sz w:val="16"/>
                <w:szCs w:val="16"/>
                <w:lang w:val="es-ES_tradnl" w:bidi="th-TH"/>
              </w:rPr>
              <w:t xml:space="preserve">  Los resultados de las encuestas de satisfacción realizadas en 2013 indican que el 98% de los usuarios consider</w:t>
            </w:r>
            <w:r w:rsidRPr="00A34388">
              <w:rPr>
                <w:rFonts w:cs="Arial"/>
                <w:sz w:val="16"/>
                <w:szCs w:val="16"/>
                <w:lang w:val="es-ES_tradnl" w:bidi="th-TH"/>
              </w:rPr>
              <w:t>ó</w:t>
            </w:r>
            <w:r w:rsidR="0053316D" w:rsidRPr="00A34388">
              <w:rPr>
                <w:rFonts w:cs="Arial"/>
                <w:sz w:val="16"/>
                <w:szCs w:val="16"/>
                <w:lang w:val="es-ES_tradnl" w:bidi="th-TH"/>
              </w:rPr>
              <w:t xml:space="preserve"> que la calidad general de los servicios de conferencias de la OMPI </w:t>
            </w:r>
            <w:r w:rsidRPr="00A34388">
              <w:rPr>
                <w:rFonts w:cs="Arial"/>
                <w:sz w:val="16"/>
                <w:szCs w:val="16"/>
                <w:lang w:val="es-ES_tradnl" w:bidi="th-TH"/>
              </w:rPr>
              <w:t xml:space="preserve">es </w:t>
            </w:r>
            <w:r w:rsidR="0053316D" w:rsidRPr="00A34388">
              <w:rPr>
                <w:rFonts w:cs="Arial"/>
                <w:sz w:val="16"/>
                <w:szCs w:val="16"/>
                <w:lang w:val="es-ES_tradnl" w:bidi="th-TH"/>
              </w:rPr>
              <w:t>excelente (64%) o buen</w:t>
            </w:r>
            <w:r w:rsidRPr="00A34388">
              <w:rPr>
                <w:rFonts w:cs="Arial"/>
                <w:sz w:val="16"/>
                <w:szCs w:val="16"/>
                <w:lang w:val="es-ES_tradnl" w:bidi="th-TH"/>
              </w:rPr>
              <w:t>a</w:t>
            </w:r>
            <w:r w:rsidR="0053316D" w:rsidRPr="00A34388">
              <w:rPr>
                <w:rFonts w:cs="Arial"/>
                <w:sz w:val="16"/>
                <w:szCs w:val="16"/>
                <w:lang w:val="es-ES_tradnl" w:bidi="th-TH"/>
              </w:rPr>
              <w:t xml:space="preserve"> (34%).</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A3438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914D2E">
        <w:trPr>
          <w:cantSplit/>
        </w:trPr>
        <w:tc>
          <w:tcPr>
            <w:tcW w:w="703" w:type="pct"/>
            <w:tcBorders>
              <w:top w:val="nil"/>
              <w:left w:val="single" w:sz="4" w:space="0" w:color="auto"/>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Normas de productividad de la traducción y costo por página traducida.</w:t>
            </w:r>
          </w:p>
        </w:tc>
        <w:tc>
          <w:tcPr>
            <w:tcW w:w="925" w:type="pct"/>
            <w:tcBorders>
              <w:top w:val="nil"/>
              <w:left w:val="nil"/>
              <w:bottom w:val="single" w:sz="4" w:space="0" w:color="auto"/>
              <w:right w:val="nil"/>
            </w:tcBorders>
          </w:tcPr>
          <w:p w:rsidR="0053316D" w:rsidRPr="001E2F41" w:rsidRDefault="0053316D">
            <w:pPr>
              <w:spacing w:line="276" w:lineRule="auto"/>
              <w:rPr>
                <w:rFonts w:cs="Arial"/>
                <w:color w:val="002060"/>
                <w:sz w:val="16"/>
                <w:szCs w:val="16"/>
                <w:lang w:val="es-ES_tradnl"/>
              </w:rPr>
            </w:pPr>
            <w:r w:rsidRPr="001E2F41">
              <w:rPr>
                <w:rFonts w:cs="Arial"/>
                <w:i/>
                <w:color w:val="002060"/>
                <w:sz w:val="16"/>
                <w:szCs w:val="16"/>
                <w:lang w:val="es-ES_tradnl"/>
              </w:rPr>
              <w:t>Referencia actualizada a finales de 2011:</w:t>
            </w:r>
            <w:r w:rsidRPr="001E2F41">
              <w:rPr>
                <w:rFonts w:cs="Arial"/>
                <w:color w:val="002060"/>
                <w:sz w:val="16"/>
                <w:szCs w:val="16"/>
                <w:lang w:val="es-ES_tradnl"/>
              </w:rPr>
              <w:t xml:space="preserve"> </w:t>
            </w:r>
          </w:p>
          <w:p w:rsidR="0053316D" w:rsidRPr="001E2F41" w:rsidRDefault="0053316D">
            <w:pPr>
              <w:spacing w:line="276" w:lineRule="auto"/>
              <w:rPr>
                <w:rFonts w:cs="Arial"/>
                <w:color w:val="002060"/>
                <w:sz w:val="16"/>
                <w:szCs w:val="16"/>
                <w:lang w:val="es-ES_tradnl"/>
              </w:rPr>
            </w:pPr>
            <w:r w:rsidRPr="001E2F41">
              <w:rPr>
                <w:rFonts w:cs="Arial"/>
                <w:color w:val="002060"/>
                <w:sz w:val="16"/>
                <w:szCs w:val="16"/>
                <w:lang w:val="es-ES_tradnl"/>
              </w:rPr>
              <w:t>Se tradujeron 11.933.276 palabras en 2010/11 (unas 36.161 páginas estándar de NN.UU.).</w:t>
            </w:r>
          </w:p>
          <w:p w:rsidR="0053316D" w:rsidRPr="001E2F41" w:rsidRDefault="0053316D">
            <w:pPr>
              <w:autoSpaceDE w:val="0"/>
              <w:autoSpaceDN w:val="0"/>
              <w:adjustRightInd w:val="0"/>
              <w:spacing w:line="276" w:lineRule="auto"/>
              <w:rPr>
                <w:rFonts w:eastAsia="Batang" w:cs="Arial"/>
                <w:color w:val="002060"/>
                <w:sz w:val="16"/>
                <w:szCs w:val="16"/>
                <w:lang w:val="es-ES_tradnl" w:eastAsia="ja-JP"/>
              </w:rPr>
            </w:pPr>
            <w:r w:rsidRPr="001E2F41">
              <w:rPr>
                <w:rFonts w:eastAsia="Batang" w:cs="Arial"/>
                <w:color w:val="002060"/>
                <w:sz w:val="16"/>
                <w:szCs w:val="16"/>
                <w:lang w:val="es-ES_tradnl" w:eastAsia="ja-JP"/>
              </w:rPr>
              <w:t xml:space="preserve">Cada página cuesta 213 francos suizos. </w:t>
            </w:r>
          </w:p>
          <w:p w:rsidR="0053316D" w:rsidRPr="00A34388" w:rsidRDefault="0053316D">
            <w:pPr>
              <w:spacing w:line="276" w:lineRule="auto"/>
              <w:rPr>
                <w:rFonts w:cs="Arial"/>
                <w:i/>
                <w:sz w:val="8"/>
                <w:szCs w:val="8"/>
                <w:lang w:val="es-ES_tradnl"/>
              </w:rPr>
            </w:pPr>
          </w:p>
          <w:p w:rsidR="0053316D" w:rsidRPr="00A34388" w:rsidRDefault="0053316D" w:rsidP="00B217AA">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t>Niveles de productividad y costos a finales de 2011</w:t>
            </w:r>
          </w:p>
        </w:tc>
        <w:tc>
          <w:tcPr>
            <w:tcW w:w="727"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sz w:val="16"/>
                <w:szCs w:val="16"/>
                <w:lang w:val="es-ES_tradnl"/>
              </w:rPr>
            </w:pPr>
            <w:r w:rsidRPr="00A34388">
              <w:rPr>
                <w:rFonts w:cs="Arial"/>
                <w:sz w:val="16"/>
                <w:szCs w:val="16"/>
                <w:lang w:val="es-ES_tradnl"/>
              </w:rPr>
              <w:t>Aumento del 10% respecto de la referencia</w:t>
            </w:r>
          </w:p>
        </w:tc>
        <w:tc>
          <w:tcPr>
            <w:tcW w:w="1963" w:type="pct"/>
            <w:tcBorders>
              <w:top w:val="nil"/>
              <w:left w:val="nil"/>
              <w:bottom w:val="single" w:sz="4" w:space="0" w:color="auto"/>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bidi="th-TH"/>
              </w:rPr>
            </w:pPr>
            <w:r w:rsidRPr="00A34388">
              <w:rPr>
                <w:rFonts w:cs="Arial"/>
                <w:sz w:val="16"/>
                <w:szCs w:val="16"/>
                <w:lang w:val="es-ES_tradnl" w:bidi="th-TH"/>
              </w:rPr>
              <w:t>En 2012 se tradujeron un total de 18,24 millones de palabras (55.282 páginas estándar de las NN.UU.);  en 2013, se tradujeron 14,93 millones de palabras (45.242 páginas estándar de las NN.UU).</w:t>
            </w:r>
          </w:p>
          <w:p w:rsidR="0053316D" w:rsidRPr="00A34388" w:rsidRDefault="0053316D">
            <w:pPr>
              <w:spacing w:line="276" w:lineRule="auto"/>
              <w:rPr>
                <w:rFonts w:cs="Arial"/>
                <w:sz w:val="16"/>
                <w:szCs w:val="16"/>
                <w:lang w:val="es-ES_tradnl"/>
              </w:rPr>
            </w:pPr>
          </w:p>
          <w:p w:rsidR="0053316D" w:rsidRPr="00A34388" w:rsidRDefault="0053316D">
            <w:pPr>
              <w:spacing w:line="276" w:lineRule="auto"/>
              <w:rPr>
                <w:rFonts w:cs="Arial"/>
                <w:sz w:val="16"/>
                <w:szCs w:val="16"/>
                <w:lang w:val="es-ES_tradnl"/>
              </w:rPr>
            </w:pPr>
            <w:r w:rsidRPr="00A34388">
              <w:rPr>
                <w:rFonts w:cs="Arial"/>
                <w:sz w:val="16"/>
                <w:szCs w:val="16"/>
                <w:lang w:val="es-ES_tradnl"/>
              </w:rPr>
              <w:t xml:space="preserve">El costo por página (media ponderada del bienio) fue de 191 francos suizos. </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914D2E">
        <w:trPr>
          <w:cantSplit/>
        </w:trPr>
        <w:tc>
          <w:tcPr>
            <w:tcW w:w="703" w:type="pct"/>
            <w:tcBorders>
              <w:top w:val="single" w:sz="4" w:space="0" w:color="auto"/>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lastRenderedPageBreak/>
              <w:t>Adopción de una amplia política lingüística por los Estados miembros con la dotación de recursos necesarios.</w:t>
            </w:r>
          </w:p>
        </w:tc>
        <w:tc>
          <w:tcPr>
            <w:tcW w:w="925" w:type="pct"/>
            <w:tcBorders>
              <w:top w:val="single" w:sz="4" w:space="0" w:color="auto"/>
              <w:left w:val="nil"/>
              <w:bottom w:val="nil"/>
              <w:right w:val="nil"/>
            </w:tcBorders>
          </w:tcPr>
          <w:p w:rsidR="0053316D" w:rsidRPr="001E2F41" w:rsidRDefault="0053316D">
            <w:pPr>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finales de 2011: </w:t>
            </w:r>
            <w:r w:rsidR="007E4D96" w:rsidRPr="001E2F41">
              <w:rPr>
                <w:rFonts w:cs="Arial"/>
                <w:i/>
                <w:color w:val="002060"/>
                <w:sz w:val="16"/>
                <w:szCs w:val="16"/>
                <w:lang w:val="es-ES_tradnl"/>
              </w:rPr>
              <w:t xml:space="preserve"> </w:t>
            </w:r>
            <w:r w:rsidRPr="001E2F41">
              <w:rPr>
                <w:rFonts w:cs="Arial"/>
                <w:color w:val="002060"/>
                <w:sz w:val="16"/>
                <w:szCs w:val="16"/>
                <w:lang w:val="es-ES_tradnl"/>
              </w:rPr>
              <w:t>La política lingüística se elaboró en 2011 para la documentación destinada a los comités permanentes y los órganos principales de la OMPI.</w:t>
            </w:r>
          </w:p>
          <w:p w:rsidR="0053316D" w:rsidRPr="00A34388" w:rsidRDefault="0053316D">
            <w:pPr>
              <w:spacing w:line="276" w:lineRule="auto"/>
              <w:rPr>
                <w:rFonts w:cs="Arial"/>
                <w:i/>
                <w:color w:val="002060"/>
                <w:sz w:val="8"/>
                <w:szCs w:val="8"/>
                <w:lang w:val="es-ES_tradnl"/>
              </w:rPr>
            </w:pPr>
          </w:p>
          <w:p w:rsidR="0053316D" w:rsidRPr="00A34388" w:rsidRDefault="0053316D" w:rsidP="00B217AA">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t>La política lingüística se elaboró en 2010 solo para la documentación destinada a los comités permanentes de la OMPI</w:t>
            </w:r>
          </w:p>
        </w:tc>
        <w:tc>
          <w:tcPr>
            <w:tcW w:w="727" w:type="pct"/>
            <w:tcBorders>
              <w:top w:val="single" w:sz="4" w:space="0" w:color="auto"/>
              <w:left w:val="nil"/>
              <w:bottom w:val="nil"/>
              <w:right w:val="nil"/>
            </w:tcBorders>
            <w:tcMar>
              <w:top w:w="110" w:type="dxa"/>
              <w:left w:w="108" w:type="dxa"/>
              <w:bottom w:w="0" w:type="dxa"/>
              <w:right w:w="108" w:type="dxa"/>
            </w:tcMar>
            <w:hideMark/>
          </w:tcPr>
          <w:p w:rsidR="0053316D" w:rsidRPr="00A34388" w:rsidRDefault="0053316D" w:rsidP="00727123">
            <w:pPr>
              <w:autoSpaceDE w:val="0"/>
              <w:autoSpaceDN w:val="0"/>
              <w:adjustRightInd w:val="0"/>
              <w:spacing w:line="276" w:lineRule="auto"/>
              <w:rPr>
                <w:rFonts w:cs="Arial"/>
                <w:sz w:val="16"/>
                <w:szCs w:val="16"/>
                <w:lang w:val="es-ES_tradnl"/>
              </w:rPr>
            </w:pPr>
            <w:r w:rsidRPr="00A34388">
              <w:rPr>
                <w:rFonts w:cs="Arial"/>
                <w:sz w:val="16"/>
                <w:szCs w:val="16"/>
                <w:lang w:val="es-ES_tradnl"/>
              </w:rPr>
              <w:t xml:space="preserve">La política lingüística </w:t>
            </w:r>
            <w:r w:rsidR="00727123" w:rsidRPr="00A34388">
              <w:rPr>
                <w:rFonts w:cs="Arial"/>
                <w:sz w:val="16"/>
                <w:szCs w:val="16"/>
                <w:lang w:val="es-ES_tradnl"/>
              </w:rPr>
              <w:t xml:space="preserve">abarca </w:t>
            </w:r>
            <w:r w:rsidRPr="00A34388">
              <w:rPr>
                <w:rFonts w:cs="Arial"/>
                <w:sz w:val="16"/>
                <w:szCs w:val="16"/>
                <w:lang w:val="es-ES_tradnl"/>
              </w:rPr>
              <w:t xml:space="preserve">la documentación de todas las reuniones de la OMPI, así como la cobertura lingüística de las publicaciones y el sitio web de la OMPI </w:t>
            </w:r>
          </w:p>
        </w:tc>
        <w:tc>
          <w:tcPr>
            <w:tcW w:w="1963" w:type="pct"/>
            <w:tcBorders>
              <w:top w:val="single" w:sz="4" w:space="0" w:color="auto"/>
              <w:left w:val="nil"/>
              <w:bottom w:val="nil"/>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A34388">
              <w:rPr>
                <w:rFonts w:cs="Arial"/>
                <w:sz w:val="16"/>
                <w:szCs w:val="16"/>
                <w:lang w:val="es-ES_tradnl"/>
              </w:rPr>
              <w:t>La política lingüística se amplió a todos los comités permanentes y órganos principales de la OMPI.</w:t>
            </w:r>
          </w:p>
        </w:tc>
        <w:tc>
          <w:tcPr>
            <w:tcW w:w="682" w:type="pct"/>
            <w:tcBorders>
              <w:top w:val="single" w:sz="4" w:space="0" w:color="auto"/>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Fonts w:cs="Arial"/>
                <w:sz w:val="16"/>
                <w:szCs w:val="16"/>
                <w:lang w:val="es-ES_tradnl"/>
              </w:rPr>
              <w:t xml:space="preserve"> </w:t>
            </w:r>
          </w:p>
        </w:tc>
      </w:tr>
      <w:tr w:rsidR="0053316D" w:rsidRPr="00A34388" w:rsidTr="0053316D">
        <w:trPr>
          <w:cantSplit/>
        </w:trPr>
        <w:tc>
          <w:tcPr>
            <w:tcW w:w="703" w:type="pct"/>
            <w:tcBorders>
              <w:top w:val="nil"/>
              <w:left w:val="single" w:sz="4" w:space="0" w:color="auto"/>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Índice de productividad para los cálculos, la introducción de datos, así como para la compilación y el suministro de estadísticas (distribución del correo).</w:t>
            </w:r>
          </w:p>
        </w:tc>
        <w:tc>
          <w:tcPr>
            <w:tcW w:w="925" w:type="pct"/>
            <w:tcBorders>
              <w:top w:val="nil"/>
              <w:left w:val="nil"/>
              <w:bottom w:val="nil"/>
              <w:right w:val="nil"/>
            </w:tcBorders>
          </w:tcPr>
          <w:p w:rsidR="0053316D" w:rsidRPr="001E2F41" w:rsidRDefault="0053316D">
            <w:pPr>
              <w:spacing w:line="276" w:lineRule="auto"/>
              <w:rPr>
                <w:rFonts w:cs="Arial"/>
                <w:i/>
                <w:color w:val="002060"/>
                <w:sz w:val="16"/>
                <w:szCs w:val="16"/>
                <w:lang w:val="es-ES_tradnl"/>
              </w:rPr>
            </w:pPr>
            <w:r w:rsidRPr="001E2F41">
              <w:rPr>
                <w:rFonts w:cs="Arial"/>
                <w:i/>
                <w:color w:val="002060"/>
                <w:sz w:val="16"/>
                <w:szCs w:val="16"/>
                <w:lang w:val="es-ES_tradnl"/>
              </w:rPr>
              <w:t xml:space="preserve">Referencia actualizada a fines de 2011: </w:t>
            </w:r>
          </w:p>
          <w:p w:rsidR="0053316D" w:rsidRPr="001E2F41" w:rsidRDefault="0053316D">
            <w:pPr>
              <w:autoSpaceDE w:val="0"/>
              <w:autoSpaceDN w:val="0"/>
              <w:adjustRightInd w:val="0"/>
              <w:spacing w:line="276" w:lineRule="auto"/>
              <w:rPr>
                <w:rFonts w:eastAsia="Batang" w:cs="Arial"/>
                <w:color w:val="002060"/>
                <w:sz w:val="16"/>
                <w:szCs w:val="16"/>
                <w:lang w:val="es-ES_tradnl" w:eastAsia="ja-JP"/>
              </w:rPr>
            </w:pPr>
            <w:r w:rsidRPr="001E2F41">
              <w:rPr>
                <w:rFonts w:eastAsia="Batang" w:cs="Arial"/>
                <w:color w:val="002060"/>
                <w:sz w:val="16"/>
                <w:szCs w:val="16"/>
                <w:lang w:val="es-ES_tradnl" w:eastAsia="ja-JP"/>
              </w:rPr>
              <w:t xml:space="preserve">En 2011 se enviaron 1.694.940 artículos con un costo de  2.495.669 francos suizos. </w:t>
            </w:r>
          </w:p>
          <w:p w:rsidR="0053316D" w:rsidRPr="00A34388" w:rsidRDefault="0053316D">
            <w:pPr>
              <w:spacing w:line="276" w:lineRule="auto"/>
              <w:rPr>
                <w:rFonts w:cs="Arial"/>
                <w:i/>
                <w:color w:val="002060"/>
                <w:sz w:val="8"/>
                <w:szCs w:val="8"/>
                <w:lang w:val="es-ES_tradnl"/>
              </w:rPr>
            </w:pPr>
          </w:p>
          <w:p w:rsidR="0053316D" w:rsidRPr="00A34388" w:rsidRDefault="0053316D" w:rsidP="00B217AA">
            <w:pPr>
              <w:spacing w:line="276" w:lineRule="auto"/>
              <w:rPr>
                <w:rFonts w:cs="Arial"/>
                <w:sz w:val="16"/>
                <w:szCs w:val="16"/>
                <w:lang w:val="es-ES_tradnl"/>
              </w:rPr>
            </w:pPr>
            <w:r w:rsidRPr="00A34388">
              <w:rPr>
                <w:rFonts w:cs="Arial"/>
                <w:i/>
                <w:sz w:val="16"/>
                <w:szCs w:val="16"/>
                <w:lang w:val="es-ES_tradnl"/>
              </w:rPr>
              <w:t xml:space="preserve">Referencia original: </w:t>
            </w:r>
            <w:r w:rsidR="007E4D96" w:rsidRPr="00A34388">
              <w:rPr>
                <w:rFonts w:cs="Arial"/>
                <w:i/>
                <w:sz w:val="16"/>
                <w:szCs w:val="16"/>
                <w:lang w:val="es-ES_tradnl"/>
              </w:rPr>
              <w:t xml:space="preserve"> </w:t>
            </w:r>
            <w:r w:rsidRPr="00A34388">
              <w:rPr>
                <w:rFonts w:cs="Arial"/>
                <w:i/>
                <w:sz w:val="16"/>
                <w:szCs w:val="16"/>
                <w:lang w:val="es-ES_tradnl"/>
              </w:rPr>
              <w:t>presup. por prog</w:t>
            </w:r>
            <w:r w:rsidR="00B217AA" w:rsidRPr="00A34388">
              <w:rPr>
                <w:rFonts w:cs="Arial"/>
                <w:i/>
                <w:sz w:val="16"/>
                <w:szCs w:val="16"/>
                <w:lang w:val="es-ES_tradnl"/>
              </w:rPr>
              <w:t>.</w:t>
            </w:r>
            <w:r w:rsidRPr="00A34388">
              <w:rPr>
                <w:rFonts w:cs="Arial"/>
                <w:i/>
                <w:sz w:val="16"/>
                <w:szCs w:val="16"/>
                <w:lang w:val="es-ES_tradnl"/>
              </w:rPr>
              <w:t xml:space="preserve"> 2012/13:</w:t>
            </w:r>
            <w:r w:rsidRPr="00A34388">
              <w:rPr>
                <w:rFonts w:cs="Arial"/>
                <w:sz w:val="16"/>
                <w:szCs w:val="16"/>
                <w:lang w:val="es-ES_tradnl"/>
              </w:rPr>
              <w:br/>
              <w:t>Índice de productividad a finales de 2011</w:t>
            </w:r>
          </w:p>
        </w:tc>
        <w:tc>
          <w:tcPr>
            <w:tcW w:w="727"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eastAsia="Batang" w:cs="Arial"/>
                <w:sz w:val="16"/>
                <w:szCs w:val="16"/>
                <w:lang w:val="es-ES_tradnl" w:eastAsia="ja-JP"/>
              </w:rPr>
            </w:pPr>
            <w:r w:rsidRPr="00A34388">
              <w:rPr>
                <w:rFonts w:eastAsia="Batang" w:cs="Arial"/>
                <w:sz w:val="16"/>
                <w:szCs w:val="16"/>
                <w:lang w:val="es-ES_tradnl" w:eastAsia="ja-JP"/>
              </w:rPr>
              <w:t>Aumento del 10% respecto de las referencias</w:t>
            </w:r>
          </w:p>
        </w:tc>
        <w:tc>
          <w:tcPr>
            <w:tcW w:w="1963" w:type="pct"/>
            <w:tcBorders>
              <w:top w:val="nil"/>
              <w:left w:val="nil"/>
              <w:bottom w:val="nil"/>
              <w:right w:val="nil"/>
            </w:tcBorders>
            <w:shd w:val="clear" w:color="auto" w:fill="FFFFFF"/>
            <w:tcMar>
              <w:top w:w="110" w:type="dxa"/>
              <w:left w:w="108" w:type="dxa"/>
              <w:bottom w:w="0" w:type="dxa"/>
              <w:right w:w="108" w:type="dxa"/>
            </w:tcMar>
          </w:tcPr>
          <w:p w:rsidR="0053316D" w:rsidRPr="00A34388" w:rsidRDefault="0053316D">
            <w:pPr>
              <w:spacing w:line="276" w:lineRule="auto"/>
              <w:rPr>
                <w:rFonts w:cs="Arial"/>
                <w:sz w:val="16"/>
                <w:szCs w:val="16"/>
                <w:lang w:val="es-ES_tradnl"/>
              </w:rPr>
            </w:pPr>
            <w:r w:rsidRPr="00A34388">
              <w:rPr>
                <w:rFonts w:cs="Arial"/>
                <w:sz w:val="16"/>
                <w:szCs w:val="16"/>
                <w:lang w:val="es-ES_tradnl"/>
              </w:rPr>
              <w:t>La renegociación de contratos con empresas de distribución de correo y la agrupación de destinatarios se tradujo en un descenso general de los gastos de correo en 2013 del 23% respecto de 2012:</w:t>
            </w:r>
          </w:p>
          <w:p w:rsidR="0053316D" w:rsidRPr="00A34388" w:rsidRDefault="0053316D" w:rsidP="0053316D">
            <w:pPr>
              <w:numPr>
                <w:ilvl w:val="0"/>
                <w:numId w:val="90"/>
              </w:numPr>
              <w:spacing w:line="276" w:lineRule="auto"/>
              <w:rPr>
                <w:rFonts w:cs="Arial"/>
                <w:sz w:val="16"/>
                <w:szCs w:val="16"/>
                <w:lang w:val="es-ES_tradnl"/>
              </w:rPr>
            </w:pPr>
            <w:r w:rsidRPr="00A34388">
              <w:rPr>
                <w:rFonts w:cs="Arial"/>
                <w:sz w:val="16"/>
                <w:szCs w:val="16"/>
                <w:lang w:val="es-ES_tradnl"/>
              </w:rPr>
              <w:t xml:space="preserve">un total de 1.803.346 artículos enviados con un costo de 2.216.038 francos suizos (2012)  </w:t>
            </w:r>
          </w:p>
          <w:p w:rsidR="0053316D" w:rsidRPr="00A34388" w:rsidRDefault="0053316D" w:rsidP="0053316D">
            <w:pPr>
              <w:numPr>
                <w:ilvl w:val="0"/>
                <w:numId w:val="90"/>
              </w:numPr>
              <w:spacing w:line="276" w:lineRule="auto"/>
              <w:rPr>
                <w:rFonts w:cs="Arial"/>
                <w:sz w:val="16"/>
                <w:szCs w:val="16"/>
                <w:lang w:val="es-ES_tradnl"/>
              </w:rPr>
            </w:pPr>
            <w:r w:rsidRPr="00A34388">
              <w:rPr>
                <w:rFonts w:cs="Arial"/>
                <w:sz w:val="16"/>
                <w:szCs w:val="16"/>
                <w:lang w:val="es-ES_tradnl"/>
              </w:rPr>
              <w:t>un total de 1.439.000 artículos enviados con un costo de 1.705.981 francos suizos (2013)</w:t>
            </w:r>
          </w:p>
          <w:p w:rsidR="0053316D" w:rsidRPr="00A34388" w:rsidRDefault="0053316D">
            <w:pPr>
              <w:spacing w:line="276" w:lineRule="auto"/>
              <w:rPr>
                <w:rFonts w:cs="Arial"/>
                <w:sz w:val="16"/>
                <w:szCs w:val="16"/>
                <w:lang w:val="es-ES_tradnl" w:bidi="th-TH"/>
              </w:rPr>
            </w:pPr>
          </w:p>
          <w:p w:rsidR="0053316D" w:rsidRPr="00A34388" w:rsidRDefault="006A4B98" w:rsidP="006A4B98">
            <w:pPr>
              <w:spacing w:line="276" w:lineRule="auto"/>
              <w:rPr>
                <w:rFonts w:cs="Arial"/>
                <w:sz w:val="16"/>
                <w:szCs w:val="16"/>
                <w:lang w:val="es-ES_tradnl"/>
              </w:rPr>
            </w:pPr>
            <w:r w:rsidRPr="00A34388">
              <w:rPr>
                <w:rFonts w:cs="Arial"/>
                <w:sz w:val="16"/>
                <w:szCs w:val="16"/>
                <w:lang w:val="es-ES_tradnl"/>
              </w:rPr>
              <w:t xml:space="preserve">Un </w:t>
            </w:r>
            <w:r w:rsidR="0053316D" w:rsidRPr="00A34388">
              <w:rPr>
                <w:rFonts w:cs="Arial"/>
                <w:sz w:val="16"/>
                <w:szCs w:val="16"/>
                <w:lang w:val="es-ES_tradnl"/>
              </w:rPr>
              <w:t xml:space="preserve">18% de los envíos certificados en el marco del sistema de Madrid se </w:t>
            </w:r>
            <w:r w:rsidRPr="00A34388">
              <w:rPr>
                <w:rFonts w:cs="Arial"/>
                <w:sz w:val="16"/>
                <w:szCs w:val="16"/>
                <w:lang w:val="es-ES_tradnl"/>
              </w:rPr>
              <w:t xml:space="preserve">remitió </w:t>
            </w:r>
            <w:r w:rsidR="0053316D" w:rsidRPr="00A34388">
              <w:rPr>
                <w:rFonts w:cs="Arial"/>
                <w:sz w:val="16"/>
                <w:szCs w:val="16"/>
                <w:lang w:val="es-ES_tradnl"/>
              </w:rPr>
              <w:t xml:space="preserve">por correo ordinario en 2013, </w:t>
            </w:r>
            <w:r w:rsidRPr="00A34388">
              <w:rPr>
                <w:rFonts w:cs="Arial"/>
                <w:sz w:val="16"/>
                <w:szCs w:val="16"/>
                <w:lang w:val="es-ES_tradnl"/>
              </w:rPr>
              <w:t>obteniéndose también así reducciones de costos</w:t>
            </w:r>
            <w:r w:rsidR="0053316D" w:rsidRPr="00A34388">
              <w:rPr>
                <w:rFonts w:cs="Arial"/>
                <w:sz w:val="16"/>
                <w:szCs w:val="16"/>
                <w:lang w:val="es-ES_tradnl"/>
              </w:rPr>
              <w:t>.</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914D2E">
        <w:trPr>
          <w:cantSplit/>
        </w:trPr>
        <w:tc>
          <w:tcPr>
            <w:tcW w:w="703" w:type="pct"/>
            <w:tcBorders>
              <w:top w:val="nil"/>
              <w:left w:val="single" w:sz="4" w:space="0" w:color="auto"/>
              <w:bottom w:val="nil"/>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lotes de ayuda del PCT en papel o en formato electrónico transmitidos en el plazo previsto.</w:t>
            </w:r>
          </w:p>
          <w:p w:rsidR="0053316D" w:rsidRPr="00A34388" w:rsidRDefault="0053316D">
            <w:pPr>
              <w:spacing w:line="276" w:lineRule="auto"/>
              <w:rPr>
                <w:rFonts w:cs="Arial"/>
                <w:sz w:val="16"/>
                <w:szCs w:val="16"/>
                <w:lang w:val="es-ES_tradnl"/>
              </w:rPr>
            </w:pPr>
          </w:p>
        </w:tc>
        <w:tc>
          <w:tcPr>
            <w:tcW w:w="925" w:type="pct"/>
            <w:tcBorders>
              <w:top w:val="nil"/>
              <w:left w:val="nil"/>
              <w:bottom w:val="nil"/>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a fines de 2011.</w:t>
            </w:r>
          </w:p>
        </w:tc>
        <w:tc>
          <w:tcPr>
            <w:tcW w:w="727" w:type="pct"/>
            <w:tcBorders>
              <w:top w:val="nil"/>
              <w:left w:val="nil"/>
              <w:bottom w:val="nil"/>
              <w:right w:val="nil"/>
            </w:tcBorders>
            <w:tcMar>
              <w:top w:w="110" w:type="dxa"/>
              <w:left w:w="108" w:type="dxa"/>
              <w:bottom w:w="0" w:type="dxa"/>
              <w:right w:w="108" w:type="dxa"/>
            </w:tcMar>
            <w:hideMark/>
          </w:tcPr>
          <w:p w:rsidR="0053316D" w:rsidRPr="00A34388" w:rsidRDefault="0053316D">
            <w:pPr>
              <w:autoSpaceDE w:val="0"/>
              <w:autoSpaceDN w:val="0"/>
              <w:adjustRightInd w:val="0"/>
              <w:spacing w:line="276" w:lineRule="auto"/>
              <w:rPr>
                <w:rFonts w:cs="Arial"/>
                <w:sz w:val="16"/>
                <w:szCs w:val="16"/>
                <w:lang w:val="es-ES_tradnl"/>
              </w:rPr>
            </w:pPr>
            <w:r w:rsidRPr="00A34388">
              <w:rPr>
                <w:rFonts w:cs="Arial"/>
                <w:sz w:val="16"/>
                <w:szCs w:val="16"/>
                <w:lang w:val="es-ES_tradnl"/>
              </w:rPr>
              <w:t xml:space="preserve">Mejora del 10% respecto de la referencia </w:t>
            </w:r>
          </w:p>
        </w:tc>
        <w:tc>
          <w:tcPr>
            <w:tcW w:w="1963" w:type="pct"/>
            <w:tcBorders>
              <w:top w:val="nil"/>
              <w:left w:val="nil"/>
              <w:bottom w:val="nil"/>
              <w:right w:val="nil"/>
            </w:tcBorders>
            <w:shd w:val="clear" w:color="auto" w:fill="FFFFFF"/>
            <w:tcMar>
              <w:top w:w="110" w:type="dxa"/>
              <w:left w:w="108" w:type="dxa"/>
              <w:bottom w:w="0" w:type="dxa"/>
              <w:right w:w="108" w:type="dxa"/>
            </w:tcMar>
          </w:tcPr>
          <w:p w:rsidR="0053316D" w:rsidRPr="00332758" w:rsidRDefault="0053316D">
            <w:pPr>
              <w:spacing w:line="276" w:lineRule="auto"/>
              <w:rPr>
                <w:rFonts w:cs="Arial"/>
                <w:sz w:val="16"/>
                <w:szCs w:val="16"/>
                <w:lang w:val="es-ES_tradnl" w:bidi="th-TH"/>
              </w:rPr>
            </w:pPr>
            <w:r w:rsidRPr="00332758">
              <w:rPr>
                <w:rFonts w:cs="Arial"/>
                <w:sz w:val="16"/>
                <w:szCs w:val="16"/>
                <w:lang w:val="es-ES_tradnl" w:bidi="th-TH"/>
              </w:rPr>
              <w:t>El 98% de las estadísticas sobre los lotes de ayuda del PCT en papel estuvieron disponibles en el plazo previsto.</w:t>
            </w:r>
          </w:p>
          <w:p w:rsidR="0053316D" w:rsidRPr="00332758" w:rsidRDefault="0053316D">
            <w:pPr>
              <w:spacing w:line="276" w:lineRule="auto"/>
              <w:rPr>
                <w:rFonts w:cs="Arial"/>
                <w:sz w:val="16"/>
                <w:szCs w:val="16"/>
                <w:lang w:val="es-ES_tradnl" w:bidi="th-TH"/>
              </w:rPr>
            </w:pPr>
          </w:p>
          <w:p w:rsidR="0053316D" w:rsidRPr="00A34388" w:rsidRDefault="0053316D">
            <w:pPr>
              <w:spacing w:line="276" w:lineRule="auto"/>
              <w:rPr>
                <w:rFonts w:cs="Arial"/>
                <w:sz w:val="16"/>
                <w:szCs w:val="16"/>
                <w:lang w:val="es-ES_tradnl"/>
              </w:rPr>
            </w:pPr>
            <w:r w:rsidRPr="00332758">
              <w:rPr>
                <w:rFonts w:cs="Arial"/>
                <w:sz w:val="16"/>
                <w:szCs w:val="16"/>
                <w:lang w:val="es-ES_tradnl"/>
              </w:rPr>
              <w:t>El 100% de las estadísticas sobre los lotes de ayuda del PCT en formato electrónico estuvieron disponibles en el plazo previsto.</w:t>
            </w:r>
          </w:p>
        </w:tc>
        <w:tc>
          <w:tcPr>
            <w:tcW w:w="682" w:type="pct"/>
            <w:tcBorders>
              <w:top w:val="nil"/>
              <w:left w:val="nil"/>
              <w:bottom w:val="nil"/>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Fonts w:cs="Arial"/>
                <w:sz w:val="16"/>
                <w:szCs w:val="16"/>
                <w:lang w:val="es-ES_tradnl"/>
              </w:rPr>
              <w:t xml:space="preserve"> </w:t>
            </w:r>
          </w:p>
        </w:tc>
      </w:tr>
      <w:tr w:rsidR="0053316D" w:rsidRPr="00A34388" w:rsidTr="00914D2E">
        <w:trPr>
          <w:cantSplit/>
        </w:trPr>
        <w:tc>
          <w:tcPr>
            <w:tcW w:w="703" w:type="pct"/>
            <w:tcBorders>
              <w:top w:val="nil"/>
              <w:left w:val="single" w:sz="4" w:space="0" w:color="auto"/>
              <w:bottom w:val="single" w:sz="4" w:space="0" w:color="auto"/>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de notificaciones del Sistema de Madrid en papel transmitidas en el plazo previsto.</w:t>
            </w:r>
            <w:r w:rsidRPr="00A34388">
              <w:rPr>
                <w:rFonts w:cs="Arial"/>
                <w:sz w:val="16"/>
                <w:szCs w:val="16"/>
                <w:lang w:val="es-ES_tradnl"/>
              </w:rPr>
              <w:t xml:space="preserve"> </w:t>
            </w:r>
          </w:p>
          <w:p w:rsidR="0053316D" w:rsidRPr="00A34388" w:rsidRDefault="0053316D">
            <w:pPr>
              <w:spacing w:line="276" w:lineRule="auto"/>
              <w:rPr>
                <w:rFonts w:cs="Arial"/>
                <w:sz w:val="16"/>
                <w:szCs w:val="16"/>
                <w:lang w:val="es-ES_tradnl"/>
              </w:rPr>
            </w:pPr>
          </w:p>
        </w:tc>
        <w:tc>
          <w:tcPr>
            <w:tcW w:w="925" w:type="pct"/>
            <w:tcBorders>
              <w:top w:val="nil"/>
              <w:left w:val="nil"/>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a fines de 2011.</w:t>
            </w:r>
          </w:p>
        </w:tc>
        <w:tc>
          <w:tcPr>
            <w:tcW w:w="727" w:type="pct"/>
            <w:tcBorders>
              <w:top w:val="nil"/>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A34388">
              <w:rPr>
                <w:rFonts w:cs="Arial"/>
                <w:sz w:val="16"/>
                <w:szCs w:val="16"/>
                <w:lang w:val="es-ES_tradnl"/>
              </w:rPr>
              <w:t xml:space="preserve">Mejora del 10% respecto de la referencia </w:t>
            </w:r>
          </w:p>
        </w:tc>
        <w:tc>
          <w:tcPr>
            <w:tcW w:w="1962" w:type="pct"/>
            <w:tcBorders>
              <w:top w:val="nil"/>
              <w:left w:val="nil"/>
              <w:bottom w:val="single" w:sz="4" w:space="0" w:color="auto"/>
              <w:right w:val="nil"/>
            </w:tcBorders>
            <w:shd w:val="clear" w:color="auto" w:fill="FFFFFF"/>
            <w:tcMar>
              <w:top w:w="110" w:type="dxa"/>
              <w:left w:w="108" w:type="dxa"/>
              <w:bottom w:w="0" w:type="dxa"/>
              <w:right w:w="108" w:type="dxa"/>
            </w:tcMar>
            <w:hideMark/>
          </w:tcPr>
          <w:p w:rsidR="0053316D" w:rsidRPr="00A34388" w:rsidRDefault="0053316D">
            <w:pPr>
              <w:spacing w:line="276" w:lineRule="auto"/>
              <w:rPr>
                <w:rFonts w:eastAsiaTheme="minorHAnsi" w:cs="Arial"/>
                <w:sz w:val="16"/>
                <w:szCs w:val="16"/>
                <w:lang w:val="es-ES_tradnl"/>
              </w:rPr>
            </w:pPr>
            <w:r w:rsidRPr="00A34388">
              <w:rPr>
                <w:rFonts w:eastAsiaTheme="minorHAnsi" w:cs="Arial"/>
                <w:sz w:val="16"/>
                <w:szCs w:val="16"/>
                <w:lang w:val="es-ES_tradnl"/>
              </w:rPr>
              <w:t xml:space="preserve">Porcentaje de notificaciones del sistema de Madrid en papel transmitidas en el plazo previsto: </w:t>
            </w:r>
            <w:r w:rsidR="007E4D96" w:rsidRPr="00A34388">
              <w:rPr>
                <w:rFonts w:eastAsiaTheme="minorHAnsi" w:cs="Arial"/>
                <w:sz w:val="16"/>
                <w:szCs w:val="16"/>
                <w:lang w:val="es-ES_tradnl"/>
              </w:rPr>
              <w:t xml:space="preserve"> </w:t>
            </w:r>
            <w:r w:rsidRPr="00A34388">
              <w:rPr>
                <w:rFonts w:eastAsiaTheme="minorHAnsi" w:cs="Arial"/>
                <w:sz w:val="16"/>
                <w:szCs w:val="16"/>
                <w:lang w:val="es-ES_tradnl"/>
              </w:rPr>
              <w:t>99%</w:t>
            </w:r>
          </w:p>
        </w:tc>
        <w:tc>
          <w:tcPr>
            <w:tcW w:w="682" w:type="pct"/>
            <w:tcBorders>
              <w:top w:val="nil"/>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r w:rsidRPr="00A34388">
              <w:rPr>
                <w:rFonts w:cs="Arial"/>
                <w:sz w:val="16"/>
                <w:szCs w:val="16"/>
                <w:lang w:val="es-ES_tradnl"/>
              </w:rPr>
              <w:t xml:space="preserve"> </w:t>
            </w:r>
          </w:p>
        </w:tc>
      </w:tr>
      <w:tr w:rsidR="0053316D" w:rsidRPr="00A34388" w:rsidTr="00914D2E">
        <w:trPr>
          <w:cantSplit/>
        </w:trPr>
        <w:tc>
          <w:tcPr>
            <w:tcW w:w="703" w:type="pct"/>
            <w:tcBorders>
              <w:top w:val="single" w:sz="4" w:space="0" w:color="auto"/>
              <w:left w:val="single" w:sz="4" w:space="0" w:color="auto"/>
              <w:bottom w:val="single" w:sz="4" w:space="0" w:color="auto"/>
              <w:right w:val="nil"/>
            </w:tcBorders>
          </w:tcPr>
          <w:p w:rsidR="0053316D" w:rsidRPr="00A34388" w:rsidRDefault="0053316D">
            <w:pPr>
              <w:spacing w:line="276" w:lineRule="auto"/>
              <w:rPr>
                <w:rFonts w:cs="Arial"/>
                <w:sz w:val="16"/>
                <w:szCs w:val="16"/>
                <w:lang w:val="es-ES_tradnl"/>
              </w:rPr>
            </w:pPr>
            <w:r w:rsidRPr="00332758">
              <w:rPr>
                <w:rFonts w:cs="Arial"/>
                <w:sz w:val="16"/>
                <w:szCs w:val="16"/>
                <w:lang w:val="es-ES_tradnl"/>
              </w:rPr>
              <w:lastRenderedPageBreak/>
              <w:t>Porcentaje de la base Romarin del Sistema de Madrid disponible por Internet en el plazo previsto.</w:t>
            </w:r>
          </w:p>
          <w:p w:rsidR="0053316D" w:rsidRPr="00A34388" w:rsidRDefault="0053316D">
            <w:pPr>
              <w:spacing w:line="276" w:lineRule="auto"/>
              <w:rPr>
                <w:rFonts w:cs="Arial"/>
                <w:sz w:val="16"/>
                <w:szCs w:val="16"/>
                <w:lang w:val="es-ES_tradnl"/>
              </w:rPr>
            </w:pPr>
          </w:p>
        </w:tc>
        <w:tc>
          <w:tcPr>
            <w:tcW w:w="925" w:type="pct"/>
            <w:tcBorders>
              <w:top w:val="single" w:sz="4" w:space="0" w:color="auto"/>
              <w:left w:val="nil"/>
              <w:bottom w:val="single" w:sz="4" w:space="0" w:color="auto"/>
              <w:right w:val="nil"/>
            </w:tcBorders>
            <w:hideMark/>
          </w:tcPr>
          <w:p w:rsidR="0053316D" w:rsidRPr="00A34388" w:rsidRDefault="0053316D">
            <w:pPr>
              <w:spacing w:line="276" w:lineRule="auto"/>
              <w:rPr>
                <w:rFonts w:cs="Arial"/>
                <w:sz w:val="16"/>
                <w:szCs w:val="16"/>
                <w:lang w:val="es-ES_tradnl"/>
              </w:rPr>
            </w:pPr>
            <w:r w:rsidRPr="00332758">
              <w:rPr>
                <w:rFonts w:cs="Arial"/>
                <w:sz w:val="16"/>
                <w:szCs w:val="16"/>
                <w:lang w:val="es-ES_tradnl"/>
              </w:rPr>
              <w:t>Porcentaje a fines de 2011.</w:t>
            </w:r>
          </w:p>
        </w:tc>
        <w:tc>
          <w:tcPr>
            <w:tcW w:w="727" w:type="pct"/>
            <w:tcBorders>
              <w:top w:val="single" w:sz="4" w:space="0" w:color="auto"/>
              <w:left w:val="nil"/>
              <w:bottom w:val="single" w:sz="4" w:space="0" w:color="auto"/>
              <w:right w:val="nil"/>
            </w:tcBorders>
            <w:tcMar>
              <w:top w:w="110" w:type="dxa"/>
              <w:left w:w="108" w:type="dxa"/>
              <w:bottom w:w="0" w:type="dxa"/>
              <w:right w:w="108" w:type="dxa"/>
            </w:tcMar>
            <w:hideMark/>
          </w:tcPr>
          <w:p w:rsidR="0053316D" w:rsidRPr="00A34388" w:rsidRDefault="0053316D">
            <w:pPr>
              <w:spacing w:line="276" w:lineRule="auto"/>
              <w:rPr>
                <w:rFonts w:cs="Arial"/>
                <w:sz w:val="16"/>
                <w:szCs w:val="16"/>
                <w:lang w:val="es-ES_tradnl"/>
              </w:rPr>
            </w:pPr>
            <w:r w:rsidRPr="00A34388">
              <w:rPr>
                <w:rFonts w:cs="Arial"/>
                <w:sz w:val="16"/>
                <w:szCs w:val="16"/>
                <w:lang w:val="es-ES_tradnl"/>
              </w:rPr>
              <w:t>Mejora del 10% respecto de la referencia</w:t>
            </w:r>
          </w:p>
        </w:tc>
        <w:tc>
          <w:tcPr>
            <w:tcW w:w="1962" w:type="pct"/>
            <w:tcBorders>
              <w:top w:val="single" w:sz="4" w:space="0" w:color="auto"/>
              <w:left w:val="nil"/>
              <w:bottom w:val="single" w:sz="4" w:space="0" w:color="auto"/>
              <w:right w:val="nil"/>
            </w:tcBorders>
            <w:shd w:val="clear" w:color="auto" w:fill="FFFFFF"/>
            <w:tcMar>
              <w:top w:w="110" w:type="dxa"/>
              <w:left w:w="108" w:type="dxa"/>
              <w:bottom w:w="0" w:type="dxa"/>
              <w:right w:w="108" w:type="dxa"/>
            </w:tcMar>
          </w:tcPr>
          <w:p w:rsidR="0053316D" w:rsidRPr="00332758" w:rsidRDefault="0053316D">
            <w:pPr>
              <w:spacing w:line="276" w:lineRule="auto"/>
              <w:rPr>
                <w:rFonts w:cs="Arial"/>
                <w:sz w:val="16"/>
                <w:szCs w:val="16"/>
                <w:lang w:val="es-ES_tradnl" w:bidi="th-TH"/>
              </w:rPr>
            </w:pPr>
            <w:r w:rsidRPr="00332758">
              <w:rPr>
                <w:rFonts w:cs="Arial"/>
                <w:sz w:val="16"/>
                <w:szCs w:val="16"/>
                <w:lang w:val="es-ES_tradnl" w:bidi="th-TH"/>
              </w:rPr>
              <w:t>El 100% de la base Romarin del Sistema de Madrid estuvo disponible por Internet en el plazo previsto</w:t>
            </w:r>
            <w:r w:rsidR="00675CDF" w:rsidRPr="00332758">
              <w:rPr>
                <w:rFonts w:cs="Arial"/>
                <w:sz w:val="16"/>
                <w:szCs w:val="16"/>
                <w:lang w:val="es-ES_tradnl" w:bidi="th-TH"/>
              </w:rPr>
              <w:t xml:space="preserve"> (a comienzos de 2012)</w:t>
            </w:r>
            <w:r w:rsidRPr="00332758">
              <w:rPr>
                <w:rFonts w:cs="Arial"/>
                <w:sz w:val="16"/>
                <w:szCs w:val="16"/>
                <w:lang w:val="es-ES_tradnl" w:bidi="th-TH"/>
              </w:rPr>
              <w:t>.</w:t>
            </w:r>
          </w:p>
          <w:p w:rsidR="0053316D" w:rsidRPr="00A34388" w:rsidRDefault="0053316D">
            <w:pPr>
              <w:spacing w:line="276" w:lineRule="auto"/>
              <w:rPr>
                <w:rFonts w:cs="Arial"/>
                <w:sz w:val="16"/>
                <w:szCs w:val="16"/>
                <w:lang w:val="es-ES_tradnl" w:bidi="th-TH"/>
              </w:rPr>
            </w:pPr>
          </w:p>
          <w:p w:rsidR="0053316D" w:rsidRPr="00A34388" w:rsidRDefault="006A4B98" w:rsidP="006A4B98">
            <w:pPr>
              <w:spacing w:line="276" w:lineRule="auto"/>
              <w:rPr>
                <w:rFonts w:cs="Arial"/>
                <w:sz w:val="16"/>
                <w:szCs w:val="16"/>
                <w:lang w:val="es-ES_tradnl"/>
              </w:rPr>
            </w:pPr>
            <w:r w:rsidRPr="00A34388">
              <w:rPr>
                <w:rFonts w:cs="Arial"/>
                <w:sz w:val="16"/>
                <w:szCs w:val="16"/>
                <w:lang w:val="es-ES_tradnl" w:bidi="th-TH"/>
              </w:rPr>
              <w:t xml:space="preserve">Este </w:t>
            </w:r>
            <w:r w:rsidR="0053316D" w:rsidRPr="00A34388">
              <w:rPr>
                <w:rFonts w:cs="Arial"/>
                <w:sz w:val="16"/>
                <w:szCs w:val="16"/>
                <w:lang w:val="es-ES_tradnl" w:bidi="th-TH"/>
              </w:rPr>
              <w:t xml:space="preserve">servicio fue interrumpido a principios de 2012. </w:t>
            </w:r>
          </w:p>
        </w:tc>
        <w:tc>
          <w:tcPr>
            <w:tcW w:w="682" w:type="pct"/>
            <w:tcBorders>
              <w:top w:val="single" w:sz="4" w:space="0" w:color="auto"/>
              <w:left w:val="nil"/>
              <w:bottom w:val="single" w:sz="4" w:space="0" w:color="auto"/>
              <w:right w:val="single" w:sz="4" w:space="0" w:color="auto"/>
            </w:tcBorders>
            <w:tcMar>
              <w:top w:w="110" w:type="dxa"/>
              <w:left w:w="108" w:type="dxa"/>
              <w:bottom w:w="0" w:type="dxa"/>
              <w:right w:w="108" w:type="dxa"/>
            </w:tcMar>
            <w:hideMark/>
          </w:tcPr>
          <w:p w:rsidR="0053316D" w:rsidRPr="00332758" w:rsidRDefault="0053316D">
            <w:pPr>
              <w:keepNext/>
              <w:keepLines/>
              <w:spacing w:line="276" w:lineRule="auto"/>
              <w:jc w:val="center"/>
              <w:rPr>
                <w:rFonts w:cs="Arial"/>
                <w:bCs/>
                <w:sz w:val="16"/>
                <w:szCs w:val="16"/>
                <w:lang w:val="es-ES_tradnl"/>
              </w:rPr>
            </w:pPr>
            <w:r w:rsidRPr="00A34388">
              <w:rPr>
                <w:rFonts w:cs="Arial"/>
                <w:sz w:val="16"/>
                <w:szCs w:val="16"/>
                <w:lang w:val="es-ES_tradnl"/>
              </w:rPr>
              <w:t>Interrumpido</w:t>
            </w:r>
          </w:p>
        </w:tc>
      </w:tr>
    </w:tbl>
    <w:p w:rsidR="0053316D" w:rsidRPr="00A34388" w:rsidRDefault="0053316D" w:rsidP="0053316D">
      <w:pPr>
        <w:keepNext/>
        <w:keepLines/>
        <w:rPr>
          <w:rFonts w:cs="Arial"/>
          <w:sz w:val="22"/>
          <w:szCs w:val="22"/>
          <w:lang w:val="es-ES_tradnl"/>
        </w:rPr>
      </w:pPr>
    </w:p>
    <w:p w:rsidR="0053316D" w:rsidRPr="00A34388" w:rsidRDefault="0053316D" w:rsidP="0053316D">
      <w:pPr>
        <w:keepNext/>
        <w:keepLines/>
        <w:rPr>
          <w:rFonts w:cs="Arial"/>
          <w:sz w:val="22"/>
          <w:szCs w:val="22"/>
          <w:lang w:val="es-ES_tradnl"/>
        </w:rPr>
      </w:pPr>
    </w:p>
    <w:p w:rsidR="0053316D" w:rsidRPr="00A34388" w:rsidRDefault="0053316D" w:rsidP="0053316D">
      <w:pPr>
        <w:keepNext/>
        <w:keepLines/>
        <w:rPr>
          <w:rFonts w:cs="Arial"/>
          <w:sz w:val="22"/>
          <w:szCs w:val="22"/>
          <w:lang w:val="es-ES_tradnl"/>
        </w:rPr>
      </w:pPr>
      <w:r w:rsidRPr="00332758">
        <w:rPr>
          <w:rFonts w:cs="Arial"/>
          <w:sz w:val="22"/>
          <w:szCs w:val="22"/>
          <w:lang w:val="es-ES_tradnl"/>
        </w:rPr>
        <w:t>PRESUPUESTO Y GASTOS REALES</w:t>
      </w:r>
    </w:p>
    <w:p w:rsidR="0053316D" w:rsidRPr="00A34388" w:rsidRDefault="0053316D" w:rsidP="0053316D">
      <w:pPr>
        <w:keepNext/>
        <w:keepLines/>
        <w:rPr>
          <w:rFonts w:cs="Arial"/>
          <w:szCs w:val="20"/>
          <w:lang w:val="es-ES_tradnl"/>
        </w:rPr>
      </w:pPr>
    </w:p>
    <w:p w:rsidR="0053316D" w:rsidRPr="00A34388" w:rsidRDefault="0053316D" w:rsidP="0053316D">
      <w:pPr>
        <w:jc w:val="center"/>
        <w:rPr>
          <w:rFonts w:cs="Arial"/>
          <w:szCs w:val="20"/>
          <w:lang w:val="es-ES_tradnl"/>
        </w:rPr>
      </w:pPr>
      <w:r w:rsidRPr="00A34388">
        <w:rPr>
          <w:rFonts w:cs="Arial"/>
          <w:color w:val="000000"/>
          <w:szCs w:val="20"/>
          <w:lang w:val="es-ES_tradnl"/>
        </w:rPr>
        <w:t xml:space="preserve">Presupuesto y gastos reales (por resultado) </w:t>
      </w:r>
    </w:p>
    <w:p w:rsidR="0053316D" w:rsidRPr="00332758" w:rsidRDefault="0053316D" w:rsidP="0053316D">
      <w:pPr>
        <w:jc w:val="center"/>
        <w:rPr>
          <w:rFonts w:cs="Arial"/>
          <w:szCs w:val="20"/>
          <w:lang w:val="es-ES_tradnl"/>
        </w:rPr>
      </w:pPr>
      <w:r w:rsidRPr="00332758">
        <w:rPr>
          <w:rFonts w:cs="Arial"/>
          <w:i/>
          <w:szCs w:val="20"/>
          <w:lang w:val="es-ES_tradnl"/>
        </w:rPr>
        <w:t>(en miles de francos suizos)</w:t>
      </w:r>
    </w:p>
    <w:p w:rsidR="0053316D" w:rsidRPr="00A34388" w:rsidRDefault="0053316D" w:rsidP="0053316D">
      <w:pPr>
        <w:keepNext/>
        <w:keepLines/>
        <w:rPr>
          <w:rFonts w:cs="Arial"/>
          <w:szCs w:val="20"/>
          <w:lang w:val="es-ES_tradnl"/>
        </w:rPr>
      </w:pPr>
    </w:p>
    <w:tbl>
      <w:tblPr>
        <w:tblW w:w="0" w:type="auto"/>
        <w:tblInd w:w="103" w:type="dxa"/>
        <w:tblLook w:val="04A0" w:firstRow="1" w:lastRow="0" w:firstColumn="1" w:lastColumn="0" w:noHBand="0" w:noVBand="1"/>
      </w:tblPr>
      <w:tblGrid>
        <w:gridCol w:w="501"/>
        <w:gridCol w:w="4324"/>
        <w:gridCol w:w="1507"/>
        <w:gridCol w:w="1507"/>
        <w:gridCol w:w="1507"/>
      </w:tblGrid>
      <w:tr w:rsidR="0053316D" w:rsidRPr="00A34388" w:rsidTr="0053316D">
        <w:tc>
          <w:tcPr>
            <w:tcW w:w="482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07"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aprobado 2012/13</w:t>
            </w:r>
          </w:p>
        </w:tc>
        <w:tc>
          <w:tcPr>
            <w:tcW w:w="1507"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07" w:type="dxa"/>
            <w:tcBorders>
              <w:top w:val="single" w:sz="4" w:space="0" w:color="auto"/>
              <w:left w:val="nil"/>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A34388">
              <w:rPr>
                <w:rFonts w:cs="Arial"/>
                <w:bCs/>
                <w:color w:val="000000"/>
                <w:sz w:val="16"/>
                <w:szCs w:val="16"/>
                <w:lang w:val="es-ES_tradnl"/>
              </w:rPr>
              <w:t xml:space="preserve">Gastos en 2012/13 </w:t>
            </w:r>
            <w:r w:rsidRPr="00A34388">
              <w:rPr>
                <w:rFonts w:cs="Arial"/>
                <w:bCs/>
                <w:color w:val="000000"/>
                <w:sz w:val="16"/>
                <w:szCs w:val="16"/>
                <w:lang w:val="es-ES_tradnl"/>
              </w:rPr>
              <w:br/>
            </w:r>
          </w:p>
        </w:tc>
      </w:tr>
      <w:tr w:rsidR="0053316D" w:rsidRPr="00A34388" w:rsidTr="0053316D">
        <w:tc>
          <w:tcPr>
            <w:tcW w:w="501" w:type="dxa"/>
            <w:tcBorders>
              <w:top w:val="nil"/>
              <w:left w:val="single" w:sz="4" w:space="0" w:color="auto"/>
              <w:bottom w:val="single" w:sz="4" w:space="0" w:color="auto"/>
              <w:right w:val="nil"/>
            </w:tcBorders>
            <w:shd w:val="clear" w:color="auto" w:fill="FFFFFF"/>
            <w:noWrap/>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IX.1</w:t>
            </w:r>
          </w:p>
        </w:tc>
        <w:tc>
          <w:tcPr>
            <w:tcW w:w="4324" w:type="dxa"/>
            <w:tcBorders>
              <w:top w:val="nil"/>
              <w:left w:val="nil"/>
              <w:bottom w:val="single" w:sz="4" w:space="0" w:color="auto"/>
              <w:right w:val="nil"/>
            </w:tcBorders>
            <w:shd w:val="clear" w:color="auto" w:fill="FFFFFF"/>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Servicios de apoyo eficaces, eficientes, de calidad y orientados al cliente, tanto a los clientes internos como a las partes interesadas externas (recursos humanos, T.I., servicios de conferencias y lingüísticos, compras, viajes, impresión y publicación, gestión de locales)</w:t>
            </w:r>
          </w:p>
        </w:tc>
        <w:tc>
          <w:tcPr>
            <w:tcW w:w="1507"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37.240 </w:t>
            </w:r>
          </w:p>
        </w:tc>
        <w:tc>
          <w:tcPr>
            <w:tcW w:w="1507" w:type="dxa"/>
            <w:shd w:val="clear" w:color="auto" w:fill="FFFFFF"/>
            <w:vAlign w:val="center"/>
            <w:hideMark/>
          </w:tcPr>
          <w:p w:rsidR="0053316D" w:rsidRPr="00A34388" w:rsidRDefault="0053316D">
            <w:pPr>
              <w:spacing w:before="120" w:after="120" w:line="276" w:lineRule="auto"/>
              <w:jc w:val="right"/>
              <w:rPr>
                <w:rFonts w:cs="Arial"/>
                <w:color w:val="808080"/>
                <w:sz w:val="16"/>
                <w:szCs w:val="16"/>
                <w:lang w:val="es-ES_tradnl"/>
              </w:rPr>
            </w:pPr>
            <w:r w:rsidRPr="00332758">
              <w:rPr>
                <w:rFonts w:cs="Arial"/>
                <w:sz w:val="16"/>
                <w:szCs w:val="16"/>
                <w:lang w:val="es-ES_tradnl"/>
              </w:rPr>
              <w:t xml:space="preserve">37.706 </w:t>
            </w:r>
          </w:p>
        </w:tc>
        <w:tc>
          <w:tcPr>
            <w:tcW w:w="1507" w:type="dxa"/>
            <w:tcBorders>
              <w:top w:val="nil"/>
              <w:left w:val="nil"/>
              <w:bottom w:val="nil"/>
              <w:right w:val="single" w:sz="4" w:space="0" w:color="auto"/>
            </w:tcBorders>
            <w:shd w:val="clear" w:color="auto" w:fill="FFFFFF"/>
            <w:vAlign w:val="center"/>
            <w:hideMark/>
          </w:tcPr>
          <w:p w:rsidR="0053316D" w:rsidRPr="00332758" w:rsidRDefault="0053316D">
            <w:pPr>
              <w:spacing w:before="120" w:after="120" w:line="276" w:lineRule="auto"/>
              <w:jc w:val="right"/>
              <w:rPr>
                <w:rFonts w:cs="Arial"/>
                <w:sz w:val="16"/>
                <w:szCs w:val="16"/>
                <w:lang w:val="es-ES_tradnl"/>
              </w:rPr>
            </w:pPr>
            <w:r w:rsidRPr="00332758">
              <w:rPr>
                <w:rFonts w:cs="Arial"/>
                <w:sz w:val="16"/>
                <w:szCs w:val="16"/>
                <w:lang w:val="es-ES_tradnl"/>
              </w:rPr>
              <w:t xml:space="preserve">37.079 </w:t>
            </w:r>
          </w:p>
        </w:tc>
      </w:tr>
      <w:tr w:rsidR="0053316D" w:rsidRPr="00A34388" w:rsidTr="0053316D">
        <w:tc>
          <w:tcPr>
            <w:tcW w:w="501" w:type="dxa"/>
            <w:tcBorders>
              <w:top w:val="nil"/>
              <w:left w:val="single" w:sz="4" w:space="0" w:color="auto"/>
              <w:bottom w:val="single" w:sz="4" w:space="0" w:color="auto"/>
              <w:right w:val="nil"/>
            </w:tcBorders>
            <w:shd w:val="clear" w:color="auto" w:fill="CCFFFF"/>
            <w:noWrap/>
            <w:vAlign w:val="bottom"/>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 xml:space="preserve"> </w:t>
            </w:r>
          </w:p>
        </w:tc>
        <w:tc>
          <w:tcPr>
            <w:tcW w:w="4324" w:type="dxa"/>
            <w:tcBorders>
              <w:top w:val="nil"/>
              <w:left w:val="nil"/>
              <w:bottom w:val="single" w:sz="4" w:space="0" w:color="auto"/>
              <w:right w:val="nil"/>
            </w:tcBorders>
            <w:shd w:val="clear" w:color="auto" w:fill="CCFFFF"/>
            <w:noWrap/>
            <w:vAlign w:val="center"/>
            <w:hideMark/>
          </w:tcPr>
          <w:p w:rsidR="0053316D" w:rsidRPr="00A34388" w:rsidRDefault="0053316D">
            <w:pPr>
              <w:spacing w:before="120" w:after="120" w:line="276" w:lineRule="auto"/>
              <w:rPr>
                <w:rFonts w:cs="Arial"/>
                <w:b/>
                <w:bCs/>
                <w:color w:val="808080"/>
                <w:sz w:val="16"/>
                <w:szCs w:val="16"/>
                <w:lang w:val="es-ES_tradnl"/>
              </w:rPr>
            </w:pPr>
            <w:r w:rsidRPr="00332758">
              <w:rPr>
                <w:rFonts w:cs="Arial"/>
                <w:b/>
                <w:bCs/>
                <w:sz w:val="16"/>
                <w:szCs w:val="16"/>
                <w:lang w:val="es-ES_tradnl"/>
              </w:rPr>
              <w:t>TOTAL</w:t>
            </w:r>
          </w:p>
        </w:tc>
        <w:tc>
          <w:tcPr>
            <w:tcW w:w="1507"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37.240</w:t>
            </w:r>
          </w:p>
        </w:tc>
        <w:tc>
          <w:tcPr>
            <w:tcW w:w="1507" w:type="dxa"/>
            <w:tcBorders>
              <w:top w:val="single" w:sz="4" w:space="0" w:color="auto"/>
              <w:left w:val="nil"/>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37.706</w:t>
            </w:r>
          </w:p>
        </w:tc>
        <w:tc>
          <w:tcPr>
            <w:tcW w:w="1507" w:type="dxa"/>
            <w:tcBorders>
              <w:top w:val="single" w:sz="4" w:space="0" w:color="auto"/>
              <w:left w:val="nil"/>
              <w:bottom w:val="single" w:sz="4" w:space="0" w:color="auto"/>
              <w:right w:val="single" w:sz="4" w:space="0" w:color="auto"/>
            </w:tcBorders>
            <w:shd w:val="clear" w:color="auto" w:fill="CCFFFF"/>
            <w:vAlign w:val="center"/>
            <w:hideMark/>
          </w:tcPr>
          <w:p w:rsidR="0053316D" w:rsidRPr="00332758" w:rsidRDefault="0053316D">
            <w:pPr>
              <w:spacing w:before="120" w:after="120" w:line="276" w:lineRule="auto"/>
              <w:jc w:val="right"/>
              <w:rPr>
                <w:rFonts w:cs="Arial"/>
                <w:b/>
                <w:bCs/>
                <w:sz w:val="16"/>
                <w:szCs w:val="16"/>
                <w:lang w:val="es-ES_tradnl"/>
              </w:rPr>
            </w:pPr>
            <w:r w:rsidRPr="00332758">
              <w:rPr>
                <w:rFonts w:cs="Arial"/>
                <w:b/>
                <w:bCs/>
                <w:sz w:val="16"/>
                <w:szCs w:val="16"/>
                <w:lang w:val="es-ES_tradnl"/>
              </w:rPr>
              <w:t>37.079</w:t>
            </w:r>
          </w:p>
        </w:tc>
      </w:tr>
    </w:tbl>
    <w:p w:rsidR="0053316D" w:rsidRPr="00A34388" w:rsidRDefault="0053316D" w:rsidP="0053316D">
      <w:pPr>
        <w:keepNext/>
        <w:keepLines/>
        <w:rPr>
          <w:rFonts w:cs="Arial"/>
          <w:szCs w:val="20"/>
          <w:lang w:val="es-ES_tradnl"/>
        </w:rPr>
      </w:pPr>
    </w:p>
    <w:p w:rsidR="0053316D" w:rsidRPr="00A34388" w:rsidRDefault="0053316D" w:rsidP="0053316D">
      <w:pPr>
        <w:jc w:val="center"/>
        <w:rPr>
          <w:rFonts w:cs="Arial"/>
          <w:szCs w:val="20"/>
          <w:lang w:val="es-ES_tradnl"/>
        </w:rPr>
      </w:pPr>
      <w:r w:rsidRPr="00A34388">
        <w:rPr>
          <w:rFonts w:cs="Arial"/>
          <w:color w:val="000000"/>
          <w:szCs w:val="20"/>
          <w:lang w:val="es-ES_tradnl"/>
        </w:rPr>
        <w:t xml:space="preserve">Presupuesto y gastos reales (de personal y no relativos al personal) </w:t>
      </w:r>
    </w:p>
    <w:p w:rsidR="0053316D" w:rsidRPr="00332758" w:rsidRDefault="0053316D" w:rsidP="0053316D">
      <w:pPr>
        <w:jc w:val="center"/>
        <w:rPr>
          <w:rFonts w:cs="Arial"/>
          <w:i/>
          <w:iCs/>
          <w:szCs w:val="20"/>
          <w:lang w:val="es-ES_tradnl"/>
        </w:rPr>
      </w:pPr>
      <w:r w:rsidRPr="00332758">
        <w:rPr>
          <w:rFonts w:cs="Arial"/>
          <w:i/>
          <w:iCs/>
          <w:szCs w:val="20"/>
          <w:lang w:val="es-ES_tradnl"/>
        </w:rPr>
        <w:t>(en miles de francos suizos)</w:t>
      </w:r>
    </w:p>
    <w:p w:rsidR="0053316D" w:rsidRPr="00A34388" w:rsidRDefault="0053316D" w:rsidP="0053316D">
      <w:pPr>
        <w:jc w:val="center"/>
        <w:rPr>
          <w:rFonts w:cs="Arial"/>
          <w:szCs w:val="20"/>
          <w:lang w:val="es-ES_tradnl"/>
        </w:rPr>
      </w:pPr>
    </w:p>
    <w:tbl>
      <w:tblPr>
        <w:tblW w:w="0" w:type="auto"/>
        <w:tblInd w:w="93" w:type="dxa"/>
        <w:tblLook w:val="04A0" w:firstRow="1" w:lastRow="0" w:firstColumn="1" w:lastColumn="0" w:noHBand="0" w:noVBand="1"/>
      </w:tblPr>
      <w:tblGrid>
        <w:gridCol w:w="2567"/>
        <w:gridCol w:w="1701"/>
        <w:gridCol w:w="1701"/>
        <w:gridCol w:w="1701"/>
        <w:gridCol w:w="1701"/>
      </w:tblGrid>
      <w:tr w:rsidR="0053316D" w:rsidRPr="00A34388" w:rsidTr="0053316D">
        <w:tc>
          <w:tcPr>
            <w:tcW w:w="2567"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53316D" w:rsidRPr="00A34388" w:rsidRDefault="0053316D">
            <w:pPr>
              <w:spacing w:before="120" w:after="120" w:line="276" w:lineRule="auto"/>
              <w:rPr>
                <w:rFonts w:cs="Arial"/>
                <w:color w:val="000000"/>
                <w:sz w:val="16"/>
                <w:szCs w:val="16"/>
                <w:lang w:val="es-ES_tradnl"/>
              </w:rPr>
            </w:pPr>
            <w:r w:rsidRPr="00A34388">
              <w:rPr>
                <w:rFonts w:cs="Arial"/>
                <w:color w:val="000000"/>
                <w:sz w:val="16"/>
                <w:szCs w:val="16"/>
                <w:lang w:val="es-ES_tradnl"/>
              </w:rPr>
              <w:t xml:space="preserve"> </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Presupuesto aprobado 2012/13</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808080"/>
                <w:sz w:val="16"/>
                <w:szCs w:val="16"/>
                <w:lang w:val="es-ES_tradnl"/>
              </w:rPr>
            </w:pPr>
            <w:r w:rsidRPr="00332758">
              <w:rPr>
                <w:rFonts w:cs="Arial"/>
                <w:bCs/>
                <w:sz w:val="16"/>
                <w:szCs w:val="16"/>
                <w:lang w:val="es-ES_tradnl"/>
              </w:rPr>
              <w:t>Gastos en 2012/13</w:t>
            </w:r>
          </w:p>
        </w:tc>
        <w:tc>
          <w:tcPr>
            <w:tcW w:w="1701" w:type="dxa"/>
            <w:tcBorders>
              <w:top w:val="single" w:sz="4" w:space="0" w:color="auto"/>
              <w:left w:val="nil"/>
              <w:bottom w:val="nil"/>
              <w:right w:val="single" w:sz="4" w:space="0" w:color="auto"/>
            </w:tcBorders>
            <w:shd w:val="clear" w:color="auto" w:fill="CCFFFF"/>
            <w:vAlign w:val="center"/>
            <w:hideMark/>
          </w:tcPr>
          <w:p w:rsidR="0053316D" w:rsidRPr="00A34388" w:rsidRDefault="0053316D">
            <w:pPr>
              <w:spacing w:before="120" w:after="120" w:line="276" w:lineRule="auto"/>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53316D">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 Recursos de personal  </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28.090</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28.022</w:t>
            </w:r>
          </w:p>
        </w:tc>
        <w:tc>
          <w:tcPr>
            <w:tcW w:w="1701" w:type="dxa"/>
            <w:tcBorders>
              <w:top w:val="single" w:sz="4" w:space="0" w:color="auto"/>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28.022</w:t>
            </w:r>
          </w:p>
        </w:tc>
        <w:tc>
          <w:tcPr>
            <w:tcW w:w="1701" w:type="dxa"/>
            <w:tcBorders>
              <w:top w:val="single" w:sz="4" w:space="0" w:color="auto"/>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100%</w:t>
            </w:r>
          </w:p>
        </w:tc>
      </w:tr>
      <w:tr w:rsidR="0053316D" w:rsidRPr="00A34388" w:rsidTr="0053316D">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rPr>
                <w:rFonts w:cs="Arial"/>
                <w:color w:val="808080"/>
                <w:sz w:val="16"/>
                <w:szCs w:val="16"/>
                <w:lang w:val="es-ES_tradnl"/>
              </w:rPr>
            </w:pPr>
            <w:r w:rsidRPr="00332758">
              <w:rPr>
                <w:rFonts w:cs="Arial"/>
                <w:sz w:val="16"/>
                <w:szCs w:val="16"/>
                <w:lang w:val="es-ES_tradnl"/>
              </w:rPr>
              <w:t xml:space="preserve"> Recursos no relativos al personal </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9.150</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9.684</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color w:val="808080"/>
                <w:sz w:val="16"/>
                <w:szCs w:val="16"/>
                <w:lang w:val="es-ES_tradnl"/>
              </w:rPr>
            </w:pPr>
            <w:r w:rsidRPr="00332758">
              <w:rPr>
                <w:rFonts w:cs="Arial"/>
                <w:sz w:val="16"/>
                <w:szCs w:val="16"/>
                <w:lang w:val="es-ES_tradnl"/>
              </w:rPr>
              <w:t>9.057</w:t>
            </w:r>
          </w:p>
        </w:tc>
        <w:tc>
          <w:tcPr>
            <w:tcW w:w="1701"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sz w:val="16"/>
                <w:szCs w:val="16"/>
                <w:lang w:val="es-ES_tradnl"/>
              </w:rPr>
            </w:pPr>
            <w:r w:rsidRPr="00332758">
              <w:rPr>
                <w:rFonts w:cs="Arial"/>
                <w:sz w:val="16"/>
                <w:szCs w:val="16"/>
                <w:lang w:val="es-ES_tradnl"/>
              </w:rPr>
              <w:t>94%</w:t>
            </w:r>
          </w:p>
        </w:tc>
      </w:tr>
      <w:tr w:rsidR="0053316D" w:rsidRPr="00A34388" w:rsidTr="0053316D">
        <w:tc>
          <w:tcPr>
            <w:tcW w:w="2567" w:type="dxa"/>
            <w:tcBorders>
              <w:top w:val="nil"/>
              <w:left w:val="single" w:sz="4" w:space="0" w:color="auto"/>
              <w:bottom w:val="single" w:sz="4" w:space="0" w:color="auto"/>
              <w:right w:val="single" w:sz="4" w:space="0" w:color="auto"/>
            </w:tcBorders>
            <w:noWrap/>
            <w:vAlign w:val="center"/>
            <w:hideMark/>
          </w:tcPr>
          <w:p w:rsidR="0053316D" w:rsidRPr="00A34388" w:rsidRDefault="0053316D">
            <w:pPr>
              <w:spacing w:before="120" w:after="120" w:line="276" w:lineRule="auto"/>
              <w:jc w:val="right"/>
              <w:rPr>
                <w:rFonts w:cs="Arial"/>
                <w:b/>
                <w:bCs/>
                <w:color w:val="808080"/>
                <w:sz w:val="16"/>
                <w:szCs w:val="16"/>
                <w:lang w:val="es-ES_tradnl"/>
              </w:rPr>
            </w:pPr>
            <w:r w:rsidRPr="00332758">
              <w:rPr>
                <w:rFonts w:cs="Arial"/>
                <w:b/>
                <w:bCs/>
                <w:sz w:val="16"/>
                <w:szCs w:val="16"/>
                <w:lang w:val="es-ES_tradnl"/>
              </w:rPr>
              <w:t xml:space="preserve"> TOTAL </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bCs/>
                <w:color w:val="808080"/>
                <w:sz w:val="16"/>
                <w:szCs w:val="16"/>
                <w:lang w:val="es-ES_tradnl"/>
              </w:rPr>
            </w:pPr>
            <w:r w:rsidRPr="00332758">
              <w:rPr>
                <w:rFonts w:cs="Arial"/>
                <w:b/>
                <w:bCs/>
                <w:sz w:val="16"/>
                <w:szCs w:val="16"/>
                <w:lang w:val="es-ES_tradnl"/>
              </w:rPr>
              <w:t>37.240</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37.706</w:t>
            </w:r>
          </w:p>
        </w:tc>
        <w:tc>
          <w:tcPr>
            <w:tcW w:w="1701" w:type="dxa"/>
            <w:tcBorders>
              <w:top w:val="nil"/>
              <w:left w:val="nil"/>
              <w:bottom w:val="single" w:sz="4" w:space="0" w:color="auto"/>
              <w:right w:val="single" w:sz="4" w:space="0" w:color="auto"/>
            </w:tcBorders>
            <w:vAlign w:val="center"/>
            <w:hideMark/>
          </w:tcPr>
          <w:p w:rsidR="0053316D" w:rsidRPr="00A34388" w:rsidRDefault="0053316D">
            <w:pPr>
              <w:spacing w:before="120" w:after="120" w:line="276" w:lineRule="auto"/>
              <w:jc w:val="center"/>
              <w:rPr>
                <w:rFonts w:cs="Arial"/>
                <w:b/>
                <w:color w:val="808080"/>
                <w:sz w:val="16"/>
                <w:szCs w:val="16"/>
                <w:lang w:val="es-ES_tradnl"/>
              </w:rPr>
            </w:pPr>
            <w:r w:rsidRPr="00332758">
              <w:rPr>
                <w:rFonts w:cs="Arial"/>
                <w:b/>
                <w:sz w:val="16"/>
                <w:szCs w:val="16"/>
                <w:lang w:val="es-ES_tradnl"/>
              </w:rPr>
              <w:t>37.079</w:t>
            </w:r>
          </w:p>
        </w:tc>
        <w:tc>
          <w:tcPr>
            <w:tcW w:w="1701" w:type="dxa"/>
            <w:tcBorders>
              <w:top w:val="nil"/>
              <w:left w:val="nil"/>
              <w:bottom w:val="single" w:sz="4" w:space="0" w:color="auto"/>
              <w:right w:val="single" w:sz="4" w:space="0" w:color="auto"/>
            </w:tcBorders>
            <w:vAlign w:val="center"/>
            <w:hideMark/>
          </w:tcPr>
          <w:p w:rsidR="0053316D" w:rsidRPr="00332758" w:rsidRDefault="0053316D">
            <w:pPr>
              <w:spacing w:before="120" w:after="120" w:line="276" w:lineRule="auto"/>
              <w:jc w:val="center"/>
              <w:rPr>
                <w:rFonts w:cs="Arial"/>
                <w:b/>
                <w:sz w:val="16"/>
                <w:szCs w:val="16"/>
                <w:lang w:val="es-ES_tradnl"/>
              </w:rPr>
            </w:pPr>
            <w:r w:rsidRPr="00332758">
              <w:rPr>
                <w:rFonts w:cs="Arial"/>
                <w:b/>
                <w:sz w:val="16"/>
                <w:szCs w:val="16"/>
                <w:lang w:val="es-ES_tradnl"/>
              </w:rPr>
              <w:t>98%</w:t>
            </w:r>
          </w:p>
        </w:tc>
      </w:tr>
    </w:tbl>
    <w:p w:rsidR="0053316D" w:rsidRPr="00A34388" w:rsidRDefault="0053316D" w:rsidP="0053316D">
      <w:pPr>
        <w:keepNext/>
        <w:keepLines/>
        <w:rPr>
          <w:rFonts w:cs="Arial"/>
          <w:sz w:val="22"/>
          <w:szCs w:val="22"/>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NOTAS:</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4C0FD5">
      <w:pPr>
        <w:keepNext/>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53316D" w:rsidRPr="00332758" w:rsidRDefault="0053316D" w:rsidP="0053316D">
      <w:pPr>
        <w:keepNext/>
        <w:keepLines/>
        <w:rPr>
          <w:rFonts w:cs="Arial"/>
          <w:sz w:val="22"/>
          <w:szCs w:val="22"/>
          <w:lang w:val="es-ES_tradnl"/>
        </w:rPr>
      </w:pPr>
    </w:p>
    <w:p w:rsidR="0053316D" w:rsidRPr="00332758" w:rsidRDefault="0053316D" w:rsidP="0053316D">
      <w:pPr>
        <w:tabs>
          <w:tab w:val="left" w:pos="709"/>
        </w:tabs>
        <w:jc w:val="both"/>
        <w:rPr>
          <w:rFonts w:cs="Arial"/>
          <w:szCs w:val="20"/>
          <w:u w:val="single"/>
          <w:lang w:val="es-ES_tradnl"/>
        </w:rPr>
      </w:pPr>
      <w:r w:rsidRPr="00332758">
        <w:rPr>
          <w:rFonts w:cs="Arial"/>
          <w:szCs w:val="20"/>
          <w:lang w:val="es-ES_tradnl"/>
        </w:rPr>
        <w:t>A.</w:t>
      </w:r>
      <w:r w:rsidRPr="00332758">
        <w:rPr>
          <w:rFonts w:cs="Arial"/>
          <w:szCs w:val="20"/>
          <w:lang w:val="es-ES_tradnl"/>
        </w:rPr>
        <w:tab/>
      </w:r>
      <w:r w:rsidRPr="00332758">
        <w:rPr>
          <w:rFonts w:cs="Arial"/>
          <w:szCs w:val="20"/>
          <w:u w:val="single"/>
          <w:lang w:val="es-ES_tradnl"/>
        </w:rPr>
        <w:t>Presupuesto 2012/13 después de las transferencias</w:t>
      </w:r>
    </w:p>
    <w:p w:rsidR="0053316D" w:rsidRPr="00A34388" w:rsidRDefault="0053316D" w:rsidP="0053316D">
      <w:pPr>
        <w:tabs>
          <w:tab w:val="left" w:pos="709"/>
        </w:tabs>
        <w:jc w:val="both"/>
        <w:rPr>
          <w:rFonts w:cs="Arial"/>
          <w:szCs w:val="20"/>
          <w:u w:val="single"/>
          <w:lang w:val="es-ES_tradnl"/>
        </w:rPr>
      </w:pPr>
    </w:p>
    <w:p w:rsidR="0053316D" w:rsidRPr="00A34388" w:rsidRDefault="0053316D" w:rsidP="0053316D">
      <w:pPr>
        <w:tabs>
          <w:tab w:val="left" w:pos="709"/>
        </w:tabs>
        <w:jc w:val="both"/>
        <w:rPr>
          <w:rFonts w:cs="Arial"/>
          <w:szCs w:val="20"/>
          <w:lang w:val="es-ES_tradnl"/>
        </w:rPr>
      </w:pPr>
      <w:r w:rsidRPr="00A34388">
        <w:rPr>
          <w:rFonts w:cs="Arial"/>
          <w:bCs/>
          <w:lang w:val="es-ES_tradnl"/>
        </w:rPr>
        <w:t>27.11.</w:t>
      </w:r>
      <w:r w:rsidRPr="00A34388">
        <w:rPr>
          <w:rFonts w:cs="Arial"/>
          <w:bCs/>
          <w:lang w:val="es-ES_tradnl"/>
        </w:rPr>
        <w:tab/>
      </w:r>
      <w:r w:rsidRPr="00A34388">
        <w:rPr>
          <w:rFonts w:cs="Arial"/>
          <w:szCs w:val="20"/>
          <w:lang w:val="es-ES_tradnl"/>
        </w:rPr>
        <w:t xml:space="preserve">El </w:t>
      </w:r>
      <w:r w:rsidR="00B10441" w:rsidRPr="00A34388">
        <w:rPr>
          <w:rFonts w:cs="Arial"/>
          <w:szCs w:val="20"/>
          <w:lang w:val="es-ES_tradnl"/>
        </w:rPr>
        <w:t xml:space="preserve">incremento </w:t>
      </w:r>
      <w:r w:rsidR="007C4A03" w:rsidRPr="00A34388">
        <w:rPr>
          <w:rFonts w:cs="Arial"/>
          <w:szCs w:val="20"/>
          <w:lang w:val="es-ES_tradnl"/>
        </w:rPr>
        <w:t>d</w:t>
      </w:r>
      <w:r w:rsidR="00B10441" w:rsidRPr="00A34388">
        <w:rPr>
          <w:rFonts w:cs="Arial"/>
          <w:szCs w:val="20"/>
          <w:lang w:val="es-ES_tradnl"/>
        </w:rPr>
        <w:t xml:space="preserve">el </w:t>
      </w:r>
      <w:r w:rsidRPr="00A34388">
        <w:rPr>
          <w:rFonts w:cs="Arial"/>
          <w:szCs w:val="20"/>
          <w:lang w:val="es-ES_tradnl"/>
        </w:rPr>
        <w:t xml:space="preserve">presupuesto después de las transferencias refleja </w:t>
      </w:r>
      <w:r w:rsidR="00B10441" w:rsidRPr="00A34388">
        <w:rPr>
          <w:rFonts w:cs="Arial"/>
          <w:szCs w:val="20"/>
          <w:lang w:val="es-ES_tradnl"/>
        </w:rPr>
        <w:t xml:space="preserve">el traspaso al programa </w:t>
      </w:r>
      <w:r w:rsidRPr="00A34388">
        <w:rPr>
          <w:rFonts w:cs="Arial"/>
          <w:szCs w:val="20"/>
          <w:lang w:val="es-ES_tradnl"/>
        </w:rPr>
        <w:t xml:space="preserve">de recursos netos adicionales </w:t>
      </w:r>
      <w:r w:rsidR="00B10441" w:rsidRPr="00A34388">
        <w:rPr>
          <w:rFonts w:cs="Arial"/>
          <w:szCs w:val="20"/>
          <w:lang w:val="es-ES_tradnl"/>
        </w:rPr>
        <w:t>destinados a</w:t>
      </w:r>
      <w:r w:rsidRPr="00A34388">
        <w:rPr>
          <w:rFonts w:cs="Arial"/>
          <w:szCs w:val="20"/>
          <w:lang w:val="es-ES_tradnl"/>
        </w:rPr>
        <w:t xml:space="preserve">: </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numPr>
          <w:ilvl w:val="0"/>
          <w:numId w:val="91"/>
        </w:numPr>
        <w:tabs>
          <w:tab w:val="left" w:pos="709"/>
        </w:tabs>
        <w:ind w:left="993" w:hanging="284"/>
        <w:jc w:val="both"/>
        <w:rPr>
          <w:rFonts w:cs="Arial"/>
          <w:szCs w:val="20"/>
          <w:lang w:val="es-ES_tradnl"/>
        </w:rPr>
      </w:pPr>
      <w:r w:rsidRPr="00A34388">
        <w:rPr>
          <w:rFonts w:cs="Arial"/>
          <w:szCs w:val="20"/>
          <w:lang w:val="es-ES_tradnl"/>
        </w:rPr>
        <w:t xml:space="preserve">la aplicación de la Política Lingüística de la OMPI, en particular para hacer frente al </w:t>
      </w:r>
      <w:r w:rsidR="00B10441" w:rsidRPr="00A34388">
        <w:rPr>
          <w:rFonts w:cs="Arial"/>
          <w:szCs w:val="20"/>
          <w:lang w:val="es-ES_tradnl"/>
        </w:rPr>
        <w:t xml:space="preserve">crecimiento </w:t>
      </w:r>
      <w:r w:rsidRPr="00A34388">
        <w:rPr>
          <w:rFonts w:cs="Arial"/>
          <w:szCs w:val="20"/>
          <w:lang w:val="es-ES_tradnl"/>
        </w:rPr>
        <w:t xml:space="preserve">de los volúmenes de traducción </w:t>
      </w:r>
      <w:r w:rsidR="007C4A03" w:rsidRPr="00A34388">
        <w:rPr>
          <w:rFonts w:cs="Arial"/>
          <w:szCs w:val="20"/>
          <w:lang w:val="es-ES_tradnl"/>
        </w:rPr>
        <w:t xml:space="preserve">por </w:t>
      </w:r>
      <w:r w:rsidRPr="00A34388">
        <w:rPr>
          <w:rFonts w:cs="Arial"/>
          <w:szCs w:val="20"/>
          <w:lang w:val="es-ES_tradnl"/>
        </w:rPr>
        <w:t xml:space="preserve">la ampliación de la cobertura lingüística;  y </w:t>
      </w:r>
    </w:p>
    <w:p w:rsidR="0053316D" w:rsidRPr="00A34388" w:rsidRDefault="0053316D" w:rsidP="0053316D">
      <w:pPr>
        <w:numPr>
          <w:ilvl w:val="0"/>
          <w:numId w:val="91"/>
        </w:numPr>
        <w:tabs>
          <w:tab w:val="left" w:pos="709"/>
        </w:tabs>
        <w:ind w:left="993" w:hanging="284"/>
        <w:jc w:val="both"/>
        <w:rPr>
          <w:rFonts w:cs="Arial"/>
          <w:szCs w:val="20"/>
          <w:lang w:val="es-ES_tradnl"/>
        </w:rPr>
      </w:pPr>
      <w:r w:rsidRPr="00A34388">
        <w:rPr>
          <w:rFonts w:cs="Arial"/>
          <w:szCs w:val="20"/>
          <w:lang w:val="es-ES_tradnl"/>
        </w:rPr>
        <w:t xml:space="preserve">la prestación de servicios de interpretación durante el </w:t>
      </w:r>
      <w:r w:rsidR="00D53B8B" w:rsidRPr="00A34388">
        <w:rPr>
          <w:rFonts w:cs="Arial"/>
          <w:szCs w:val="20"/>
          <w:lang w:val="es-ES_tradnl"/>
        </w:rPr>
        <w:t>período</w:t>
      </w:r>
      <w:r w:rsidRPr="00A34388">
        <w:rPr>
          <w:rFonts w:cs="Arial"/>
          <w:szCs w:val="20"/>
          <w:lang w:val="es-ES_tradnl"/>
        </w:rPr>
        <w:t xml:space="preserve"> extraordinario de sesiones de la Asamblea General de diciembre de 2013.  </w:t>
      </w:r>
    </w:p>
    <w:p w:rsidR="0053316D" w:rsidRDefault="0053316D" w:rsidP="0053316D">
      <w:pPr>
        <w:tabs>
          <w:tab w:val="left" w:pos="709"/>
        </w:tabs>
        <w:jc w:val="both"/>
        <w:rPr>
          <w:rFonts w:cs="Arial"/>
          <w:szCs w:val="20"/>
          <w:lang w:val="es-ES_tradnl"/>
        </w:rPr>
      </w:pPr>
    </w:p>
    <w:p w:rsidR="00914D2E" w:rsidRPr="00A34388" w:rsidRDefault="00914D2E"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u w:val="single"/>
          <w:lang w:val="es-ES_tradnl"/>
        </w:rPr>
      </w:pPr>
      <w:r w:rsidRPr="00A34388">
        <w:rPr>
          <w:rFonts w:cs="Arial"/>
          <w:szCs w:val="20"/>
          <w:lang w:val="es-ES_tradnl"/>
        </w:rPr>
        <w:lastRenderedPageBreak/>
        <w:t>B.</w:t>
      </w:r>
      <w:r w:rsidRPr="00A34388">
        <w:rPr>
          <w:rFonts w:cs="Arial"/>
          <w:szCs w:val="20"/>
          <w:lang w:val="es-ES_tradnl"/>
        </w:rPr>
        <w:tab/>
      </w:r>
      <w:r w:rsidRPr="00A34388">
        <w:rPr>
          <w:rFonts w:cs="Arial"/>
          <w:szCs w:val="20"/>
          <w:u w:val="single"/>
          <w:lang w:val="es-ES_tradnl"/>
        </w:rPr>
        <w:t xml:space="preserve">Utilización del presupuesto </w:t>
      </w:r>
      <w:r w:rsidR="009344B7" w:rsidRPr="00A34388">
        <w:rPr>
          <w:u w:val="single"/>
          <w:lang w:val="es-ES_tradnl"/>
        </w:rPr>
        <w:t>en 2012/13</w:t>
      </w:r>
    </w:p>
    <w:p w:rsidR="0053316D" w:rsidRPr="00A34388" w:rsidRDefault="0053316D" w:rsidP="0053316D">
      <w:pPr>
        <w:tabs>
          <w:tab w:val="left" w:pos="709"/>
        </w:tabs>
        <w:jc w:val="both"/>
        <w:rPr>
          <w:rFonts w:cs="Arial"/>
          <w:szCs w:val="20"/>
          <w:u w:val="single"/>
          <w:lang w:val="es-ES_tradnl"/>
        </w:rPr>
      </w:pPr>
    </w:p>
    <w:p w:rsidR="0053316D" w:rsidRPr="00A34388" w:rsidRDefault="0053316D" w:rsidP="0053316D">
      <w:pPr>
        <w:tabs>
          <w:tab w:val="left" w:pos="709"/>
        </w:tabs>
        <w:jc w:val="both"/>
        <w:rPr>
          <w:rFonts w:cs="Arial"/>
          <w:szCs w:val="20"/>
          <w:lang w:val="es-ES_tradnl"/>
        </w:rPr>
      </w:pPr>
      <w:r w:rsidRPr="00A34388">
        <w:rPr>
          <w:rFonts w:cs="Arial"/>
          <w:bCs/>
          <w:lang w:val="es-ES_tradnl"/>
        </w:rPr>
        <w:t>27.12.</w:t>
      </w:r>
      <w:r w:rsidRPr="00A34388">
        <w:rPr>
          <w:rFonts w:cs="Arial"/>
          <w:bCs/>
          <w:lang w:val="es-ES_tradnl"/>
        </w:rPr>
        <w:tab/>
        <w:t xml:space="preserve">La ligera infrautilización de recursos durante el bienio con </w:t>
      </w:r>
      <w:r w:rsidR="007C4A03" w:rsidRPr="00A34388">
        <w:rPr>
          <w:rFonts w:cs="Arial"/>
          <w:bCs/>
          <w:lang w:val="es-ES_tradnl"/>
        </w:rPr>
        <w:t xml:space="preserve">relación </w:t>
      </w:r>
      <w:r w:rsidRPr="00A34388">
        <w:rPr>
          <w:rFonts w:cs="Arial"/>
          <w:bCs/>
          <w:lang w:val="es-ES_tradnl"/>
        </w:rPr>
        <w:t xml:space="preserve">al </w:t>
      </w:r>
      <w:r w:rsidRPr="00A34388">
        <w:rPr>
          <w:rFonts w:cs="Arial"/>
          <w:szCs w:val="20"/>
          <w:lang w:val="es-ES_tradnl"/>
        </w:rPr>
        <w:t xml:space="preserve">presupuesto después de las transferencias refleja un </w:t>
      </w:r>
      <w:r w:rsidR="00F83DCB" w:rsidRPr="00A34388">
        <w:rPr>
          <w:rFonts w:cs="Arial"/>
          <w:szCs w:val="20"/>
          <w:lang w:val="es-ES_tradnl"/>
        </w:rPr>
        <w:t xml:space="preserve">desarrollo </w:t>
      </w:r>
      <w:r w:rsidRPr="00A34388">
        <w:rPr>
          <w:rFonts w:cs="Arial"/>
          <w:szCs w:val="20"/>
          <w:lang w:val="es-ES_tradnl"/>
        </w:rPr>
        <w:t>más lent</w:t>
      </w:r>
      <w:r w:rsidR="00B10441" w:rsidRPr="00A34388">
        <w:rPr>
          <w:rFonts w:cs="Arial"/>
          <w:szCs w:val="20"/>
          <w:lang w:val="es-ES_tradnl"/>
        </w:rPr>
        <w:t>o</w:t>
      </w:r>
      <w:r w:rsidRPr="00A34388">
        <w:rPr>
          <w:rFonts w:cs="Arial"/>
          <w:szCs w:val="20"/>
          <w:lang w:val="es-ES_tradnl"/>
        </w:rPr>
        <w:t xml:space="preserve"> de </w:t>
      </w:r>
      <w:r w:rsidR="00B10441" w:rsidRPr="00A34388">
        <w:rPr>
          <w:rFonts w:cs="Arial"/>
          <w:szCs w:val="20"/>
          <w:lang w:val="es-ES_tradnl"/>
        </w:rPr>
        <w:t xml:space="preserve">lo esperado </w:t>
      </w:r>
      <w:r w:rsidRPr="00A34388">
        <w:rPr>
          <w:rFonts w:cs="Arial"/>
          <w:szCs w:val="20"/>
          <w:lang w:val="es-ES_tradnl"/>
        </w:rPr>
        <w:t>de las herramientas de traducción automática</w:t>
      </w:r>
      <w:r w:rsidR="00B10441" w:rsidRPr="00A34388">
        <w:rPr>
          <w:rFonts w:cs="Arial"/>
          <w:szCs w:val="20"/>
          <w:lang w:val="es-ES_tradnl"/>
        </w:rPr>
        <w:t xml:space="preserve">, así como </w:t>
      </w:r>
      <w:r w:rsidRPr="00A34388">
        <w:rPr>
          <w:rFonts w:cs="Arial"/>
          <w:szCs w:val="20"/>
          <w:lang w:val="es-ES_tradnl"/>
        </w:rPr>
        <w:t xml:space="preserve">ahorros de costos en los capítulos de distribución de correo, servicios de impresión y gestión de registros y archivos.   </w:t>
      </w:r>
    </w:p>
    <w:p w:rsidR="0053316D" w:rsidRPr="00332758" w:rsidRDefault="0053316D" w:rsidP="001F2211">
      <w:pPr>
        <w:rPr>
          <w:lang w:val="es-ES_tradnl"/>
        </w:rPr>
      </w:pPr>
    </w:p>
    <w:p w:rsidR="0053316D" w:rsidRPr="00A34388" w:rsidRDefault="0053316D" w:rsidP="0053316D">
      <w:pPr>
        <w:rPr>
          <w:lang w:val="es-ES_tradnl"/>
        </w:rPr>
      </w:pPr>
    </w:p>
    <w:p w:rsidR="00197073" w:rsidRPr="00A34388" w:rsidRDefault="00197073">
      <w:pPr>
        <w:rPr>
          <w:rFonts w:ascii="Arial Bold" w:eastAsiaTheme="majorEastAsia" w:hAnsi="Arial Bold" w:cstheme="majorBidi" w:hint="eastAsia"/>
          <w:b/>
          <w:bCs/>
          <w:caps/>
          <w:sz w:val="22"/>
          <w:lang w:val="es-ES_tradnl"/>
        </w:rPr>
      </w:pPr>
      <w:r w:rsidRPr="00A34388">
        <w:rPr>
          <w:lang w:val="es-ES_tradnl"/>
        </w:rPr>
        <w:br w:type="page"/>
      </w:r>
    </w:p>
    <w:p w:rsidR="001F2211" w:rsidRPr="003934C8" w:rsidRDefault="001F2211" w:rsidP="001F2211">
      <w:pPr>
        <w:pStyle w:val="Heading3"/>
        <w:rPr>
          <w:rFonts w:hint="eastAsia"/>
          <w:lang w:val="es-ES"/>
        </w:rPr>
      </w:pPr>
      <w:bookmarkStart w:id="105" w:name="_Toc395279689"/>
      <w:bookmarkStart w:id="106" w:name="_Toc392852670"/>
      <w:r w:rsidRPr="003934C8">
        <w:rPr>
          <w:lang w:val="es-ES"/>
        </w:rPr>
        <w:lastRenderedPageBreak/>
        <w:t>Programa 28</w:t>
      </w:r>
      <w:r w:rsidRPr="003934C8">
        <w:rPr>
          <w:lang w:val="es-ES"/>
        </w:rPr>
        <w:tab/>
        <w:t>Seguridad</w:t>
      </w:r>
      <w:bookmarkEnd w:id="105"/>
    </w:p>
    <w:p w:rsidR="001F2211" w:rsidRPr="00D42A38" w:rsidRDefault="001F2211" w:rsidP="001F2211">
      <w:pPr>
        <w:rPr>
          <w:b/>
          <w:sz w:val="22"/>
          <w:szCs w:val="22"/>
          <w:lang w:val="es-ES_tradnl"/>
        </w:rPr>
      </w:pPr>
    </w:p>
    <w:p w:rsidR="001F2211" w:rsidRPr="00D42A38" w:rsidRDefault="001F2211" w:rsidP="001F2211">
      <w:pPr>
        <w:rPr>
          <w:b/>
          <w:sz w:val="22"/>
          <w:szCs w:val="22"/>
          <w:lang w:val="es-ES_tradnl"/>
        </w:rPr>
      </w:pPr>
      <w:bookmarkStart w:id="107" w:name="_Toc394914542"/>
      <w:r w:rsidRPr="00D42A38">
        <w:rPr>
          <w:b/>
          <w:sz w:val="22"/>
          <w:szCs w:val="22"/>
          <w:lang w:val="es-ES_tradnl"/>
        </w:rPr>
        <w:t>Director del Programa</w:t>
      </w:r>
      <w:r w:rsidRPr="00D42A38">
        <w:rPr>
          <w:b/>
          <w:sz w:val="22"/>
          <w:szCs w:val="22"/>
          <w:lang w:val="es-ES_tradnl"/>
        </w:rPr>
        <w:tab/>
        <w:t>Sr. A. Sundaram</w:t>
      </w:r>
      <w:bookmarkEnd w:id="107"/>
    </w:p>
    <w:p w:rsidR="0071153F" w:rsidRPr="00A34388" w:rsidRDefault="0071153F" w:rsidP="0053316D">
      <w:pPr>
        <w:rPr>
          <w:rFonts w:cs="Arial"/>
          <w:bCs/>
          <w:sz w:val="22"/>
          <w:szCs w:val="22"/>
          <w:lang w:val="es-ES_tradnl"/>
        </w:rPr>
      </w:pPr>
    </w:p>
    <w:p w:rsidR="0071153F" w:rsidRPr="00A34388" w:rsidRDefault="0071153F" w:rsidP="0053316D">
      <w:pPr>
        <w:rPr>
          <w:rFonts w:cs="Arial"/>
          <w:bCs/>
          <w:sz w:val="22"/>
          <w:szCs w:val="22"/>
          <w:lang w:val="es-ES_tradnl"/>
        </w:rPr>
      </w:pPr>
    </w:p>
    <w:p w:rsidR="0053316D" w:rsidRPr="00A34388" w:rsidRDefault="0053316D" w:rsidP="0053316D">
      <w:pPr>
        <w:rPr>
          <w:rFonts w:cs="Arial"/>
          <w:sz w:val="22"/>
          <w:szCs w:val="22"/>
          <w:lang w:val="es-ES_tradnl"/>
        </w:rPr>
      </w:pPr>
      <w:r w:rsidRPr="00A34388">
        <w:rPr>
          <w:rFonts w:cs="Arial"/>
          <w:bCs/>
          <w:sz w:val="22"/>
          <w:szCs w:val="22"/>
          <w:lang w:val="es-ES_tradnl"/>
        </w:rPr>
        <w:t>AVANCES LOGRADOS EN EL BIENIO 2012/13</w:t>
      </w:r>
    </w:p>
    <w:p w:rsidR="0053316D" w:rsidRPr="00A34388" w:rsidRDefault="0053316D" w:rsidP="0053316D">
      <w:pPr>
        <w:rPr>
          <w:rFonts w:cs="Arial"/>
          <w:szCs w:val="20"/>
          <w:lang w:val="es-ES_tradnl"/>
        </w:rPr>
      </w:pPr>
    </w:p>
    <w:p w:rsidR="0053316D" w:rsidRPr="00A34388" w:rsidRDefault="0053316D" w:rsidP="0053316D">
      <w:pPr>
        <w:tabs>
          <w:tab w:val="left" w:pos="709"/>
        </w:tabs>
        <w:jc w:val="both"/>
        <w:rPr>
          <w:rFonts w:cs="Arial"/>
          <w:bCs/>
          <w:color w:val="000000"/>
          <w:szCs w:val="20"/>
          <w:lang w:val="es-ES_tradnl"/>
        </w:rPr>
      </w:pPr>
      <w:r w:rsidRPr="00332758">
        <w:rPr>
          <w:rFonts w:cs="Arial"/>
          <w:bCs/>
          <w:szCs w:val="20"/>
          <w:lang w:val="es-ES_tradnl"/>
        </w:rPr>
        <w:t>28.1.</w:t>
      </w:r>
      <w:r w:rsidRPr="00332758">
        <w:rPr>
          <w:rFonts w:cs="Arial"/>
          <w:bCs/>
          <w:szCs w:val="20"/>
          <w:lang w:val="es-ES_tradnl"/>
        </w:rPr>
        <w:tab/>
        <w:t xml:space="preserve">El costo de los servicios de seguridad durante el bienio 2012/13 se mantuvo en línea con el costo de los años anteriores como porcentaje del gasto total de la Organización.  </w:t>
      </w:r>
      <w:r w:rsidRPr="00A34388">
        <w:rPr>
          <w:rFonts w:cs="Arial"/>
          <w:bCs/>
          <w:color w:val="000000"/>
          <w:szCs w:val="20"/>
          <w:lang w:val="es-ES_tradnl"/>
        </w:rPr>
        <w:t>Durante el bienio, el programa continuó gestionando todos los sistemas de seguridad y vigilancia</w:t>
      </w:r>
      <w:r w:rsidR="00C104AD" w:rsidRPr="00A34388">
        <w:rPr>
          <w:rFonts w:cs="Arial"/>
          <w:bCs/>
          <w:color w:val="000000"/>
          <w:szCs w:val="20"/>
          <w:lang w:val="es-ES_tradnl"/>
        </w:rPr>
        <w:t>,</w:t>
      </w:r>
      <w:r w:rsidRPr="00A34388">
        <w:rPr>
          <w:rFonts w:cs="Arial"/>
          <w:bCs/>
          <w:color w:val="000000"/>
          <w:szCs w:val="20"/>
          <w:lang w:val="es-ES_tradnl"/>
        </w:rPr>
        <w:t xml:space="preserve"> y asumió gradualmente la responsabilidad gestora con respecto a estos nuevos sistemas en el nuevo edificio </w:t>
      </w:r>
      <w:r w:rsidR="00C104AD" w:rsidRPr="00A34388">
        <w:rPr>
          <w:rFonts w:cs="Arial"/>
          <w:bCs/>
          <w:color w:val="000000"/>
          <w:szCs w:val="20"/>
          <w:lang w:val="es-ES_tradnl"/>
        </w:rPr>
        <w:t xml:space="preserve">conforme las garantías fueron </w:t>
      </w:r>
      <w:r w:rsidRPr="00A34388">
        <w:rPr>
          <w:rFonts w:cs="Arial"/>
          <w:bCs/>
          <w:color w:val="000000"/>
          <w:szCs w:val="20"/>
          <w:lang w:val="es-ES_tradnl"/>
        </w:rPr>
        <w:t>expirando.</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A34388">
        <w:rPr>
          <w:rFonts w:cs="Arial"/>
          <w:bCs/>
          <w:color w:val="000000"/>
          <w:szCs w:val="20"/>
          <w:lang w:val="es-ES_tradnl"/>
        </w:rPr>
        <w:t>28.2.</w:t>
      </w:r>
      <w:r w:rsidRPr="00A34388">
        <w:rPr>
          <w:rFonts w:cs="Arial"/>
          <w:bCs/>
          <w:color w:val="000000"/>
          <w:szCs w:val="20"/>
          <w:lang w:val="es-ES_tradnl"/>
        </w:rPr>
        <w:tab/>
        <w:t xml:space="preserve">En el bienio 2012/13 se </w:t>
      </w:r>
      <w:r w:rsidR="002511F7" w:rsidRPr="00A34388">
        <w:rPr>
          <w:rFonts w:cs="Arial"/>
          <w:bCs/>
          <w:color w:val="000000"/>
          <w:szCs w:val="20"/>
          <w:lang w:val="es-ES_tradnl"/>
        </w:rPr>
        <w:t xml:space="preserve">asistió también a </w:t>
      </w:r>
      <w:r w:rsidRPr="00A34388">
        <w:rPr>
          <w:rFonts w:cs="Arial"/>
          <w:bCs/>
          <w:color w:val="000000"/>
          <w:szCs w:val="20"/>
          <w:lang w:val="es-ES_tradnl"/>
        </w:rPr>
        <w:t xml:space="preserve">la implementación de nuevas políticas sobre seguridad para los viajes oficiales del personal, la uniformización del diseño de los pases según criterios del Sistema de gestión de la seguridad para las Naciones Unidas (UNSMS), el perfeccionamiento de los controles de acceso biométrico en el centro de datos del nuevo edificio y la profesionalización de la gestión de la seguridad de los eventos patrocinados por la OMPI fuera de Ginebra.  Cabe destacar que se prestaron servicios integrales de seguridad </w:t>
      </w:r>
      <w:r w:rsidR="002511F7" w:rsidRPr="00A34388">
        <w:rPr>
          <w:rFonts w:cs="Arial"/>
          <w:bCs/>
          <w:color w:val="000000"/>
          <w:szCs w:val="20"/>
          <w:lang w:val="es-ES_tradnl"/>
        </w:rPr>
        <w:t xml:space="preserve">en la antesala y </w:t>
      </w:r>
      <w:r w:rsidRPr="00A34388">
        <w:rPr>
          <w:rFonts w:cs="Arial"/>
          <w:bCs/>
          <w:color w:val="000000"/>
          <w:szCs w:val="20"/>
          <w:lang w:val="es-ES_tradnl"/>
        </w:rPr>
        <w:t xml:space="preserve">durante </w:t>
      </w:r>
      <w:r w:rsidR="002511F7" w:rsidRPr="00A34388">
        <w:rPr>
          <w:rFonts w:cs="Arial"/>
          <w:bCs/>
          <w:color w:val="000000"/>
          <w:szCs w:val="20"/>
          <w:lang w:val="es-ES_tradnl"/>
        </w:rPr>
        <w:t xml:space="preserve">el transcurso </w:t>
      </w:r>
      <w:r w:rsidRPr="00A34388">
        <w:rPr>
          <w:rFonts w:cs="Arial"/>
          <w:bCs/>
          <w:color w:val="000000"/>
          <w:szCs w:val="20"/>
          <w:lang w:val="es-ES_tradnl"/>
        </w:rPr>
        <w:t xml:space="preserve">de las dos conferencias diplomáticas </w:t>
      </w:r>
      <w:r w:rsidR="00C104AD" w:rsidRPr="00A34388">
        <w:rPr>
          <w:rFonts w:cs="Arial"/>
          <w:bCs/>
          <w:color w:val="000000"/>
          <w:szCs w:val="20"/>
          <w:lang w:val="es-ES_tradnl"/>
        </w:rPr>
        <w:t>relevantes</w:t>
      </w:r>
      <w:r w:rsidRPr="00A34388">
        <w:rPr>
          <w:rFonts w:cs="Arial"/>
          <w:bCs/>
          <w:color w:val="000000"/>
          <w:szCs w:val="20"/>
          <w:lang w:val="es-ES_tradnl"/>
        </w:rPr>
        <w:t>:</w:t>
      </w:r>
      <w:r w:rsidR="007E4D96" w:rsidRPr="00A34388">
        <w:rPr>
          <w:rFonts w:cs="Arial"/>
          <w:bCs/>
          <w:color w:val="000000"/>
          <w:szCs w:val="20"/>
          <w:lang w:val="es-ES_tradnl"/>
        </w:rPr>
        <w:t xml:space="preserve"> </w:t>
      </w:r>
      <w:r w:rsidRPr="00A34388">
        <w:rPr>
          <w:rFonts w:cs="Arial"/>
          <w:bCs/>
          <w:color w:val="000000"/>
          <w:szCs w:val="20"/>
          <w:lang w:val="es-ES_tradnl"/>
        </w:rPr>
        <w:t xml:space="preserve"> la </w:t>
      </w:r>
      <w:r w:rsidRPr="00A34388">
        <w:rPr>
          <w:rFonts w:eastAsia="Batang" w:cs="Arial"/>
          <w:color w:val="000000"/>
          <w:szCs w:val="20"/>
          <w:lang w:val="es-ES_tradnl" w:eastAsia="ja-JP"/>
        </w:rPr>
        <w:t xml:space="preserve">Conferencia Diplomática sobre la Protección de las Interpretaciones y Ejecuciones Audiovisuales, celebrada en Beijing del 20 al 26 de junio de 2012, y la Conferencia Diplomática sobre la conclusión de un tratado que facilite a las personas con discapacidad visual y a las personas con dificultad para acceder al texto impreso el acceso a las obras publicadas, celebrada en Marrakech, Marruecos, </w:t>
      </w:r>
      <w:r w:rsidR="00C104AD" w:rsidRPr="00A34388">
        <w:rPr>
          <w:rFonts w:eastAsia="Batang" w:cs="Arial"/>
          <w:color w:val="000000"/>
          <w:szCs w:val="20"/>
          <w:lang w:val="es-ES_tradnl" w:eastAsia="ja-JP"/>
        </w:rPr>
        <w:t xml:space="preserve">entre el </w:t>
      </w:r>
      <w:r w:rsidRPr="00A34388">
        <w:rPr>
          <w:rFonts w:eastAsia="Batang" w:cs="Arial"/>
          <w:color w:val="000000"/>
          <w:szCs w:val="20"/>
          <w:lang w:val="es-ES_tradnl" w:eastAsia="ja-JP"/>
        </w:rPr>
        <w:t xml:space="preserve">17 </w:t>
      </w:r>
      <w:r w:rsidR="00C104AD" w:rsidRPr="00A34388">
        <w:rPr>
          <w:rFonts w:eastAsia="Batang" w:cs="Arial"/>
          <w:color w:val="000000"/>
          <w:szCs w:val="20"/>
          <w:lang w:val="es-ES_tradnl" w:eastAsia="ja-JP"/>
        </w:rPr>
        <w:t xml:space="preserve">y el </w:t>
      </w:r>
      <w:r w:rsidRPr="00A34388">
        <w:rPr>
          <w:rFonts w:eastAsia="Batang" w:cs="Arial"/>
          <w:color w:val="000000"/>
          <w:szCs w:val="20"/>
          <w:lang w:val="es-ES_tradnl" w:eastAsia="ja-JP"/>
        </w:rPr>
        <w:t>28 de junio de 2013</w:t>
      </w:r>
      <w:r w:rsidRPr="00A34388">
        <w:rPr>
          <w:rFonts w:cs="Arial"/>
          <w:bCs/>
          <w:color w:val="000000"/>
          <w:szCs w:val="20"/>
          <w:lang w:val="es-ES_tradnl"/>
        </w:rPr>
        <w:t xml:space="preserve">.  Además, a raíz de la decisión adoptada en noviembre de 2012 por la Junta de los jefes ejecutivos, se mejoraron los procedimientos de seguridad para garantizar una gestión óptima de la seguridad y la vigilancia en estos acontecimientos </w:t>
      </w:r>
      <w:r w:rsidR="00C104AD" w:rsidRPr="00A34388">
        <w:rPr>
          <w:rFonts w:cs="Arial"/>
          <w:bCs/>
          <w:color w:val="000000"/>
          <w:szCs w:val="20"/>
          <w:lang w:val="es-ES_tradnl"/>
        </w:rPr>
        <w:t>de gran resonancia</w:t>
      </w:r>
      <w:r w:rsidRPr="00A34388">
        <w:rPr>
          <w:rFonts w:cs="Arial"/>
          <w:bCs/>
          <w:color w:val="000000"/>
          <w:szCs w:val="20"/>
          <w:lang w:val="es-ES_tradnl"/>
        </w:rPr>
        <w:t xml:space="preserve">.  </w:t>
      </w:r>
      <w:r w:rsidR="00C104AD" w:rsidRPr="00A34388">
        <w:rPr>
          <w:rFonts w:cs="Arial"/>
          <w:bCs/>
          <w:color w:val="000000"/>
          <w:szCs w:val="20"/>
          <w:lang w:val="es-ES_tradnl"/>
        </w:rPr>
        <w:t xml:space="preserve">Como </w:t>
      </w:r>
      <w:r w:rsidRPr="00A34388">
        <w:rPr>
          <w:rFonts w:cs="Arial"/>
          <w:bCs/>
          <w:color w:val="000000"/>
          <w:szCs w:val="20"/>
          <w:lang w:val="es-ES_tradnl"/>
        </w:rPr>
        <w:t>consecuencia de ello, se realizaron evaluaciones de riesgos de instalaciones, se elaboraron protocolos de seguridad y evacuación</w:t>
      </w:r>
      <w:r w:rsidR="00C104AD" w:rsidRPr="00A34388">
        <w:rPr>
          <w:rFonts w:cs="Arial"/>
          <w:bCs/>
          <w:color w:val="000000"/>
          <w:szCs w:val="20"/>
          <w:lang w:val="es-ES_tradnl"/>
        </w:rPr>
        <w:t>,</w:t>
      </w:r>
      <w:r w:rsidRPr="00A34388">
        <w:rPr>
          <w:rFonts w:cs="Arial"/>
          <w:bCs/>
          <w:color w:val="000000"/>
          <w:szCs w:val="20"/>
          <w:lang w:val="es-ES_tradnl"/>
        </w:rPr>
        <w:t xml:space="preserve"> y se reforzaron los servicios de seguridad en diversos eventos/conferencias externas de relevancia patrocinados por la OMPI en 2013, a saber, la Conferencia Africana sobre la importancia estratégica de las políticas de P.I. para favorecer la innovación, la creación de valor y la competitividad, celebrada en Dar es Salaam, República Unida de Tanzanía, los días 12 y 13 de marzo;  el Simposio Mundial sobre Indicaciones Geográficas, celebrado en Bangkok, Tailandia del 27 al 29 de marzo;  la Reunión de los Ministros de la CDAO y de Mauritania con competencias en materia de derecho de autor, en Abiyán, Côte d’Ivoire, entre los días 4 y 6 de diciembre, así como la </w:t>
      </w:r>
      <w:r w:rsidR="00C104AD" w:rsidRPr="00A34388">
        <w:rPr>
          <w:rFonts w:cs="Arial"/>
          <w:bCs/>
          <w:color w:val="000000"/>
          <w:szCs w:val="20"/>
          <w:lang w:val="es-ES_tradnl"/>
        </w:rPr>
        <w:t xml:space="preserve">citada </w:t>
      </w:r>
      <w:r w:rsidRPr="00A34388">
        <w:rPr>
          <w:rFonts w:cs="Arial"/>
          <w:bCs/>
          <w:color w:val="000000"/>
          <w:szCs w:val="20"/>
          <w:lang w:val="es-ES_tradnl"/>
        </w:rPr>
        <w:t>conferencia diplomática de Marrakech (Marruecos).</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332758">
        <w:rPr>
          <w:rFonts w:cs="Arial"/>
          <w:bCs/>
          <w:szCs w:val="20"/>
          <w:lang w:val="es-ES_tradnl"/>
        </w:rPr>
        <w:t>28.3.</w:t>
      </w:r>
      <w:r w:rsidRPr="00332758">
        <w:rPr>
          <w:rFonts w:cs="Arial"/>
          <w:bCs/>
          <w:szCs w:val="20"/>
          <w:lang w:val="es-ES_tradnl"/>
        </w:rPr>
        <w:tab/>
        <w:t xml:space="preserve">En 2012 se llevaron a cabo debidamente las auditorías anuales de evaluación de la seguridad de las oficinas de coordinación de la OMPI de Singapur y Tokio.  </w:t>
      </w:r>
      <w:r w:rsidRPr="00A34388">
        <w:rPr>
          <w:rFonts w:cs="Arial"/>
          <w:bCs/>
          <w:szCs w:val="20"/>
          <w:lang w:val="es-ES_tradnl"/>
        </w:rPr>
        <w:t>Sin embargo, las auditorías de evaluación de las oficinas de Río de Janeiro y Nueva York, previstas en principio para el primer semestre de 2013, fueron aplazadas debido al abundante trabajo preparatorio y al incremento de la demanda asociados a la conferencia diplomática de Marrakech, así como a los períodos extraordinarios de sesiones de la Asamblea de diciembre de 2013</w:t>
      </w:r>
      <w:r w:rsidRPr="00A34388">
        <w:rPr>
          <w:rFonts w:cs="Arial"/>
          <w:bCs/>
          <w:color w:val="000000"/>
          <w:szCs w:val="20"/>
          <w:lang w:val="es-ES_tradnl"/>
        </w:rPr>
        <w:t xml:space="preserve">.  </w:t>
      </w:r>
      <w:r w:rsidRPr="00332758">
        <w:rPr>
          <w:rFonts w:cs="Arial"/>
          <w:bCs/>
          <w:szCs w:val="20"/>
          <w:lang w:val="es-ES_tradnl"/>
        </w:rPr>
        <w:t>Además, el programa participó ampliamente en la elaboración del Plan de continuidad de las operaciones y de la Estrategia de gestión de la continuidad de las operaciones de la OMPI.</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A34388">
        <w:rPr>
          <w:rFonts w:cs="Arial"/>
          <w:bCs/>
          <w:color w:val="000000"/>
          <w:szCs w:val="20"/>
          <w:lang w:val="es-ES_tradnl"/>
        </w:rPr>
        <w:t>28.4.</w:t>
      </w:r>
      <w:r w:rsidRPr="00A34388">
        <w:rPr>
          <w:rFonts w:cs="Arial"/>
          <w:bCs/>
          <w:color w:val="000000"/>
          <w:szCs w:val="20"/>
          <w:lang w:val="es-ES_tradnl"/>
        </w:rPr>
        <w:tab/>
        <w:t xml:space="preserve">El número total de incidentes de seguridad registrados durante el bienio </w:t>
      </w:r>
      <w:r w:rsidR="00C104AD" w:rsidRPr="00A34388">
        <w:rPr>
          <w:rFonts w:cs="Arial"/>
          <w:bCs/>
          <w:color w:val="000000"/>
          <w:szCs w:val="20"/>
          <w:lang w:val="es-ES_tradnl"/>
        </w:rPr>
        <w:t xml:space="preserve">se mantuvo en niveles reducidos </w:t>
      </w:r>
      <w:r w:rsidRPr="00A34388">
        <w:rPr>
          <w:rFonts w:cs="Arial"/>
          <w:bCs/>
          <w:color w:val="000000"/>
          <w:szCs w:val="20"/>
          <w:lang w:val="es-ES_tradnl"/>
        </w:rPr>
        <w:t xml:space="preserve">durante </w:t>
      </w:r>
      <w:r w:rsidR="00C104AD" w:rsidRPr="00A34388">
        <w:rPr>
          <w:rFonts w:cs="Arial"/>
          <w:bCs/>
          <w:color w:val="000000"/>
          <w:szCs w:val="20"/>
          <w:lang w:val="es-ES_tradnl"/>
        </w:rPr>
        <w:t>el bienio</w:t>
      </w:r>
      <w:r w:rsidRPr="00A34388">
        <w:rPr>
          <w:rFonts w:cs="Arial"/>
          <w:bCs/>
          <w:color w:val="000000"/>
          <w:szCs w:val="20"/>
          <w:lang w:val="es-ES_tradnl"/>
        </w:rPr>
        <w:t xml:space="preserve">, produciéndose un total de seis incidentes de seguridad </w:t>
      </w:r>
      <w:r w:rsidR="000A13D2" w:rsidRPr="00A34388">
        <w:rPr>
          <w:rFonts w:cs="Arial"/>
          <w:bCs/>
          <w:color w:val="000000"/>
          <w:szCs w:val="20"/>
          <w:lang w:val="es-ES_tradnl"/>
        </w:rPr>
        <w:t xml:space="preserve">con miembros del </w:t>
      </w:r>
      <w:r w:rsidRPr="00A34388">
        <w:rPr>
          <w:rFonts w:cs="Arial"/>
          <w:bCs/>
          <w:color w:val="000000"/>
          <w:szCs w:val="20"/>
          <w:lang w:val="es-ES_tradnl"/>
        </w:rPr>
        <w:t xml:space="preserve">personal </w:t>
      </w:r>
      <w:r w:rsidR="000A13D2" w:rsidRPr="00A34388">
        <w:rPr>
          <w:rFonts w:cs="Arial"/>
          <w:bCs/>
          <w:color w:val="000000"/>
          <w:szCs w:val="20"/>
          <w:lang w:val="es-ES_tradnl"/>
        </w:rPr>
        <w:t xml:space="preserve">implicados y resultado de </w:t>
      </w:r>
      <w:r w:rsidRPr="00A34388">
        <w:rPr>
          <w:rFonts w:cs="Arial"/>
          <w:bCs/>
          <w:color w:val="000000"/>
          <w:szCs w:val="20"/>
          <w:lang w:val="es-ES_tradnl"/>
        </w:rPr>
        <w:t xml:space="preserve">lesiones en 2012, y cuatro en 2013.  El porcentaje total de incidentes en los que se han visto implicados miembros del personal y se han producido lesiones fue inferior al 2% durante el bienio 2012/13. </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A34388">
        <w:rPr>
          <w:rFonts w:cs="Arial"/>
          <w:bCs/>
          <w:color w:val="000000"/>
          <w:szCs w:val="20"/>
          <w:lang w:val="es-ES_tradnl"/>
        </w:rPr>
        <w:t>28.5.</w:t>
      </w:r>
      <w:r w:rsidRPr="00A34388">
        <w:rPr>
          <w:rFonts w:cs="Arial"/>
          <w:bCs/>
          <w:color w:val="000000"/>
          <w:szCs w:val="20"/>
          <w:lang w:val="es-ES_tradnl"/>
        </w:rPr>
        <w:tab/>
        <w:t xml:space="preserve">Se han logrado avances constantes </w:t>
      </w:r>
      <w:r w:rsidR="00C104AD" w:rsidRPr="00A34388">
        <w:rPr>
          <w:rFonts w:cs="Arial"/>
          <w:bCs/>
          <w:color w:val="000000"/>
          <w:szCs w:val="20"/>
          <w:lang w:val="es-ES_tradnl"/>
        </w:rPr>
        <w:t xml:space="preserve">durante el </w:t>
      </w:r>
      <w:r w:rsidRPr="00A34388">
        <w:rPr>
          <w:rFonts w:cs="Arial"/>
          <w:bCs/>
          <w:color w:val="000000"/>
          <w:szCs w:val="20"/>
          <w:lang w:val="es-ES_tradnl"/>
        </w:rPr>
        <w:t xml:space="preserve">bienio en los sistemas de construcción y seguridad técnica del nuevo Centro de Operaciones de Coordinación de Seguridad (SCOC, </w:t>
      </w:r>
      <w:r w:rsidR="001C5AAB" w:rsidRPr="00A34388">
        <w:rPr>
          <w:rFonts w:cs="Arial"/>
          <w:bCs/>
          <w:color w:val="000000"/>
          <w:szCs w:val="20"/>
          <w:lang w:val="es-ES_tradnl"/>
        </w:rPr>
        <w:t xml:space="preserve">de </w:t>
      </w:r>
      <w:r w:rsidRPr="00A34388">
        <w:rPr>
          <w:rFonts w:cs="Arial"/>
          <w:bCs/>
          <w:color w:val="000000"/>
          <w:szCs w:val="20"/>
          <w:lang w:val="es-ES_tradnl"/>
        </w:rPr>
        <w:t xml:space="preserve">sus siglas en inglés), situado en la planta baja del complejo GB1.  En febrero de 2012 comenzaron los trabajos en dicho centro.  Su complejidad técnica obligó a dotarlo de su propia red de área local (LAN), que fue instalada a finales de 2012 y es independiente de la red que cubre el área en general y que da servicio al resto de la Organización, con el fin de garantizar la conectividad y funcionamiento óptimo de estos sistemas de seguridad.  Asimismo, a finales de 2013 se instalaron tecnologías específicas de seguridad, tales como sistemas de comunicación de emergencia y de detección de incendios.  La finalización del proyecto está prevista para finales de 2014.  </w:t>
      </w:r>
    </w:p>
    <w:p w:rsidR="0053316D" w:rsidRPr="00A34388" w:rsidRDefault="0053316D" w:rsidP="0053316D">
      <w:pPr>
        <w:tabs>
          <w:tab w:val="left" w:pos="709"/>
        </w:tabs>
        <w:jc w:val="both"/>
        <w:rPr>
          <w:rFonts w:cs="Arial"/>
          <w:bCs/>
          <w:color w:val="000000"/>
          <w:szCs w:val="20"/>
          <w:lang w:val="es-ES_tradnl"/>
        </w:rPr>
      </w:pPr>
    </w:p>
    <w:p w:rsidR="0053316D" w:rsidRPr="00A34388" w:rsidRDefault="0053316D" w:rsidP="0053316D">
      <w:pPr>
        <w:tabs>
          <w:tab w:val="left" w:pos="709"/>
        </w:tabs>
        <w:jc w:val="both"/>
        <w:rPr>
          <w:rFonts w:cs="Arial"/>
          <w:bCs/>
          <w:color w:val="000000"/>
          <w:szCs w:val="20"/>
          <w:lang w:val="es-ES_tradnl"/>
        </w:rPr>
      </w:pPr>
      <w:r w:rsidRPr="00A34388">
        <w:rPr>
          <w:rFonts w:cs="Arial"/>
          <w:bCs/>
          <w:color w:val="000000"/>
          <w:szCs w:val="20"/>
          <w:lang w:val="es-ES_tradnl"/>
        </w:rPr>
        <w:lastRenderedPageBreak/>
        <w:t>28.6.</w:t>
      </w:r>
      <w:r w:rsidRPr="00A34388">
        <w:rPr>
          <w:rFonts w:cs="Arial"/>
          <w:bCs/>
          <w:color w:val="000000"/>
          <w:szCs w:val="20"/>
          <w:lang w:val="es-ES_tradnl"/>
        </w:rPr>
        <w:tab/>
        <w:t xml:space="preserve">Asimismo, en el marco del compromiso de la OMPI de garantizar el cumplimiento del manual de política de seguridad en materia de incendios tanto del Cantón como de las NN.UU., se ha llevado a cabo una revisión completa de los procedimientos actuales.  A raíz de ello, se introdujeron durante el bienio las siguientes medidas:  i) instalación de nuevas señalizaciones contra incendios;  ii) instalación de 58 puertas cortafuegos controladas automáticamente;  iii) actualización de 240 extintores;  iv) instalación de nuevas alarmas y sistemas rociadores en varias instalaciones;  v) inspecciones rutinarias de seguridad contra incendios a cargo de un vigilante con formación específica;  vi) designación de guardias de seguridad en todos los edificios de la OMPI;  y vii) impartición de un programa de formación para todo el personal de la OMPI sobre prevención de incendios y técnicas de extinción de incendios.  Para esta formación, se dio prioridad a los guardias de seguridad de la OMPI.  Además, en consonancia con el compromiso de la OMPI de mejorar la preparación en materia de seguridad, se impartieron un total de 12 cursillos básicos de primeros auxilios a un total de 200 empleados de la Organización, y se instalaron kits de primeros auxilios y desfibriladores en todos los edificios del recinto de la OMPI.  </w:t>
      </w:r>
    </w:p>
    <w:p w:rsidR="0053316D" w:rsidRPr="00A34388" w:rsidRDefault="0053316D" w:rsidP="0053316D">
      <w:pPr>
        <w:tabs>
          <w:tab w:val="left" w:pos="709"/>
        </w:tabs>
        <w:jc w:val="both"/>
        <w:rPr>
          <w:rFonts w:cs="Arial"/>
          <w:bCs/>
          <w:color w:val="000000"/>
          <w:szCs w:val="20"/>
          <w:lang w:val="es-ES_tradnl"/>
        </w:rPr>
      </w:pPr>
    </w:p>
    <w:p w:rsidR="00442F46" w:rsidRDefault="00442F46" w:rsidP="0053316D">
      <w:pPr>
        <w:rPr>
          <w:rFonts w:cs="Arial"/>
          <w:sz w:val="22"/>
          <w:szCs w:val="22"/>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DATOS SOBRE EL RENDIMIENTO</w:t>
      </w:r>
    </w:p>
    <w:p w:rsidR="0053316D" w:rsidRPr="00A34388" w:rsidRDefault="0053316D" w:rsidP="0053316D">
      <w:pPr>
        <w:rPr>
          <w:rFonts w:cs="Arial"/>
          <w:b/>
          <w:sz w:val="22"/>
          <w:szCs w:val="22"/>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82"/>
        <w:gridCol w:w="1035"/>
        <w:gridCol w:w="1126"/>
        <w:gridCol w:w="4244"/>
        <w:gridCol w:w="1270"/>
      </w:tblGrid>
      <w:tr w:rsidR="0053316D" w:rsidRPr="00A9508D" w:rsidTr="00AA6702">
        <w:trPr>
          <w:cantSplit/>
        </w:trPr>
        <w:tc>
          <w:tcPr>
            <w:tcW w:w="5000" w:type="pct"/>
            <w:gridSpan w:val="5"/>
            <w:tcBorders>
              <w:top w:val="single" w:sz="4" w:space="0" w:color="auto"/>
              <w:bottom w:val="single" w:sz="4" w:space="0" w:color="auto"/>
            </w:tcBorders>
            <w:shd w:val="clear" w:color="auto" w:fill="CCFFFF"/>
            <w:vAlign w:val="center"/>
          </w:tcPr>
          <w:p w:rsidR="0053316D" w:rsidRPr="00332758" w:rsidRDefault="0053316D" w:rsidP="00AA6702">
            <w:pPr>
              <w:keepNext/>
              <w:keepLines/>
              <w:tabs>
                <w:tab w:val="left" w:pos="1452"/>
              </w:tabs>
              <w:spacing w:before="120" w:after="120"/>
              <w:ind w:left="1701" w:hanging="1701"/>
              <w:rPr>
                <w:rFonts w:cs="Arial"/>
                <w:b/>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Se garantiza la seguridad del personal de la OMPI, los delegados, los visitantes, la información y los activos físicos.</w:t>
            </w:r>
          </w:p>
        </w:tc>
      </w:tr>
      <w:tr w:rsidR="0053316D" w:rsidRPr="00A34388" w:rsidTr="00AA6702">
        <w:trPr>
          <w:cantSplit/>
        </w:trPr>
        <w:tc>
          <w:tcPr>
            <w:tcW w:w="903" w:type="pct"/>
            <w:tcBorders>
              <w:top w:val="single" w:sz="4" w:space="0" w:color="auto"/>
            </w:tcBorders>
            <w:shd w:val="clear" w:color="auto" w:fill="auto"/>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Indicadores de rendimiento</w:t>
            </w:r>
          </w:p>
        </w:tc>
        <w:tc>
          <w:tcPr>
            <w:tcW w:w="536" w:type="pct"/>
            <w:tcBorders>
              <w:top w:val="single" w:sz="4" w:space="0" w:color="auto"/>
            </w:tcBorders>
            <w:shd w:val="clear" w:color="auto" w:fill="auto"/>
            <w:vAlign w:val="center"/>
          </w:tcPr>
          <w:p w:rsidR="0053316D" w:rsidRPr="00A34388" w:rsidRDefault="0053316D" w:rsidP="00AA6702">
            <w:pPr>
              <w:rPr>
                <w:rFonts w:cs="Arial"/>
                <w:b/>
                <w:bCs/>
                <w:color w:val="808080"/>
                <w:sz w:val="16"/>
                <w:szCs w:val="16"/>
                <w:lang w:val="es-ES_tradnl"/>
              </w:rPr>
            </w:pPr>
            <w:r w:rsidRPr="00332758">
              <w:rPr>
                <w:rFonts w:cs="Arial"/>
                <w:b/>
                <w:bCs/>
                <w:sz w:val="16"/>
                <w:szCs w:val="16"/>
                <w:lang w:val="es-ES_tradnl"/>
              </w:rPr>
              <w:t>Referencia</w:t>
            </w:r>
          </w:p>
        </w:tc>
        <w:tc>
          <w:tcPr>
            <w:tcW w:w="606" w:type="pct"/>
            <w:tcBorders>
              <w:top w:val="single" w:sz="4" w:space="0" w:color="auto"/>
            </w:tcBorders>
            <w:shd w:val="clear" w:color="auto" w:fill="auto"/>
            <w:tcMar>
              <w:top w:w="110" w:type="dxa"/>
            </w:tcMar>
            <w:vAlign w:val="center"/>
          </w:tcPr>
          <w:p w:rsidR="0053316D" w:rsidRPr="00A34388" w:rsidRDefault="0053316D" w:rsidP="00AA6702">
            <w:pPr>
              <w:rPr>
                <w:rFonts w:cs="Arial"/>
                <w:b/>
                <w:color w:val="808080"/>
                <w:sz w:val="16"/>
                <w:szCs w:val="16"/>
                <w:lang w:val="es-ES_tradnl"/>
              </w:rPr>
            </w:pPr>
            <w:r w:rsidRPr="00332758">
              <w:rPr>
                <w:rFonts w:cs="Arial"/>
                <w:b/>
                <w:sz w:val="16"/>
                <w:szCs w:val="16"/>
                <w:lang w:val="es-ES_tradnl"/>
              </w:rPr>
              <w:t>Objetivos</w:t>
            </w:r>
          </w:p>
        </w:tc>
        <w:tc>
          <w:tcPr>
            <w:tcW w:w="2272" w:type="pct"/>
            <w:tcBorders>
              <w:top w:val="single" w:sz="4" w:space="0" w:color="auto"/>
            </w:tcBorders>
            <w:shd w:val="clear" w:color="auto" w:fill="FFFFFF"/>
            <w:tcMar>
              <w:top w:w="110" w:type="dxa"/>
            </w:tcMar>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Datos sobre el rendimiento</w:t>
            </w:r>
          </w:p>
        </w:tc>
        <w:tc>
          <w:tcPr>
            <w:tcW w:w="683" w:type="pct"/>
            <w:tcBorders>
              <w:top w:val="single" w:sz="4" w:space="0" w:color="auto"/>
            </w:tcBorders>
            <w:shd w:val="clear" w:color="auto" w:fill="auto"/>
            <w:tcMar>
              <w:top w:w="110" w:type="dxa"/>
            </w:tcMar>
            <w:vAlign w:val="center"/>
          </w:tcPr>
          <w:p w:rsidR="0053316D" w:rsidRPr="00332758" w:rsidRDefault="0053316D" w:rsidP="00AA6702">
            <w:pPr>
              <w:keepNext/>
              <w:keepLines/>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AA6702">
        <w:trPr>
          <w:cantSplit/>
        </w:trPr>
        <w:tc>
          <w:tcPr>
            <w:tcW w:w="903" w:type="pct"/>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Porcentaje de miembros del personal de la OMPI, delegados y visitantes que comunican daños o incidentes relacionados con el trabajo.</w:t>
            </w:r>
          </w:p>
        </w:tc>
        <w:tc>
          <w:tcPr>
            <w:tcW w:w="536" w:type="pct"/>
            <w:shd w:val="clear" w:color="auto" w:fill="auto"/>
          </w:tcPr>
          <w:p w:rsidR="0053316D" w:rsidRPr="00A34388" w:rsidRDefault="0053316D" w:rsidP="00AA6702">
            <w:pPr>
              <w:rPr>
                <w:rFonts w:cs="Arial"/>
                <w:sz w:val="16"/>
                <w:szCs w:val="16"/>
                <w:lang w:val="es-ES_tradnl"/>
              </w:rPr>
            </w:pPr>
            <w:r w:rsidRPr="00A34388">
              <w:rPr>
                <w:rFonts w:cs="Arial"/>
                <w:sz w:val="16"/>
                <w:szCs w:val="16"/>
                <w:lang w:val="es-ES_tradnl"/>
              </w:rPr>
              <w:t>2%</w:t>
            </w:r>
          </w:p>
        </w:tc>
        <w:tc>
          <w:tcPr>
            <w:tcW w:w="606" w:type="pct"/>
            <w:shd w:val="clear" w:color="auto" w:fill="auto"/>
            <w:tcMar>
              <w:top w:w="110" w:type="dxa"/>
            </w:tcMar>
          </w:tcPr>
          <w:p w:rsidR="0053316D" w:rsidRPr="00A34388" w:rsidRDefault="0053316D" w:rsidP="00AA6702">
            <w:pPr>
              <w:rPr>
                <w:rFonts w:cs="Arial"/>
                <w:sz w:val="16"/>
                <w:szCs w:val="16"/>
                <w:lang w:val="es-ES_tradnl"/>
              </w:rPr>
            </w:pPr>
            <w:r w:rsidRPr="00332758">
              <w:rPr>
                <w:rFonts w:cs="Arial"/>
                <w:sz w:val="16"/>
                <w:szCs w:val="16"/>
                <w:lang w:val="es-ES_tradnl"/>
              </w:rPr>
              <w:t>2% o menos.</w:t>
            </w:r>
          </w:p>
        </w:tc>
        <w:tc>
          <w:tcPr>
            <w:tcW w:w="2272" w:type="pct"/>
            <w:shd w:val="clear" w:color="auto" w:fill="FFFFFF"/>
            <w:tcMar>
              <w:top w:w="110" w:type="dxa"/>
            </w:tcMar>
          </w:tcPr>
          <w:p w:rsidR="0053316D" w:rsidRPr="00A34388" w:rsidRDefault="0053316D" w:rsidP="00AA6702">
            <w:pPr>
              <w:rPr>
                <w:rFonts w:cs="Arial"/>
                <w:sz w:val="16"/>
                <w:szCs w:val="16"/>
                <w:lang w:val="es-ES_tradnl"/>
              </w:rPr>
            </w:pPr>
            <w:r w:rsidRPr="00A34388">
              <w:rPr>
                <w:rFonts w:cs="Arial"/>
                <w:bCs/>
                <w:color w:val="000000"/>
                <w:sz w:val="16"/>
                <w:szCs w:val="20"/>
                <w:lang w:val="es-ES_tradnl"/>
              </w:rPr>
              <w:t>El porcentaje total de incidentes en los que se han visto implicados miembros del personal y se han producido lesiones fue inferior al 2% durante el bienio 2012/13</w:t>
            </w:r>
            <w:r w:rsidRPr="00A34388">
              <w:rPr>
                <w:rFonts w:cs="Arial"/>
                <w:sz w:val="16"/>
                <w:szCs w:val="16"/>
                <w:lang w:val="es-ES_tradnl"/>
              </w:rPr>
              <w:t>:</w:t>
            </w:r>
          </w:p>
          <w:p w:rsidR="0053316D" w:rsidRPr="00A34388" w:rsidRDefault="0053316D" w:rsidP="00AA6702">
            <w:pPr>
              <w:jc w:val="both"/>
              <w:rPr>
                <w:rFonts w:cs="Arial"/>
                <w:sz w:val="8"/>
                <w:szCs w:val="8"/>
                <w:lang w:val="es-ES_tradnl"/>
              </w:rPr>
            </w:pPr>
          </w:p>
          <w:p w:rsidR="0053316D" w:rsidRPr="00A34388" w:rsidRDefault="0053316D" w:rsidP="0053316D">
            <w:pPr>
              <w:pStyle w:val="ListParagraph"/>
              <w:numPr>
                <w:ilvl w:val="0"/>
                <w:numId w:val="62"/>
              </w:numPr>
              <w:ind w:left="460"/>
              <w:jc w:val="both"/>
              <w:rPr>
                <w:rFonts w:cs="Arial"/>
                <w:sz w:val="16"/>
                <w:szCs w:val="16"/>
                <w:lang w:val="es-ES_tradnl"/>
              </w:rPr>
            </w:pPr>
            <w:r w:rsidRPr="00A34388">
              <w:rPr>
                <w:rFonts w:cs="Arial"/>
                <w:sz w:val="16"/>
                <w:szCs w:val="16"/>
                <w:lang w:val="es-ES_tradnl"/>
              </w:rPr>
              <w:t>seis incidentes con personal implicado (2012)</w:t>
            </w:r>
          </w:p>
          <w:p w:rsidR="0053316D" w:rsidRPr="00A34388" w:rsidRDefault="0053316D" w:rsidP="0053316D">
            <w:pPr>
              <w:pStyle w:val="ListParagraph"/>
              <w:numPr>
                <w:ilvl w:val="0"/>
                <w:numId w:val="62"/>
              </w:numPr>
              <w:ind w:left="460"/>
              <w:jc w:val="both"/>
              <w:rPr>
                <w:rFonts w:cs="Arial"/>
                <w:sz w:val="16"/>
                <w:szCs w:val="16"/>
                <w:lang w:val="es-ES_tradnl"/>
              </w:rPr>
            </w:pPr>
            <w:r w:rsidRPr="00A34388">
              <w:rPr>
                <w:rFonts w:cs="Arial"/>
                <w:sz w:val="16"/>
                <w:szCs w:val="16"/>
                <w:lang w:val="es-ES_tradnl"/>
              </w:rPr>
              <w:t>cuatro incidentes con personal implicado (2013)</w:t>
            </w:r>
          </w:p>
        </w:tc>
        <w:tc>
          <w:tcPr>
            <w:tcW w:w="683" w:type="pct"/>
            <w:shd w:val="clear" w:color="auto" w:fill="auto"/>
            <w:tcMar>
              <w:top w:w="110" w:type="dxa"/>
            </w:tcMar>
          </w:tcPr>
          <w:p w:rsidR="0053316D" w:rsidRPr="00332758" w:rsidRDefault="0053316D" w:rsidP="00AA6702">
            <w:pPr>
              <w:keepNext/>
              <w:keepLines/>
              <w:jc w:val="center"/>
              <w:rPr>
                <w:rFonts w:cs="Arial"/>
                <w:bCs/>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tc>
      </w:tr>
      <w:tr w:rsidR="0053316D" w:rsidRPr="00A34388" w:rsidTr="00AA6702">
        <w:trPr>
          <w:cantSplit/>
        </w:trPr>
        <w:tc>
          <w:tcPr>
            <w:tcW w:w="903" w:type="pct"/>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Porcentaje de peticiones de asistencia relativas a la seguridad atendidas puntualmente en las conferencias o actividades organizadas en o fuera de Ginebra.</w:t>
            </w:r>
          </w:p>
        </w:tc>
        <w:tc>
          <w:tcPr>
            <w:tcW w:w="536" w:type="pct"/>
            <w:shd w:val="clear" w:color="auto" w:fill="auto"/>
          </w:tcPr>
          <w:p w:rsidR="0053316D" w:rsidRPr="00A34388" w:rsidRDefault="0053316D" w:rsidP="00AA6702">
            <w:pPr>
              <w:rPr>
                <w:rFonts w:cs="Arial"/>
                <w:sz w:val="16"/>
                <w:szCs w:val="16"/>
                <w:lang w:val="es-ES_tradnl"/>
              </w:rPr>
            </w:pPr>
            <w:r w:rsidRPr="00A34388">
              <w:rPr>
                <w:rFonts w:cs="Arial"/>
                <w:sz w:val="16"/>
                <w:szCs w:val="16"/>
                <w:lang w:val="es-ES_tradnl"/>
              </w:rPr>
              <w:t>65%</w:t>
            </w:r>
          </w:p>
        </w:tc>
        <w:tc>
          <w:tcPr>
            <w:tcW w:w="606" w:type="pct"/>
            <w:shd w:val="clear" w:color="auto" w:fill="auto"/>
            <w:tcMar>
              <w:top w:w="110" w:type="dxa"/>
            </w:tcMar>
          </w:tcPr>
          <w:p w:rsidR="0053316D" w:rsidRPr="00A34388" w:rsidRDefault="0053316D" w:rsidP="00AA6702">
            <w:pPr>
              <w:rPr>
                <w:rFonts w:cs="Arial"/>
                <w:sz w:val="16"/>
                <w:szCs w:val="16"/>
                <w:lang w:val="es-ES_tradnl"/>
              </w:rPr>
            </w:pPr>
            <w:r w:rsidRPr="00A34388">
              <w:rPr>
                <w:rFonts w:ascii="ArialMT" w:hAnsi="ArialMT" w:cs="ArialMT"/>
                <w:sz w:val="16"/>
                <w:szCs w:val="16"/>
                <w:lang w:val="es-ES_tradnl"/>
              </w:rPr>
              <w:t>80%</w:t>
            </w:r>
          </w:p>
        </w:tc>
        <w:tc>
          <w:tcPr>
            <w:tcW w:w="2272" w:type="pct"/>
            <w:shd w:val="clear" w:color="auto" w:fill="FFFFFF"/>
            <w:tcMar>
              <w:top w:w="110" w:type="dxa"/>
            </w:tcMar>
          </w:tcPr>
          <w:p w:rsidR="000A13D2" w:rsidRPr="00A34388" w:rsidRDefault="000A13D2" w:rsidP="00AA6702">
            <w:pPr>
              <w:rPr>
                <w:rFonts w:cs="Arial"/>
                <w:sz w:val="16"/>
                <w:szCs w:val="16"/>
                <w:lang w:val="es-ES_tradnl"/>
              </w:rPr>
            </w:pPr>
            <w:r w:rsidRPr="00A34388">
              <w:rPr>
                <w:rFonts w:cs="Arial"/>
                <w:sz w:val="16"/>
                <w:szCs w:val="16"/>
                <w:lang w:val="es-ES_tradnl"/>
              </w:rPr>
              <w:t xml:space="preserve">Durante el bienio se realizó un total de siete auditorías de eventos externos (conferencias o actividades) con la ayuda de las respectivas oficinas nacionales del Departamento de Seguridad y Vigilancia de las Naciones Unidas, que cumplieron todas las normas del sistema de gestión de seguridad de NN.UU.: </w:t>
            </w:r>
          </w:p>
          <w:p w:rsidR="0053316D" w:rsidRPr="00A34388" w:rsidRDefault="0053316D" w:rsidP="00AA6702">
            <w:pPr>
              <w:rPr>
                <w:rFonts w:cs="Arial"/>
                <w:sz w:val="8"/>
                <w:szCs w:val="8"/>
                <w:lang w:val="es-ES_tradnl"/>
              </w:rPr>
            </w:pPr>
          </w:p>
          <w:p w:rsidR="0053316D" w:rsidRPr="00A34388" w:rsidRDefault="0053316D" w:rsidP="0053316D">
            <w:pPr>
              <w:pStyle w:val="ListParagraph"/>
              <w:numPr>
                <w:ilvl w:val="0"/>
                <w:numId w:val="63"/>
              </w:numPr>
              <w:ind w:left="460" w:hanging="284"/>
              <w:rPr>
                <w:rFonts w:cs="Arial"/>
                <w:sz w:val="16"/>
                <w:szCs w:val="16"/>
                <w:lang w:val="es-ES_tradnl"/>
              </w:rPr>
            </w:pPr>
            <w:r w:rsidRPr="00A34388">
              <w:rPr>
                <w:rFonts w:cs="Arial"/>
                <w:sz w:val="16"/>
                <w:szCs w:val="16"/>
                <w:lang w:val="es-ES_tradnl"/>
              </w:rPr>
              <w:t>tres (2012)</w:t>
            </w:r>
          </w:p>
          <w:p w:rsidR="0053316D" w:rsidRPr="00A34388" w:rsidRDefault="0053316D" w:rsidP="0053316D">
            <w:pPr>
              <w:pStyle w:val="ListParagraph"/>
              <w:numPr>
                <w:ilvl w:val="0"/>
                <w:numId w:val="63"/>
              </w:numPr>
              <w:ind w:left="460" w:hanging="284"/>
              <w:rPr>
                <w:rFonts w:cs="Arial"/>
                <w:sz w:val="16"/>
                <w:szCs w:val="16"/>
                <w:lang w:val="es-ES_tradnl"/>
              </w:rPr>
            </w:pPr>
            <w:r w:rsidRPr="00A34388">
              <w:rPr>
                <w:rFonts w:cs="Arial"/>
                <w:sz w:val="16"/>
                <w:szCs w:val="16"/>
                <w:lang w:val="es-ES_tradnl"/>
              </w:rPr>
              <w:t>cuatro (2013)</w:t>
            </w:r>
            <w:r w:rsidRPr="00A34388">
              <w:rPr>
                <w:rFonts w:cs="Arial"/>
                <w:sz w:val="16"/>
                <w:szCs w:val="16"/>
                <w:lang w:val="es-ES_tradnl"/>
              </w:rPr>
              <w:br/>
            </w:r>
          </w:p>
          <w:p w:rsidR="000A13D2" w:rsidRPr="00A34388" w:rsidRDefault="000A13D2" w:rsidP="00AA6702">
            <w:pPr>
              <w:rPr>
                <w:rFonts w:cs="Arial"/>
                <w:sz w:val="16"/>
                <w:szCs w:val="16"/>
                <w:lang w:val="es-ES_tradnl"/>
              </w:rPr>
            </w:pPr>
            <w:r w:rsidRPr="00A34388">
              <w:rPr>
                <w:rFonts w:cs="Arial"/>
                <w:sz w:val="16"/>
                <w:szCs w:val="16"/>
                <w:lang w:val="es-ES_tradnl"/>
              </w:rPr>
              <w:t xml:space="preserve">Por otra parte, se llevaron a cabo auditorías de dos eventos externos gestionados directamente por la OMPI (el 100% de las peticiones se atendieron puntualmente) </w:t>
            </w:r>
          </w:p>
          <w:p w:rsidR="000A13D2" w:rsidRPr="00A34388" w:rsidRDefault="000A13D2" w:rsidP="00AA6702">
            <w:pPr>
              <w:rPr>
                <w:rFonts w:cs="Arial"/>
                <w:sz w:val="16"/>
                <w:szCs w:val="16"/>
                <w:lang w:val="es-ES_tradnl"/>
              </w:rPr>
            </w:pPr>
          </w:p>
          <w:p w:rsidR="0053316D" w:rsidRPr="00A34388" w:rsidRDefault="0053316D" w:rsidP="00AA6702">
            <w:pPr>
              <w:rPr>
                <w:rFonts w:cs="Arial"/>
                <w:sz w:val="16"/>
                <w:szCs w:val="16"/>
                <w:lang w:val="es-ES_tradnl"/>
              </w:rPr>
            </w:pPr>
            <w:r w:rsidRPr="00A34388">
              <w:rPr>
                <w:rFonts w:cs="Arial"/>
                <w:sz w:val="16"/>
                <w:szCs w:val="16"/>
                <w:lang w:val="es-ES_tradnl"/>
              </w:rPr>
              <w:t xml:space="preserve">En 2012, se </w:t>
            </w:r>
            <w:r w:rsidR="000A13D2" w:rsidRPr="00A34388">
              <w:rPr>
                <w:rFonts w:cs="Arial"/>
                <w:sz w:val="16"/>
                <w:szCs w:val="16"/>
                <w:lang w:val="es-ES_tradnl"/>
              </w:rPr>
              <w:t xml:space="preserve">emprendieron </w:t>
            </w:r>
            <w:r w:rsidRPr="00A34388">
              <w:rPr>
                <w:rFonts w:cs="Arial"/>
                <w:sz w:val="16"/>
                <w:szCs w:val="16"/>
                <w:lang w:val="es-ES_tradnl"/>
              </w:rPr>
              <w:t xml:space="preserve">dos auditorías </w:t>
            </w:r>
            <w:r w:rsidR="000A13D2" w:rsidRPr="00A34388">
              <w:rPr>
                <w:rFonts w:cs="Arial"/>
                <w:sz w:val="16"/>
                <w:szCs w:val="16"/>
                <w:lang w:val="es-ES_tradnl"/>
              </w:rPr>
              <w:t xml:space="preserve">de las instalaciones de las </w:t>
            </w:r>
            <w:r w:rsidRPr="00A34388">
              <w:rPr>
                <w:rFonts w:cs="Arial"/>
                <w:sz w:val="16"/>
                <w:szCs w:val="16"/>
                <w:lang w:val="es-ES_tradnl"/>
              </w:rPr>
              <w:t xml:space="preserve">oficinas </w:t>
            </w:r>
            <w:r w:rsidR="00C43D99" w:rsidRPr="00A34388">
              <w:rPr>
                <w:rFonts w:cs="Arial"/>
                <w:sz w:val="16"/>
                <w:szCs w:val="16"/>
                <w:lang w:val="es-ES_tradnl"/>
              </w:rPr>
              <w:t xml:space="preserve">exteriores </w:t>
            </w:r>
            <w:r w:rsidR="000A13D2" w:rsidRPr="00A34388">
              <w:rPr>
                <w:rFonts w:cs="Arial"/>
                <w:sz w:val="16"/>
                <w:szCs w:val="16"/>
                <w:lang w:val="es-ES_tradnl"/>
              </w:rPr>
              <w:t xml:space="preserve">de la OMPI </w:t>
            </w:r>
            <w:r w:rsidRPr="00A34388">
              <w:rPr>
                <w:rFonts w:cs="Arial"/>
                <w:sz w:val="16"/>
                <w:szCs w:val="16"/>
                <w:lang w:val="es-ES_tradnl"/>
              </w:rPr>
              <w:t>(Singapur y Tokio).</w:t>
            </w:r>
          </w:p>
          <w:p w:rsidR="0053316D" w:rsidRPr="00A34388" w:rsidRDefault="0053316D" w:rsidP="00AA6702">
            <w:pPr>
              <w:rPr>
                <w:rFonts w:cs="Arial"/>
                <w:sz w:val="16"/>
                <w:szCs w:val="16"/>
                <w:lang w:val="es-ES_tradnl"/>
              </w:rPr>
            </w:pPr>
          </w:p>
          <w:p w:rsidR="0053316D" w:rsidRPr="00A34388" w:rsidRDefault="0053316D" w:rsidP="00AA6702">
            <w:pPr>
              <w:rPr>
                <w:rFonts w:cs="Arial"/>
                <w:sz w:val="16"/>
                <w:szCs w:val="16"/>
                <w:lang w:val="es-ES_tradnl"/>
              </w:rPr>
            </w:pPr>
            <w:r w:rsidRPr="00A34388">
              <w:rPr>
                <w:rFonts w:cs="Arial"/>
                <w:sz w:val="16"/>
                <w:szCs w:val="16"/>
                <w:lang w:val="es-ES_tradnl"/>
              </w:rPr>
              <w:t xml:space="preserve">En 2013, </w:t>
            </w:r>
            <w:r w:rsidR="00C43D99" w:rsidRPr="00A34388">
              <w:rPr>
                <w:rFonts w:cs="Arial"/>
                <w:sz w:val="16"/>
                <w:szCs w:val="16"/>
                <w:lang w:val="es-ES_tradnl"/>
              </w:rPr>
              <w:t xml:space="preserve">se aplazaron </w:t>
            </w:r>
            <w:r w:rsidRPr="00A34388">
              <w:rPr>
                <w:rFonts w:cs="Arial"/>
                <w:sz w:val="16"/>
                <w:szCs w:val="16"/>
                <w:lang w:val="es-ES_tradnl"/>
              </w:rPr>
              <w:t xml:space="preserve">las auditorías de las </w:t>
            </w:r>
            <w:r w:rsidR="00C43D99" w:rsidRPr="00A34388">
              <w:rPr>
                <w:rFonts w:cs="Arial"/>
                <w:sz w:val="16"/>
                <w:szCs w:val="16"/>
                <w:lang w:val="es-ES_tradnl"/>
              </w:rPr>
              <w:t xml:space="preserve">instalaciones de las </w:t>
            </w:r>
            <w:r w:rsidRPr="00A34388">
              <w:rPr>
                <w:rFonts w:cs="Arial"/>
                <w:sz w:val="16"/>
                <w:szCs w:val="16"/>
                <w:lang w:val="es-ES_tradnl"/>
              </w:rPr>
              <w:t xml:space="preserve">oficinas </w:t>
            </w:r>
            <w:r w:rsidR="00C43D99" w:rsidRPr="00A34388">
              <w:rPr>
                <w:rFonts w:cs="Arial"/>
                <w:sz w:val="16"/>
                <w:szCs w:val="16"/>
                <w:lang w:val="es-ES_tradnl"/>
              </w:rPr>
              <w:t xml:space="preserve">exteriores </w:t>
            </w:r>
            <w:r w:rsidRPr="00A34388">
              <w:rPr>
                <w:rFonts w:cs="Arial"/>
                <w:sz w:val="16"/>
                <w:szCs w:val="16"/>
                <w:lang w:val="es-ES_tradnl"/>
              </w:rPr>
              <w:t>de Río de Janeiro y Nueva York</w:t>
            </w:r>
            <w:r w:rsidR="00C43D99" w:rsidRPr="00A34388">
              <w:rPr>
                <w:rFonts w:cs="Arial"/>
                <w:sz w:val="16"/>
                <w:szCs w:val="16"/>
                <w:lang w:val="es-ES_tradnl"/>
              </w:rPr>
              <w:t>,</w:t>
            </w:r>
            <w:r w:rsidRPr="00A34388">
              <w:rPr>
                <w:rFonts w:cs="Arial"/>
                <w:sz w:val="16"/>
                <w:szCs w:val="16"/>
                <w:lang w:val="es-ES_tradnl"/>
              </w:rPr>
              <w:t xml:space="preserve"> </w:t>
            </w:r>
            <w:r w:rsidRPr="00A34388">
              <w:rPr>
                <w:rFonts w:cs="Arial"/>
                <w:bCs/>
                <w:sz w:val="16"/>
                <w:szCs w:val="16"/>
                <w:lang w:val="es-ES_tradnl"/>
              </w:rPr>
              <w:t>debido al abundante trabajo preparatorio y al incremento de la demanda asociados a la conferencia diplomática de Marrakech, así como a los períodos extraordinarios de sesiones de la Asamblea de diciembre de 2013</w:t>
            </w:r>
            <w:r w:rsidRPr="00A34388">
              <w:rPr>
                <w:rFonts w:cs="Arial"/>
                <w:sz w:val="16"/>
                <w:szCs w:val="16"/>
                <w:lang w:val="es-ES_tradnl"/>
              </w:rPr>
              <w:t>.</w:t>
            </w:r>
          </w:p>
          <w:p w:rsidR="0053316D" w:rsidRPr="00A34388" w:rsidRDefault="0053316D" w:rsidP="00AA6702">
            <w:pPr>
              <w:rPr>
                <w:rFonts w:cs="Arial"/>
                <w:sz w:val="16"/>
                <w:szCs w:val="16"/>
                <w:lang w:val="es-ES_tradnl" w:bidi="th-TH"/>
              </w:rPr>
            </w:pPr>
          </w:p>
        </w:tc>
        <w:tc>
          <w:tcPr>
            <w:tcW w:w="683" w:type="pct"/>
            <w:shd w:val="clear" w:color="auto" w:fill="auto"/>
          </w:tcPr>
          <w:p w:rsidR="0053316D" w:rsidRPr="00A34388" w:rsidRDefault="0053316D" w:rsidP="00AA6702">
            <w:pPr>
              <w:keepNext/>
              <w:keepLines/>
              <w:jc w:val="center"/>
              <w:rPr>
                <w:rStyle w:val="Style5"/>
                <w:rFonts w:cs="Arial"/>
                <w:color w:val="00B050"/>
                <w:sz w:val="16"/>
                <w:szCs w:val="16"/>
                <w:lang w:val="es-ES_tradnl"/>
              </w:rPr>
            </w:pPr>
            <w:r w:rsidRPr="00A34388">
              <w:rPr>
                <w:rFonts w:cs="Arial"/>
                <w:bCs/>
                <w:color w:val="008000"/>
                <w:sz w:val="16"/>
                <w:szCs w:val="16"/>
                <w:lang w:val="es-ES_tradnl"/>
              </w:rPr>
              <w:t>Plenamente</w:t>
            </w:r>
            <w:r w:rsidRPr="00A34388">
              <w:rPr>
                <w:rFonts w:cs="Arial"/>
                <w:bCs/>
                <w:color w:val="008000"/>
                <w:sz w:val="16"/>
                <w:szCs w:val="16"/>
                <w:lang w:val="es-ES_tradnl"/>
              </w:rPr>
              <w:br/>
              <w:t>logrado</w:t>
            </w: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sz w:val="16"/>
                <w:szCs w:val="16"/>
                <w:lang w:val="es-ES_tradnl"/>
              </w:rPr>
            </w:pPr>
          </w:p>
          <w:p w:rsidR="0053316D" w:rsidRPr="00A34388" w:rsidRDefault="0053316D" w:rsidP="00AA6702">
            <w:pPr>
              <w:keepNext/>
              <w:keepLines/>
              <w:jc w:val="center"/>
              <w:rPr>
                <w:rStyle w:val="Style5"/>
                <w:rFonts w:cs="Arial"/>
                <w:color w:val="E36C0A" w:themeColor="accent6" w:themeShade="BF"/>
                <w:sz w:val="16"/>
                <w:szCs w:val="16"/>
                <w:lang w:val="es-ES_tradnl"/>
              </w:rPr>
            </w:pPr>
            <w:r w:rsidRPr="00A34388">
              <w:rPr>
                <w:rStyle w:val="Style5"/>
                <w:rFonts w:cs="Arial"/>
                <w:color w:val="E36C0A" w:themeColor="accent6" w:themeShade="BF"/>
                <w:sz w:val="16"/>
                <w:szCs w:val="16"/>
                <w:lang w:val="es-ES_tradnl"/>
              </w:rPr>
              <w:t>Parcialmente</w:t>
            </w:r>
            <w:r w:rsidRPr="00A34388">
              <w:rPr>
                <w:rStyle w:val="Style5"/>
                <w:rFonts w:cs="Arial"/>
                <w:color w:val="E36C0A" w:themeColor="accent6" w:themeShade="BF"/>
                <w:sz w:val="16"/>
                <w:szCs w:val="16"/>
                <w:lang w:val="es-ES_tradnl"/>
              </w:rPr>
              <w:br/>
              <w:t>logrado</w:t>
            </w:r>
          </w:p>
          <w:p w:rsidR="0053316D" w:rsidRPr="00A34388" w:rsidRDefault="0053316D" w:rsidP="00AA6702">
            <w:pPr>
              <w:keepNext/>
              <w:keepLines/>
              <w:jc w:val="center"/>
              <w:rPr>
                <w:rFonts w:cs="Arial"/>
                <w:bCs/>
                <w:color w:val="333333"/>
                <w:sz w:val="16"/>
                <w:szCs w:val="16"/>
                <w:lang w:val="es-ES_tradnl"/>
              </w:rPr>
            </w:pPr>
          </w:p>
        </w:tc>
      </w:tr>
    </w:tbl>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p>
    <w:p w:rsidR="004C0FD5" w:rsidRPr="00332758" w:rsidRDefault="004C0FD5">
      <w:pPr>
        <w:rPr>
          <w:rFonts w:cs="Arial"/>
          <w:sz w:val="22"/>
          <w:szCs w:val="22"/>
          <w:lang w:val="es-ES_tradnl"/>
        </w:rPr>
      </w:pPr>
      <w:r w:rsidRPr="00332758">
        <w:rPr>
          <w:rFonts w:cs="Arial"/>
          <w:sz w:val="22"/>
          <w:szCs w:val="22"/>
          <w:lang w:val="es-ES_tradnl"/>
        </w:rPr>
        <w:br w:type="page"/>
      </w:r>
    </w:p>
    <w:p w:rsidR="0053316D" w:rsidRPr="00A34388" w:rsidRDefault="0053316D" w:rsidP="0053316D">
      <w:pPr>
        <w:rPr>
          <w:rFonts w:cs="Arial"/>
          <w:sz w:val="22"/>
          <w:szCs w:val="22"/>
          <w:lang w:val="es-ES_tradnl"/>
        </w:rPr>
      </w:pPr>
      <w:r w:rsidRPr="00332758">
        <w:rPr>
          <w:rFonts w:cs="Arial"/>
          <w:sz w:val="22"/>
          <w:szCs w:val="22"/>
          <w:lang w:val="es-ES_tradnl"/>
        </w:rPr>
        <w:lastRenderedPageBreak/>
        <w:t>PRESUPUESTO Y GASTOS REALES</w:t>
      </w:r>
    </w:p>
    <w:p w:rsidR="0053316D" w:rsidRPr="00A34388" w:rsidRDefault="0053316D" w:rsidP="0053316D">
      <w:pPr>
        <w:rPr>
          <w:rFonts w:cs="Arial"/>
          <w:sz w:val="22"/>
          <w:szCs w:val="22"/>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(por resultado) </w:t>
      </w:r>
    </w:p>
    <w:p w:rsidR="0053316D" w:rsidRPr="00332758" w:rsidRDefault="0053316D" w:rsidP="0053316D">
      <w:pPr>
        <w:pStyle w:val="NormalWeb"/>
        <w:spacing w:before="0" w:beforeAutospacing="0" w:after="0" w:afterAutospacing="0"/>
        <w:jc w:val="center"/>
        <w:rPr>
          <w:i/>
          <w:iCs/>
          <w:sz w:val="20"/>
          <w:szCs w:val="20"/>
          <w:lang w:val="es-ES_tradnl"/>
        </w:rPr>
      </w:pPr>
      <w:r w:rsidRPr="00332758">
        <w:rPr>
          <w:i/>
          <w:iCs/>
          <w:sz w:val="20"/>
          <w:szCs w:val="20"/>
          <w:lang w:val="es-ES_tradnl"/>
        </w:rPr>
        <w:t>(en miles de francos suizos)</w:t>
      </w:r>
    </w:p>
    <w:p w:rsidR="0053316D" w:rsidRPr="00A34388" w:rsidRDefault="0053316D" w:rsidP="0053316D">
      <w:pPr>
        <w:pStyle w:val="NormalWeb"/>
        <w:spacing w:before="0" w:beforeAutospacing="0" w:after="0" w:afterAutospacing="0"/>
        <w:jc w:val="center"/>
        <w:rPr>
          <w:sz w:val="20"/>
          <w:szCs w:val="20"/>
          <w:lang w:val="es-ES_tradnl"/>
        </w:rPr>
      </w:pPr>
    </w:p>
    <w:tbl>
      <w:tblPr>
        <w:tblW w:w="0" w:type="auto"/>
        <w:tblInd w:w="103" w:type="dxa"/>
        <w:tblLayout w:type="fixed"/>
        <w:tblLook w:val="04A0" w:firstRow="1" w:lastRow="0" w:firstColumn="1" w:lastColumn="0" w:noHBand="0" w:noVBand="1"/>
      </w:tblPr>
      <w:tblGrid>
        <w:gridCol w:w="501"/>
        <w:gridCol w:w="4040"/>
        <w:gridCol w:w="1606"/>
        <w:gridCol w:w="1607"/>
        <w:gridCol w:w="1607"/>
      </w:tblGrid>
      <w:tr w:rsidR="0053316D" w:rsidRPr="00A34388" w:rsidTr="00AA6702">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606"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aprobado 2012/13</w:t>
            </w:r>
          </w:p>
        </w:tc>
        <w:tc>
          <w:tcPr>
            <w:tcW w:w="1607"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07"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A34388">
              <w:rPr>
                <w:rFonts w:cs="Arial"/>
                <w:bCs/>
                <w:color w:val="000000"/>
                <w:sz w:val="16"/>
                <w:szCs w:val="16"/>
                <w:lang w:val="es-ES_tradnl"/>
              </w:rPr>
              <w:t xml:space="preserve">Gastos en 2012/13 </w:t>
            </w:r>
            <w:r w:rsidRPr="00A34388">
              <w:rPr>
                <w:rFonts w:cs="Arial"/>
                <w:bCs/>
                <w:color w:val="000000"/>
                <w:sz w:val="16"/>
                <w:szCs w:val="16"/>
                <w:lang w:val="es-ES_tradnl"/>
              </w:rPr>
              <w:br/>
            </w:r>
          </w:p>
        </w:tc>
      </w:tr>
      <w:tr w:rsidR="0053316D" w:rsidRPr="00A34388" w:rsidTr="00AA6702">
        <w:tc>
          <w:tcPr>
            <w:tcW w:w="501" w:type="dxa"/>
            <w:tcBorders>
              <w:top w:val="nil"/>
              <w:left w:val="single" w:sz="4" w:space="0" w:color="auto"/>
              <w:bottom w:val="single" w:sz="4" w:space="0" w:color="auto"/>
              <w:right w:val="nil"/>
            </w:tcBorders>
            <w:shd w:val="clear" w:color="000000" w:fill="FFFFFF"/>
            <w:noWrap/>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IX.4</w:t>
            </w:r>
          </w:p>
        </w:tc>
        <w:tc>
          <w:tcPr>
            <w:tcW w:w="4040" w:type="dxa"/>
            <w:tcBorders>
              <w:top w:val="nil"/>
              <w:left w:val="nil"/>
              <w:bottom w:val="single" w:sz="4" w:space="0" w:color="auto"/>
              <w:right w:val="nil"/>
            </w:tcBorders>
            <w:shd w:val="clear" w:color="000000" w:fill="FFFFFF"/>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Se garantiza la seguridad del personal de la OMPI, los delegados, los visitantes, la información y los activos físicos.</w:t>
            </w:r>
          </w:p>
        </w:tc>
        <w:tc>
          <w:tcPr>
            <w:tcW w:w="1606" w:type="dxa"/>
            <w:tcBorders>
              <w:top w:val="nil"/>
              <w:left w:val="nil"/>
              <w:bottom w:val="nil"/>
              <w:right w:val="nil"/>
            </w:tcBorders>
            <w:shd w:val="clear" w:color="000000" w:fill="FFFFFF"/>
            <w:vAlign w:val="center"/>
          </w:tcPr>
          <w:p w:rsidR="0053316D" w:rsidRPr="00A34388" w:rsidRDefault="0053316D" w:rsidP="00AA6702">
            <w:pPr>
              <w:spacing w:before="120" w:after="120"/>
              <w:jc w:val="right"/>
              <w:rPr>
                <w:rFonts w:cs="Arial"/>
                <w:color w:val="808080"/>
                <w:sz w:val="16"/>
                <w:szCs w:val="16"/>
                <w:lang w:val="es-ES_tradnl"/>
              </w:rPr>
            </w:pPr>
            <w:r w:rsidRPr="00332758">
              <w:rPr>
                <w:rFonts w:cs="Arial"/>
                <w:sz w:val="16"/>
                <w:szCs w:val="16"/>
                <w:lang w:val="es-ES_tradnl"/>
              </w:rPr>
              <w:t xml:space="preserve">12.159 </w:t>
            </w:r>
          </w:p>
        </w:tc>
        <w:tc>
          <w:tcPr>
            <w:tcW w:w="1607" w:type="dxa"/>
            <w:tcBorders>
              <w:top w:val="nil"/>
              <w:left w:val="nil"/>
              <w:bottom w:val="nil"/>
              <w:right w:val="nil"/>
            </w:tcBorders>
            <w:shd w:val="clear" w:color="000000" w:fill="FFFFFF"/>
            <w:vAlign w:val="center"/>
          </w:tcPr>
          <w:p w:rsidR="0053316D" w:rsidRPr="00A34388" w:rsidRDefault="0053316D" w:rsidP="00AA6702">
            <w:pPr>
              <w:spacing w:before="120" w:after="120"/>
              <w:jc w:val="right"/>
              <w:rPr>
                <w:rFonts w:cs="Arial"/>
                <w:color w:val="808080"/>
                <w:sz w:val="16"/>
                <w:szCs w:val="16"/>
                <w:lang w:val="es-ES_tradnl"/>
              </w:rPr>
            </w:pPr>
            <w:r w:rsidRPr="00332758">
              <w:rPr>
                <w:rFonts w:cs="Arial"/>
                <w:sz w:val="16"/>
                <w:szCs w:val="16"/>
                <w:lang w:val="es-ES_tradnl"/>
              </w:rPr>
              <w:t xml:space="preserve">11.385 </w:t>
            </w:r>
          </w:p>
        </w:tc>
        <w:tc>
          <w:tcPr>
            <w:tcW w:w="1607" w:type="dxa"/>
            <w:tcBorders>
              <w:top w:val="nil"/>
              <w:left w:val="nil"/>
              <w:bottom w:val="nil"/>
              <w:right w:val="single" w:sz="4" w:space="0" w:color="auto"/>
            </w:tcBorders>
            <w:shd w:val="clear" w:color="000000" w:fill="FFFFFF"/>
            <w:vAlign w:val="center"/>
          </w:tcPr>
          <w:p w:rsidR="0053316D" w:rsidRPr="00332758" w:rsidRDefault="0053316D" w:rsidP="00AA6702">
            <w:pPr>
              <w:spacing w:before="120" w:after="120"/>
              <w:jc w:val="right"/>
              <w:rPr>
                <w:rFonts w:cs="Arial"/>
                <w:sz w:val="16"/>
                <w:szCs w:val="16"/>
                <w:lang w:val="es-ES_tradnl"/>
              </w:rPr>
            </w:pPr>
            <w:r w:rsidRPr="00332758">
              <w:rPr>
                <w:rFonts w:cs="Arial"/>
                <w:sz w:val="16"/>
                <w:szCs w:val="16"/>
                <w:lang w:val="es-ES_tradnl"/>
              </w:rPr>
              <w:t xml:space="preserve">11.026 </w:t>
            </w:r>
          </w:p>
        </w:tc>
      </w:tr>
      <w:tr w:rsidR="0053316D" w:rsidRPr="00A34388" w:rsidTr="00AA6702">
        <w:tc>
          <w:tcPr>
            <w:tcW w:w="501" w:type="dxa"/>
            <w:tcBorders>
              <w:top w:val="nil"/>
              <w:left w:val="single" w:sz="4" w:space="0" w:color="auto"/>
              <w:bottom w:val="single" w:sz="4" w:space="0" w:color="auto"/>
              <w:right w:val="nil"/>
            </w:tcBorders>
            <w:shd w:val="clear" w:color="000000" w:fill="CCFFFF"/>
            <w:noWrap/>
            <w:vAlign w:val="bottom"/>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 xml:space="preserve"> </w:t>
            </w:r>
          </w:p>
        </w:tc>
        <w:tc>
          <w:tcPr>
            <w:tcW w:w="4040" w:type="dxa"/>
            <w:tcBorders>
              <w:top w:val="nil"/>
              <w:left w:val="nil"/>
              <w:bottom w:val="single" w:sz="4" w:space="0" w:color="auto"/>
              <w:right w:val="nil"/>
            </w:tcBorders>
            <w:shd w:val="clear" w:color="000000" w:fill="CCFFFF"/>
            <w:noWrap/>
            <w:vAlign w:val="center"/>
          </w:tcPr>
          <w:p w:rsidR="0053316D" w:rsidRPr="00A34388" w:rsidRDefault="0053316D" w:rsidP="00AA6702">
            <w:pPr>
              <w:spacing w:before="120" w:after="120"/>
              <w:rPr>
                <w:rFonts w:cs="Arial"/>
                <w:b/>
                <w:bCs/>
                <w:color w:val="808080"/>
                <w:sz w:val="16"/>
                <w:szCs w:val="16"/>
                <w:lang w:val="es-ES_tradnl"/>
              </w:rPr>
            </w:pPr>
            <w:r w:rsidRPr="00332758">
              <w:rPr>
                <w:rFonts w:cs="Arial"/>
                <w:b/>
                <w:bCs/>
                <w:sz w:val="16"/>
                <w:szCs w:val="16"/>
                <w:lang w:val="es-ES_tradnl"/>
              </w:rPr>
              <w:t>TOTAL</w:t>
            </w:r>
          </w:p>
        </w:tc>
        <w:tc>
          <w:tcPr>
            <w:tcW w:w="1606" w:type="dxa"/>
            <w:tcBorders>
              <w:top w:val="single" w:sz="4" w:space="0" w:color="auto"/>
              <w:left w:val="single" w:sz="4" w:space="0" w:color="auto"/>
              <w:bottom w:val="single" w:sz="4" w:space="0" w:color="auto"/>
              <w:right w:val="single" w:sz="4" w:space="0" w:color="auto"/>
            </w:tcBorders>
            <w:shd w:val="clear" w:color="000000" w:fill="CCFFFF"/>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12.159</w:t>
            </w:r>
          </w:p>
        </w:tc>
        <w:tc>
          <w:tcPr>
            <w:tcW w:w="1607" w:type="dxa"/>
            <w:tcBorders>
              <w:top w:val="single" w:sz="4" w:space="0" w:color="auto"/>
              <w:left w:val="nil"/>
              <w:bottom w:val="single" w:sz="4" w:space="0" w:color="auto"/>
              <w:right w:val="single" w:sz="4" w:space="0" w:color="auto"/>
            </w:tcBorders>
            <w:shd w:val="clear" w:color="000000" w:fill="CCFFFF"/>
            <w:noWrap/>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11.385</w:t>
            </w:r>
          </w:p>
        </w:tc>
        <w:tc>
          <w:tcPr>
            <w:tcW w:w="1607" w:type="dxa"/>
            <w:tcBorders>
              <w:top w:val="single" w:sz="4" w:space="0" w:color="auto"/>
              <w:left w:val="nil"/>
              <w:bottom w:val="single" w:sz="4" w:space="0" w:color="auto"/>
              <w:right w:val="single" w:sz="4" w:space="0" w:color="auto"/>
            </w:tcBorders>
            <w:shd w:val="clear" w:color="000000" w:fill="CCFFFF"/>
            <w:vAlign w:val="center"/>
          </w:tcPr>
          <w:p w:rsidR="0053316D" w:rsidRPr="00332758" w:rsidRDefault="0053316D" w:rsidP="00AA6702">
            <w:pPr>
              <w:spacing w:before="120" w:after="120"/>
              <w:jc w:val="right"/>
              <w:rPr>
                <w:rFonts w:cs="Arial"/>
                <w:b/>
                <w:bCs/>
                <w:sz w:val="16"/>
                <w:szCs w:val="16"/>
                <w:lang w:val="es-ES_tradnl"/>
              </w:rPr>
            </w:pPr>
            <w:r w:rsidRPr="00332758">
              <w:rPr>
                <w:rFonts w:cs="Arial"/>
                <w:b/>
                <w:sz w:val="16"/>
                <w:szCs w:val="16"/>
                <w:lang w:val="es-ES_tradnl"/>
              </w:rPr>
              <w:t>11.026</w:t>
            </w:r>
          </w:p>
        </w:tc>
      </w:tr>
    </w:tbl>
    <w:p w:rsidR="0053316D" w:rsidRPr="00A34388" w:rsidRDefault="0053316D" w:rsidP="0053316D">
      <w:pPr>
        <w:pStyle w:val="NormalWeb"/>
        <w:spacing w:before="0" w:beforeAutospacing="0" w:after="0" w:afterAutospacing="0"/>
        <w:jc w:val="center"/>
        <w:rPr>
          <w:color w:val="000000"/>
          <w:sz w:val="20"/>
          <w:szCs w:val="20"/>
          <w:lang w:val="es-ES_tradnl"/>
        </w:rPr>
      </w:pPr>
    </w:p>
    <w:p w:rsidR="0053316D" w:rsidRPr="00A34388" w:rsidRDefault="0053316D" w:rsidP="0053316D">
      <w:pPr>
        <w:pStyle w:val="NormalWeb"/>
        <w:spacing w:before="0" w:beforeAutospacing="0" w:after="0" w:afterAutospacing="0"/>
        <w:jc w:val="center"/>
        <w:rPr>
          <w:color w:val="000000"/>
          <w:sz w:val="20"/>
          <w:szCs w:val="20"/>
          <w:lang w:val="es-ES_tradnl"/>
        </w:rPr>
      </w:pPr>
    </w:p>
    <w:p w:rsidR="0053316D" w:rsidRPr="00A34388" w:rsidRDefault="0053316D" w:rsidP="0053316D">
      <w:pPr>
        <w:pStyle w:val="NormalWeb"/>
        <w:spacing w:before="0" w:beforeAutospacing="0" w:after="0" w:afterAutospacing="0"/>
        <w:jc w:val="center"/>
        <w:rPr>
          <w:sz w:val="20"/>
          <w:szCs w:val="20"/>
          <w:lang w:val="es-ES_tradnl"/>
        </w:rPr>
      </w:pPr>
      <w:r w:rsidRPr="00A34388">
        <w:rPr>
          <w:color w:val="000000"/>
          <w:sz w:val="20"/>
          <w:szCs w:val="20"/>
          <w:lang w:val="es-ES_tradnl"/>
        </w:rPr>
        <w:t xml:space="preserve">Presupuesto y gastos reales (de personal y no relativos al personal) </w:t>
      </w:r>
    </w:p>
    <w:p w:rsidR="0053316D" w:rsidRPr="00332758" w:rsidRDefault="0053316D" w:rsidP="0053316D">
      <w:pPr>
        <w:pStyle w:val="NormalWeb"/>
        <w:spacing w:before="0" w:beforeAutospacing="0" w:after="0" w:afterAutospacing="0"/>
        <w:jc w:val="center"/>
        <w:rPr>
          <w:sz w:val="20"/>
          <w:szCs w:val="20"/>
          <w:lang w:val="es-ES_tradnl"/>
        </w:rPr>
      </w:pPr>
      <w:r w:rsidRPr="00332758">
        <w:rPr>
          <w:i/>
          <w:sz w:val="20"/>
          <w:szCs w:val="20"/>
          <w:lang w:val="es-ES_tradnl"/>
        </w:rPr>
        <w:t>(en miles de francos suizos)</w:t>
      </w:r>
    </w:p>
    <w:p w:rsidR="0053316D" w:rsidRPr="00A34388" w:rsidRDefault="0053316D" w:rsidP="0053316D">
      <w:pPr>
        <w:rPr>
          <w:rFonts w:cs="Arial"/>
          <w:sz w:val="22"/>
          <w:szCs w:val="22"/>
          <w:lang w:val="es-ES_tradnl"/>
        </w:rPr>
      </w:pPr>
    </w:p>
    <w:tbl>
      <w:tblPr>
        <w:tblW w:w="0" w:type="auto"/>
        <w:tblInd w:w="93" w:type="dxa"/>
        <w:tblLook w:val="04A0" w:firstRow="1" w:lastRow="0" w:firstColumn="1" w:lastColumn="0" w:noHBand="0" w:noVBand="1"/>
      </w:tblPr>
      <w:tblGrid>
        <w:gridCol w:w="2709"/>
        <w:gridCol w:w="1630"/>
        <w:gridCol w:w="1631"/>
        <w:gridCol w:w="1630"/>
        <w:gridCol w:w="1631"/>
      </w:tblGrid>
      <w:tr w:rsidR="0053316D" w:rsidRPr="00A34388" w:rsidTr="00AA6702">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53316D" w:rsidRPr="00A34388" w:rsidRDefault="0053316D" w:rsidP="00AA6702">
            <w:pPr>
              <w:spacing w:before="120" w:after="120"/>
              <w:rPr>
                <w:rFonts w:cs="Arial"/>
                <w:color w:val="000000"/>
                <w:sz w:val="16"/>
                <w:szCs w:val="16"/>
                <w:lang w:val="es-ES_tradnl"/>
              </w:rPr>
            </w:pPr>
            <w:r w:rsidRPr="00A34388">
              <w:rPr>
                <w:rFonts w:cs="Arial"/>
                <w:color w:val="000000"/>
                <w:sz w:val="16"/>
                <w:szCs w:val="16"/>
                <w:lang w:val="es-ES_tradnl"/>
              </w:rPr>
              <w:t xml:space="preserve"> </w:t>
            </w:r>
          </w:p>
        </w:tc>
        <w:tc>
          <w:tcPr>
            <w:tcW w:w="1630"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808080"/>
                <w:sz w:val="16"/>
                <w:szCs w:val="16"/>
                <w:lang w:val="es-ES_tradnl"/>
              </w:rPr>
            </w:pPr>
            <w:r w:rsidRPr="00332758">
              <w:rPr>
                <w:rFonts w:cs="Arial"/>
                <w:bCs/>
                <w:sz w:val="16"/>
                <w:szCs w:val="16"/>
                <w:lang w:val="es-ES_tradnl"/>
              </w:rPr>
              <w:t>Presupuesto aprobado 2012/13</w:t>
            </w:r>
          </w:p>
        </w:tc>
        <w:tc>
          <w:tcPr>
            <w:tcW w:w="1631"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30"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808080"/>
                <w:sz w:val="16"/>
                <w:szCs w:val="16"/>
                <w:lang w:val="es-ES_tradnl"/>
              </w:rPr>
            </w:pPr>
            <w:r w:rsidRPr="00332758">
              <w:rPr>
                <w:rFonts w:cs="Arial"/>
                <w:bCs/>
                <w:sz w:val="16"/>
                <w:szCs w:val="16"/>
                <w:lang w:val="es-ES_tradnl"/>
              </w:rPr>
              <w:t>Gastos en 2012/13</w:t>
            </w:r>
          </w:p>
        </w:tc>
        <w:tc>
          <w:tcPr>
            <w:tcW w:w="1631"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 xml:space="preserve">Recursos de personal  </w:t>
            </w:r>
          </w:p>
        </w:tc>
        <w:tc>
          <w:tcPr>
            <w:tcW w:w="1630"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2.693</w:t>
            </w:r>
          </w:p>
        </w:tc>
        <w:tc>
          <w:tcPr>
            <w:tcW w:w="1631"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2.280</w:t>
            </w:r>
          </w:p>
        </w:tc>
        <w:tc>
          <w:tcPr>
            <w:tcW w:w="1630"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2.280</w:t>
            </w:r>
          </w:p>
        </w:tc>
        <w:tc>
          <w:tcPr>
            <w:tcW w:w="1631" w:type="dxa"/>
            <w:tcBorders>
              <w:top w:val="single" w:sz="4" w:space="0" w:color="auto"/>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sz w:val="16"/>
                <w:szCs w:val="16"/>
                <w:lang w:val="es-ES_tradnl"/>
              </w:rPr>
            </w:pPr>
            <w:r w:rsidRPr="00332758">
              <w:rPr>
                <w:rFonts w:cs="Arial"/>
                <w:sz w:val="16"/>
                <w:szCs w:val="16"/>
                <w:lang w:val="es-ES_tradnl"/>
              </w:rPr>
              <w:t>100%</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 xml:space="preserve">Recursos no relativos al personal </w:t>
            </w:r>
          </w:p>
        </w:tc>
        <w:tc>
          <w:tcPr>
            <w:tcW w:w="1630"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9.466</w:t>
            </w:r>
          </w:p>
        </w:tc>
        <w:tc>
          <w:tcPr>
            <w:tcW w:w="1631"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9.105</w:t>
            </w:r>
          </w:p>
        </w:tc>
        <w:tc>
          <w:tcPr>
            <w:tcW w:w="1630"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8.746</w:t>
            </w:r>
          </w:p>
        </w:tc>
        <w:tc>
          <w:tcPr>
            <w:tcW w:w="1631" w:type="dxa"/>
            <w:tcBorders>
              <w:top w:val="nil"/>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sz w:val="16"/>
                <w:szCs w:val="16"/>
                <w:lang w:val="es-ES_tradnl"/>
              </w:rPr>
            </w:pPr>
            <w:r w:rsidRPr="00332758">
              <w:rPr>
                <w:rFonts w:cs="Arial"/>
                <w:sz w:val="16"/>
                <w:szCs w:val="16"/>
                <w:lang w:val="es-ES_tradnl"/>
              </w:rPr>
              <w:t>96%</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 xml:space="preserve"> TOTAL </w:t>
            </w:r>
          </w:p>
        </w:tc>
        <w:tc>
          <w:tcPr>
            <w:tcW w:w="1630"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12.159</w:t>
            </w:r>
          </w:p>
        </w:tc>
        <w:tc>
          <w:tcPr>
            <w:tcW w:w="1631"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color w:val="808080"/>
                <w:sz w:val="16"/>
                <w:szCs w:val="16"/>
                <w:lang w:val="es-ES_tradnl"/>
              </w:rPr>
            </w:pPr>
            <w:r w:rsidRPr="00332758">
              <w:rPr>
                <w:rFonts w:cs="Arial"/>
                <w:b/>
                <w:sz w:val="16"/>
                <w:szCs w:val="16"/>
                <w:lang w:val="es-ES_tradnl"/>
              </w:rPr>
              <w:t>11.385</w:t>
            </w:r>
          </w:p>
        </w:tc>
        <w:tc>
          <w:tcPr>
            <w:tcW w:w="1630"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color w:val="808080"/>
                <w:sz w:val="16"/>
                <w:szCs w:val="16"/>
                <w:lang w:val="es-ES_tradnl"/>
              </w:rPr>
            </w:pPr>
            <w:r w:rsidRPr="00332758">
              <w:rPr>
                <w:rFonts w:cs="Arial"/>
                <w:b/>
                <w:sz w:val="16"/>
                <w:szCs w:val="16"/>
                <w:lang w:val="es-ES_tradnl"/>
              </w:rPr>
              <w:t>11.026</w:t>
            </w:r>
          </w:p>
        </w:tc>
        <w:tc>
          <w:tcPr>
            <w:tcW w:w="1631" w:type="dxa"/>
            <w:tcBorders>
              <w:top w:val="nil"/>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b/>
                <w:sz w:val="16"/>
                <w:szCs w:val="16"/>
                <w:lang w:val="es-ES_tradnl"/>
              </w:rPr>
            </w:pPr>
            <w:r w:rsidRPr="00332758">
              <w:rPr>
                <w:rFonts w:cs="Arial"/>
                <w:b/>
                <w:sz w:val="16"/>
                <w:szCs w:val="16"/>
                <w:lang w:val="es-ES_tradnl"/>
              </w:rPr>
              <w:t>97%</w:t>
            </w:r>
          </w:p>
        </w:tc>
      </w:tr>
    </w:tbl>
    <w:p w:rsidR="0053316D" w:rsidRPr="00A34388" w:rsidRDefault="0053316D" w:rsidP="0053316D">
      <w:pPr>
        <w:rPr>
          <w:rFonts w:cs="Arial"/>
          <w:sz w:val="22"/>
          <w:szCs w:val="22"/>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NOTAS:</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53316D">
      <w:pPr>
        <w:keepNext/>
        <w:autoSpaceDE w:val="0"/>
        <w:autoSpaceDN w:val="0"/>
        <w:rPr>
          <w:rFonts w:cs="Arial"/>
          <w:sz w:val="16"/>
          <w:szCs w:val="16"/>
          <w:lang w:val="es-ES_tradnl"/>
        </w:rPr>
      </w:pPr>
      <w:r w:rsidRPr="00332758">
        <w:rPr>
          <w:rFonts w:cs="Arial"/>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rFonts w:cs="Arial"/>
          <w:sz w:val="16"/>
          <w:szCs w:val="16"/>
          <w:lang w:val="es-ES_tradnl"/>
        </w:rPr>
      </w:pPr>
    </w:p>
    <w:p w:rsidR="0053316D" w:rsidRPr="00A34388" w:rsidRDefault="0053316D" w:rsidP="004C0FD5">
      <w:pPr>
        <w:keepNext/>
        <w:autoSpaceDE w:val="0"/>
        <w:autoSpaceDN w:val="0"/>
        <w:jc w:val="both"/>
        <w:rPr>
          <w:rFonts w:cs="Arial"/>
          <w:sz w:val="16"/>
          <w:szCs w:val="16"/>
          <w:lang w:val="es-ES_tradnl"/>
        </w:rPr>
      </w:pPr>
      <w:r w:rsidRPr="00A34388">
        <w:rPr>
          <w:rFonts w:cs="Arial"/>
          <w:sz w:val="16"/>
          <w:szCs w:val="16"/>
          <w:lang w:val="es-ES_tradnl"/>
        </w:rPr>
        <w:t xml:space="preserve">2)  La asignación para el personal del presupuesto de 2012/13 después de las transferencias representa los gastos reales efectuados en el bienio.  </w:t>
      </w:r>
    </w:p>
    <w:p w:rsidR="0053316D" w:rsidRPr="00332758" w:rsidRDefault="0053316D" w:rsidP="0053316D">
      <w:pPr>
        <w:rPr>
          <w:rFonts w:cs="Arial"/>
          <w:sz w:val="22"/>
          <w:szCs w:val="22"/>
          <w:lang w:val="es-ES_tradnl"/>
        </w:rPr>
      </w:pPr>
    </w:p>
    <w:p w:rsidR="0053316D" w:rsidRPr="00332758" w:rsidRDefault="0053316D" w:rsidP="0053316D">
      <w:pPr>
        <w:tabs>
          <w:tab w:val="left" w:pos="709"/>
        </w:tabs>
        <w:rPr>
          <w:rFonts w:cs="Arial"/>
          <w:szCs w:val="20"/>
          <w:u w:val="single"/>
          <w:lang w:val="es-ES_tradnl"/>
        </w:rPr>
      </w:pPr>
      <w:r w:rsidRPr="00332758">
        <w:rPr>
          <w:rFonts w:cs="Arial"/>
          <w:szCs w:val="20"/>
          <w:lang w:val="es-ES_tradnl"/>
        </w:rPr>
        <w:t>A.</w:t>
      </w:r>
      <w:r w:rsidRPr="00332758">
        <w:rPr>
          <w:rFonts w:cs="Arial"/>
          <w:szCs w:val="20"/>
          <w:lang w:val="es-ES_tradnl"/>
        </w:rPr>
        <w:tab/>
      </w:r>
      <w:r w:rsidRPr="00332758">
        <w:rPr>
          <w:rFonts w:cs="Arial"/>
          <w:szCs w:val="20"/>
          <w:u w:val="single"/>
          <w:lang w:val="es-ES_tradnl"/>
        </w:rPr>
        <w:t>Presupuesto 2012/13 después de las transferencias</w:t>
      </w:r>
    </w:p>
    <w:p w:rsidR="0053316D" w:rsidRPr="00A34388" w:rsidRDefault="0053316D" w:rsidP="0053316D">
      <w:pPr>
        <w:tabs>
          <w:tab w:val="left" w:pos="709"/>
        </w:tabs>
        <w:jc w:val="both"/>
        <w:rPr>
          <w:rFonts w:cs="Arial"/>
          <w:szCs w:val="20"/>
          <w:u w:val="single"/>
          <w:lang w:val="es-ES_tradnl"/>
        </w:rPr>
      </w:pPr>
    </w:p>
    <w:p w:rsidR="0053316D" w:rsidRPr="00A34388" w:rsidRDefault="0053316D" w:rsidP="0053316D">
      <w:pPr>
        <w:tabs>
          <w:tab w:val="left" w:pos="709"/>
        </w:tabs>
        <w:autoSpaceDE w:val="0"/>
        <w:autoSpaceDN w:val="0"/>
        <w:jc w:val="both"/>
        <w:rPr>
          <w:rFonts w:cs="Arial"/>
          <w:szCs w:val="20"/>
          <w:lang w:val="es-ES_tradnl" w:eastAsia="ko-KR"/>
        </w:rPr>
      </w:pPr>
      <w:r w:rsidRPr="00A34388">
        <w:rPr>
          <w:rFonts w:cs="Arial"/>
          <w:szCs w:val="20"/>
          <w:lang w:val="es-ES_tradnl" w:eastAsia="ko-KR"/>
        </w:rPr>
        <w:t>28.7.</w:t>
      </w:r>
      <w:r w:rsidRPr="00A34388">
        <w:rPr>
          <w:rFonts w:cs="Arial"/>
          <w:szCs w:val="20"/>
          <w:lang w:val="es-ES_tradnl" w:eastAsia="ko-KR"/>
        </w:rPr>
        <w:tab/>
        <w:t xml:space="preserve">El Presupuesto después de las transferencias refleja un ajuste a la baja tanto en los recursos de personal como en los no relativos al personal, debido respectivamente a: </w:t>
      </w:r>
    </w:p>
    <w:p w:rsidR="0053316D" w:rsidRPr="00A34388" w:rsidRDefault="0053316D" w:rsidP="0053316D">
      <w:pPr>
        <w:tabs>
          <w:tab w:val="left" w:pos="709"/>
        </w:tabs>
        <w:autoSpaceDE w:val="0"/>
        <w:autoSpaceDN w:val="0"/>
        <w:jc w:val="both"/>
        <w:rPr>
          <w:rFonts w:cs="Arial"/>
          <w:szCs w:val="20"/>
          <w:lang w:val="es-ES_tradnl" w:eastAsia="ko-KR"/>
        </w:rPr>
      </w:pPr>
    </w:p>
    <w:p w:rsidR="0053316D" w:rsidRPr="00A34388" w:rsidRDefault="006139B0" w:rsidP="0053316D">
      <w:pPr>
        <w:pStyle w:val="ListParagraph"/>
        <w:numPr>
          <w:ilvl w:val="0"/>
          <w:numId w:val="64"/>
        </w:numPr>
        <w:tabs>
          <w:tab w:val="left" w:pos="709"/>
        </w:tabs>
        <w:autoSpaceDE w:val="0"/>
        <w:autoSpaceDN w:val="0"/>
        <w:jc w:val="both"/>
        <w:rPr>
          <w:rFonts w:cs="Arial"/>
          <w:lang w:val="es-ES_tradnl" w:eastAsia="ko-KR"/>
        </w:rPr>
      </w:pPr>
      <w:r w:rsidRPr="00A34388">
        <w:rPr>
          <w:rFonts w:cs="Arial"/>
          <w:lang w:val="es-ES_tradnl" w:eastAsia="ko-KR"/>
        </w:rPr>
        <w:t xml:space="preserve">el trasvase desde el programa </w:t>
      </w:r>
      <w:r w:rsidR="0053316D" w:rsidRPr="00A34388">
        <w:rPr>
          <w:rFonts w:cs="Arial"/>
          <w:lang w:val="es-ES_tradnl" w:eastAsia="ko-KR"/>
        </w:rPr>
        <w:t xml:space="preserve">de puestos vacantes para fortalecer la labor de la Organización en estudios y análisis económicos del programa </w:t>
      </w:r>
      <w:r w:rsidR="0053316D" w:rsidRPr="00A34388">
        <w:rPr>
          <w:rFonts w:cs="Arial"/>
          <w:lang w:val="es-ES_tradnl"/>
        </w:rPr>
        <w:t>16 y para facilitar la aplicación de la Política Lingüística de la OMPI en el programa 27;</w:t>
      </w:r>
      <w:r w:rsidR="0053316D" w:rsidRPr="00A34388">
        <w:rPr>
          <w:rFonts w:cs="Arial"/>
          <w:lang w:val="es-ES_tradnl" w:eastAsia="ko-KR"/>
        </w:rPr>
        <w:t xml:space="preserve"> </w:t>
      </w:r>
    </w:p>
    <w:p w:rsidR="0053316D" w:rsidRPr="00A34388" w:rsidRDefault="0053316D" w:rsidP="0053316D">
      <w:pPr>
        <w:pStyle w:val="ListParagraph"/>
        <w:tabs>
          <w:tab w:val="left" w:pos="709"/>
        </w:tabs>
        <w:autoSpaceDE w:val="0"/>
        <w:autoSpaceDN w:val="0"/>
        <w:jc w:val="both"/>
        <w:rPr>
          <w:rFonts w:cs="Arial"/>
          <w:lang w:val="es-ES_tradnl" w:eastAsia="ko-KR"/>
        </w:rPr>
      </w:pPr>
    </w:p>
    <w:p w:rsidR="0053316D" w:rsidRPr="00A34388" w:rsidRDefault="0053316D" w:rsidP="0053316D">
      <w:pPr>
        <w:pStyle w:val="ListParagraph"/>
        <w:keepNext/>
        <w:numPr>
          <w:ilvl w:val="0"/>
          <w:numId w:val="64"/>
        </w:numPr>
        <w:tabs>
          <w:tab w:val="left" w:pos="709"/>
        </w:tabs>
        <w:autoSpaceDE w:val="0"/>
        <w:autoSpaceDN w:val="0"/>
        <w:jc w:val="both"/>
        <w:rPr>
          <w:rFonts w:cs="Arial"/>
          <w:lang w:val="es-ES_tradnl"/>
        </w:rPr>
      </w:pPr>
      <w:r w:rsidRPr="00A34388">
        <w:rPr>
          <w:rFonts w:cs="Arial"/>
          <w:lang w:val="es-ES_tradnl"/>
        </w:rPr>
        <w:t xml:space="preserve">la realización de ajustes encaminados a </w:t>
      </w:r>
      <w:r w:rsidRPr="00A34388">
        <w:rPr>
          <w:lang w:val="es-ES_tradnl"/>
        </w:rPr>
        <w:t>aumentar la eficacia en función de los costos, de conformidad con el compromiso de la Organización de reducir gastos por un importe de 10,2 millones de francos suizos en el bienio 2012/13.</w:t>
      </w:r>
    </w:p>
    <w:p w:rsidR="0053316D" w:rsidRPr="00A34388" w:rsidRDefault="0053316D" w:rsidP="0053316D">
      <w:pPr>
        <w:tabs>
          <w:tab w:val="left" w:pos="709"/>
        </w:tabs>
        <w:autoSpaceDE w:val="0"/>
        <w:autoSpaceDN w:val="0"/>
        <w:jc w:val="both"/>
        <w:rPr>
          <w:rFonts w:cs="Arial"/>
          <w:szCs w:val="20"/>
          <w:lang w:val="es-ES_tradnl" w:eastAsia="ko-KR"/>
        </w:rPr>
      </w:pPr>
    </w:p>
    <w:p w:rsidR="0053316D" w:rsidRPr="00A34388" w:rsidRDefault="0053316D" w:rsidP="0053316D">
      <w:pPr>
        <w:tabs>
          <w:tab w:val="left" w:pos="709"/>
        </w:tabs>
        <w:jc w:val="both"/>
        <w:rPr>
          <w:rFonts w:cs="Arial"/>
          <w:szCs w:val="20"/>
          <w:u w:val="single"/>
          <w:lang w:val="es-ES_tradnl" w:eastAsia="ko-KR"/>
        </w:rPr>
      </w:pPr>
      <w:r w:rsidRPr="00A34388">
        <w:rPr>
          <w:rFonts w:cs="Arial"/>
          <w:szCs w:val="20"/>
          <w:lang w:val="es-ES_tradnl" w:eastAsia="ko-KR"/>
        </w:rPr>
        <w:t>B.</w:t>
      </w:r>
      <w:r w:rsidRPr="00A34388">
        <w:rPr>
          <w:rFonts w:cs="Arial"/>
          <w:szCs w:val="20"/>
          <w:lang w:val="es-ES_tradnl" w:eastAsia="ko-KR"/>
        </w:rPr>
        <w:tab/>
      </w:r>
      <w:r w:rsidRPr="00A34388">
        <w:rPr>
          <w:rFonts w:cs="Arial"/>
          <w:szCs w:val="20"/>
          <w:u w:val="single"/>
          <w:lang w:val="es-ES_tradnl" w:eastAsia="ko-KR"/>
        </w:rPr>
        <w:t xml:space="preserve">Utilización del presupuesto </w:t>
      </w:r>
      <w:r w:rsidR="009344B7" w:rsidRPr="00A34388">
        <w:rPr>
          <w:u w:val="single"/>
          <w:lang w:val="es-ES_tradnl"/>
        </w:rPr>
        <w:t>en 2012/13</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28.8.</w:t>
      </w:r>
      <w:r w:rsidRPr="00A34388">
        <w:rPr>
          <w:rFonts w:cs="Arial"/>
          <w:szCs w:val="20"/>
          <w:lang w:val="es-ES_tradnl"/>
        </w:rPr>
        <w:tab/>
        <w:t>La utilización del presupuesto (no relativo al personal) fue de 96%, debido principalmente a</w:t>
      </w:r>
      <w:r w:rsidR="006139B0" w:rsidRPr="00A34388">
        <w:rPr>
          <w:rFonts w:cs="Arial"/>
          <w:szCs w:val="20"/>
          <w:lang w:val="es-ES_tradnl"/>
        </w:rPr>
        <w:t xml:space="preserve">l </w:t>
      </w:r>
      <w:r w:rsidRPr="00A34388">
        <w:rPr>
          <w:rFonts w:cs="Arial"/>
          <w:szCs w:val="20"/>
          <w:lang w:val="es-ES_tradnl"/>
        </w:rPr>
        <w:t xml:space="preserve">ligero retraso </w:t>
      </w:r>
      <w:r w:rsidR="006139B0" w:rsidRPr="00A34388">
        <w:rPr>
          <w:rFonts w:cs="Arial"/>
          <w:szCs w:val="20"/>
          <w:lang w:val="es-ES_tradnl"/>
        </w:rPr>
        <w:t xml:space="preserve">producido </w:t>
      </w:r>
      <w:r w:rsidRPr="00A34388">
        <w:rPr>
          <w:rFonts w:cs="Arial"/>
          <w:szCs w:val="20"/>
          <w:lang w:val="es-ES_tradnl"/>
        </w:rPr>
        <w:t xml:space="preserve">en la </w:t>
      </w:r>
      <w:r w:rsidR="006139B0" w:rsidRPr="00A34388">
        <w:rPr>
          <w:rFonts w:cs="Arial"/>
          <w:szCs w:val="20"/>
          <w:lang w:val="es-ES_tradnl"/>
        </w:rPr>
        <w:t xml:space="preserve">ejecución </w:t>
      </w:r>
      <w:r w:rsidRPr="00A34388">
        <w:rPr>
          <w:rFonts w:cs="Arial"/>
          <w:szCs w:val="20"/>
          <w:lang w:val="es-ES_tradnl"/>
        </w:rPr>
        <w:t xml:space="preserve">de un proyecto destinado a reforzar las normas de seguridad y vigilancia en los edificios de la OMPI (H-MOSS, </w:t>
      </w:r>
      <w:r w:rsidR="001C5AAB" w:rsidRPr="00A34388">
        <w:rPr>
          <w:rFonts w:cs="Arial"/>
          <w:szCs w:val="20"/>
          <w:lang w:val="es-ES_tradnl"/>
        </w:rPr>
        <w:t xml:space="preserve">de </w:t>
      </w:r>
      <w:r w:rsidRPr="00A34388">
        <w:rPr>
          <w:rFonts w:cs="Arial"/>
          <w:szCs w:val="20"/>
          <w:lang w:val="es-ES_tradnl"/>
        </w:rPr>
        <w:t xml:space="preserve">sus siglas en inglés) a la espera de </w:t>
      </w:r>
      <w:r w:rsidR="006139B0" w:rsidRPr="00A34388">
        <w:rPr>
          <w:rFonts w:cs="Arial"/>
          <w:szCs w:val="20"/>
          <w:lang w:val="es-ES_tradnl"/>
        </w:rPr>
        <w:t xml:space="preserve">que se nombre </w:t>
      </w:r>
      <w:r w:rsidRPr="00A34388">
        <w:rPr>
          <w:rFonts w:cs="Arial"/>
          <w:szCs w:val="20"/>
          <w:lang w:val="es-ES_tradnl"/>
        </w:rPr>
        <w:t xml:space="preserve">un nuevo jefe de proyecto.  Asimismo, la capacidad de intervención </w:t>
      </w:r>
      <w:r w:rsidR="006139B0" w:rsidRPr="00A34388">
        <w:rPr>
          <w:rFonts w:cs="Arial"/>
          <w:szCs w:val="20"/>
          <w:lang w:val="es-ES_tradnl"/>
        </w:rPr>
        <w:t xml:space="preserve">rápida </w:t>
      </w:r>
      <w:r w:rsidRPr="00A34388">
        <w:rPr>
          <w:rFonts w:cs="Arial"/>
          <w:szCs w:val="20"/>
          <w:lang w:val="es-ES_tradnl"/>
        </w:rPr>
        <w:t xml:space="preserve">Arndt, prevista para </w:t>
      </w:r>
      <w:r w:rsidR="006139B0" w:rsidRPr="00A34388">
        <w:rPr>
          <w:rFonts w:cs="Arial"/>
          <w:szCs w:val="20"/>
          <w:lang w:val="es-ES_tradnl"/>
        </w:rPr>
        <w:t>hacer frente a imprevistos que comprometen la seguridad</w:t>
      </w:r>
      <w:r w:rsidRPr="00A34388">
        <w:rPr>
          <w:rFonts w:cs="Arial"/>
          <w:szCs w:val="20"/>
          <w:lang w:val="es-ES_tradnl"/>
        </w:rPr>
        <w:t xml:space="preserve">, no </w:t>
      </w:r>
      <w:r w:rsidR="007C4A03" w:rsidRPr="00A34388">
        <w:rPr>
          <w:rFonts w:cs="Arial"/>
          <w:szCs w:val="20"/>
          <w:lang w:val="es-ES_tradnl"/>
        </w:rPr>
        <w:t xml:space="preserve">fue utilizada </w:t>
      </w:r>
      <w:r w:rsidRPr="00A34388">
        <w:rPr>
          <w:rFonts w:cs="Arial"/>
          <w:szCs w:val="20"/>
          <w:lang w:val="es-ES_tradnl"/>
        </w:rPr>
        <w:t xml:space="preserve">plenamente. </w:t>
      </w:r>
    </w:p>
    <w:p w:rsidR="0053316D" w:rsidRPr="00A34388" w:rsidRDefault="0053316D" w:rsidP="0053316D">
      <w:pPr>
        <w:rPr>
          <w:lang w:val="es-ES_tradnl"/>
        </w:rPr>
      </w:pPr>
      <w:r w:rsidRPr="00A34388">
        <w:rPr>
          <w:lang w:val="es-ES_tradnl"/>
        </w:rPr>
        <w:br w:type="page"/>
      </w:r>
    </w:p>
    <w:p w:rsidR="0053316D" w:rsidRPr="00A34388" w:rsidRDefault="0053316D" w:rsidP="0053316D">
      <w:pPr>
        <w:rPr>
          <w:lang w:val="es-ES_tradnl"/>
        </w:rPr>
      </w:pPr>
    </w:p>
    <w:p w:rsidR="001F2211" w:rsidRPr="003934C8" w:rsidRDefault="001F2211" w:rsidP="001F2211">
      <w:pPr>
        <w:pStyle w:val="Heading3"/>
        <w:rPr>
          <w:rFonts w:hint="eastAsia"/>
          <w:lang w:val="es-ES"/>
        </w:rPr>
      </w:pPr>
      <w:bookmarkStart w:id="108" w:name="_Toc395279690"/>
      <w:bookmarkEnd w:id="106"/>
      <w:r w:rsidRPr="003934C8">
        <w:rPr>
          <w:lang w:val="es-ES"/>
        </w:rPr>
        <w:t>Programa 29</w:t>
      </w:r>
      <w:r w:rsidRPr="003934C8">
        <w:rPr>
          <w:lang w:val="es-ES"/>
        </w:rPr>
        <w:tab/>
        <w:t>Proyectos de construcción</w:t>
      </w:r>
      <w:bookmarkEnd w:id="108"/>
    </w:p>
    <w:p w:rsidR="001F2211" w:rsidRPr="00D42A38" w:rsidRDefault="001F2211" w:rsidP="001F2211">
      <w:pPr>
        <w:rPr>
          <w:b/>
          <w:sz w:val="22"/>
          <w:szCs w:val="22"/>
          <w:lang w:val="es-ES_tradnl"/>
        </w:rPr>
      </w:pPr>
    </w:p>
    <w:p w:rsidR="001F2211" w:rsidRPr="00D42A38" w:rsidRDefault="001F2211" w:rsidP="001F2211">
      <w:pPr>
        <w:rPr>
          <w:b/>
          <w:sz w:val="22"/>
          <w:szCs w:val="22"/>
          <w:lang w:val="es-ES_tradnl"/>
        </w:rPr>
      </w:pPr>
      <w:bookmarkStart w:id="109" w:name="_Toc394914544"/>
      <w:r w:rsidRPr="00D42A38">
        <w:rPr>
          <w:b/>
          <w:sz w:val="22"/>
          <w:szCs w:val="22"/>
          <w:lang w:val="es-ES_tradnl"/>
        </w:rPr>
        <w:t>Director del Programa</w:t>
      </w:r>
      <w:r w:rsidRPr="00D42A38">
        <w:rPr>
          <w:b/>
          <w:sz w:val="22"/>
          <w:szCs w:val="22"/>
          <w:lang w:val="es-ES_tradnl"/>
        </w:rPr>
        <w:tab/>
        <w:t>Sr. A. Sundaram</w:t>
      </w:r>
      <w:bookmarkEnd w:id="109"/>
    </w:p>
    <w:p w:rsidR="0071153F" w:rsidRPr="00A34388" w:rsidRDefault="0071153F" w:rsidP="0053316D">
      <w:pPr>
        <w:rPr>
          <w:rFonts w:cs="Arial"/>
          <w:bCs/>
          <w:sz w:val="22"/>
          <w:szCs w:val="22"/>
          <w:lang w:val="es-ES_tradnl"/>
        </w:rPr>
      </w:pPr>
    </w:p>
    <w:p w:rsidR="0071153F" w:rsidRPr="00A34388" w:rsidRDefault="0071153F" w:rsidP="0053316D">
      <w:pPr>
        <w:rPr>
          <w:rFonts w:cs="Arial"/>
          <w:bCs/>
          <w:sz w:val="22"/>
          <w:szCs w:val="22"/>
          <w:lang w:val="es-ES_tradnl"/>
        </w:rPr>
      </w:pPr>
    </w:p>
    <w:p w:rsidR="0053316D" w:rsidRPr="00A34388" w:rsidRDefault="0053316D" w:rsidP="0053316D">
      <w:pPr>
        <w:rPr>
          <w:rFonts w:cs="Arial"/>
          <w:sz w:val="22"/>
          <w:szCs w:val="22"/>
          <w:lang w:val="es-ES_tradnl"/>
        </w:rPr>
      </w:pPr>
      <w:r w:rsidRPr="00A34388">
        <w:rPr>
          <w:rFonts w:cs="Arial"/>
          <w:bCs/>
          <w:sz w:val="22"/>
          <w:szCs w:val="22"/>
          <w:lang w:val="es-ES_tradnl"/>
        </w:rPr>
        <w:t>AVANCES LOGRADOS EN EL BIENIO 2012/13</w:t>
      </w:r>
    </w:p>
    <w:p w:rsidR="0053316D" w:rsidRPr="00A34388" w:rsidRDefault="0053316D" w:rsidP="0053316D">
      <w:pPr>
        <w:rPr>
          <w:rFonts w:cs="Arial"/>
          <w:szCs w:val="20"/>
          <w:lang w:val="es-ES_tradnl"/>
        </w:rPr>
      </w:pPr>
    </w:p>
    <w:p w:rsidR="0053316D" w:rsidRPr="00A34388" w:rsidRDefault="0053316D" w:rsidP="0053316D">
      <w:pPr>
        <w:rPr>
          <w:rFonts w:cs="Arial"/>
          <w:szCs w:val="20"/>
          <w:lang w:val="es-ES_tradnl"/>
        </w:rPr>
      </w:pPr>
    </w:p>
    <w:p w:rsidR="0053316D" w:rsidRPr="00A34388" w:rsidRDefault="0053316D" w:rsidP="0053316D">
      <w:pPr>
        <w:jc w:val="both"/>
        <w:rPr>
          <w:rFonts w:cs="Arial"/>
          <w:szCs w:val="20"/>
          <w:lang w:val="es-ES_tradnl"/>
        </w:rPr>
      </w:pPr>
      <w:r w:rsidRPr="00A34388">
        <w:rPr>
          <w:rFonts w:cs="Arial"/>
          <w:szCs w:val="20"/>
          <w:lang w:val="es-ES_tradnl"/>
        </w:rPr>
        <w:t xml:space="preserve">NUEVO PROYECTO DE CONSTRUCCIÓN </w:t>
      </w:r>
    </w:p>
    <w:p w:rsidR="0053316D" w:rsidRPr="00A34388" w:rsidRDefault="0053316D" w:rsidP="0053316D">
      <w:pPr>
        <w:jc w:val="both"/>
        <w:rPr>
          <w:szCs w:val="20"/>
          <w:lang w:val="es-ES_tradnl"/>
        </w:rPr>
      </w:pPr>
    </w:p>
    <w:p w:rsidR="0053316D" w:rsidRPr="00A34388" w:rsidRDefault="0053316D" w:rsidP="0053316D">
      <w:pPr>
        <w:tabs>
          <w:tab w:val="left" w:pos="709"/>
        </w:tabs>
        <w:jc w:val="both"/>
        <w:rPr>
          <w:rFonts w:cs="Arial"/>
          <w:szCs w:val="20"/>
          <w:lang w:val="es-ES_tradnl"/>
        </w:rPr>
      </w:pPr>
      <w:r w:rsidRPr="00332758">
        <w:rPr>
          <w:rFonts w:cs="Arial"/>
          <w:szCs w:val="20"/>
          <w:lang w:val="es-ES_tradnl"/>
        </w:rPr>
        <w:t>29.1.</w:t>
      </w:r>
      <w:r w:rsidRPr="00332758">
        <w:rPr>
          <w:rFonts w:cs="Arial"/>
          <w:szCs w:val="20"/>
          <w:lang w:val="es-ES_tradnl"/>
        </w:rPr>
        <w:tab/>
        <w:t>A fines de 2011 se hallaban pendientes diversos trabajos de reparación, sustitución y acabado sin que el excontratista general llegara a concluirlos.</w:t>
      </w:r>
      <w:r w:rsidRPr="00A34388">
        <w:rPr>
          <w:rFonts w:cs="Arial"/>
          <w:szCs w:val="20"/>
          <w:lang w:val="es-ES_tradnl"/>
        </w:rPr>
        <w:t xml:space="preserve">  </w:t>
      </w:r>
      <w:r w:rsidRPr="00332758">
        <w:rPr>
          <w:rFonts w:cs="Arial"/>
          <w:szCs w:val="20"/>
          <w:lang w:val="es-ES_tradnl"/>
        </w:rPr>
        <w:t>En vista de los continuos retrasos, la Secretaría inició una serie de conversaciones de alto nivel con el excontratista general, las cuales se prolongaron desde diciembre de 2011 hasta julio de 2012.</w:t>
      </w:r>
      <w:r w:rsidRPr="00A34388">
        <w:rPr>
          <w:rFonts w:cs="Arial"/>
          <w:szCs w:val="20"/>
          <w:lang w:val="es-ES_tradnl"/>
        </w:rPr>
        <w:t xml:space="preserve">  </w:t>
      </w:r>
      <w:r w:rsidRPr="00332758">
        <w:rPr>
          <w:rFonts w:cs="Arial"/>
          <w:szCs w:val="20"/>
          <w:lang w:val="es-ES_tradnl"/>
        </w:rPr>
        <w:t>Tras dichas reuniones, la OMPI y el excontratista general convinieron en cancelar el contrato de común acuerdo y amigablemente.</w:t>
      </w:r>
      <w:r w:rsidRPr="00A34388">
        <w:rPr>
          <w:rFonts w:cs="Arial"/>
          <w:szCs w:val="20"/>
          <w:lang w:val="es-ES_tradnl"/>
        </w:rPr>
        <w:t xml:space="preserve">  </w:t>
      </w:r>
      <w:r w:rsidRPr="00332758">
        <w:rPr>
          <w:rFonts w:cs="Arial"/>
          <w:szCs w:val="20"/>
          <w:lang w:val="es-ES_tradnl"/>
        </w:rPr>
        <w:t xml:space="preserve">A partir del mes de agosto de 2012 todos los trabajos de reparación, sustitución y acabado corren por cuenta de la OMPI, mientras que los costos se sufragan con cargo a los últimos pagos efectuados al excontratista general.  </w:t>
      </w:r>
      <w:r w:rsidRPr="00A34388">
        <w:rPr>
          <w:rFonts w:cs="Arial"/>
          <w:szCs w:val="20"/>
          <w:lang w:val="es-ES_tradnl"/>
        </w:rPr>
        <w:t xml:space="preserve">La mayor parte de los trabajos pendientes </w:t>
      </w:r>
      <w:r w:rsidR="00020026" w:rsidRPr="00A34388">
        <w:rPr>
          <w:rFonts w:cs="Arial"/>
          <w:szCs w:val="20"/>
          <w:lang w:val="es-ES_tradnl"/>
        </w:rPr>
        <w:t xml:space="preserve">con relación a </w:t>
      </w:r>
      <w:r w:rsidRPr="00A34388">
        <w:rPr>
          <w:rFonts w:cs="Arial"/>
          <w:szCs w:val="20"/>
          <w:lang w:val="es-ES_tradnl"/>
        </w:rPr>
        <w:t xml:space="preserve">las fachadas y a una serie de elementos menores en todo el edificio quedaron concluidos </w:t>
      </w:r>
      <w:r w:rsidR="00E42C44" w:rsidRPr="00A34388">
        <w:rPr>
          <w:rFonts w:cs="Arial"/>
          <w:szCs w:val="20"/>
          <w:lang w:val="es-ES_tradnl"/>
        </w:rPr>
        <w:t xml:space="preserve">en </w:t>
      </w:r>
      <w:r w:rsidRPr="00A34388">
        <w:rPr>
          <w:rFonts w:cs="Arial"/>
          <w:szCs w:val="20"/>
          <w:lang w:val="es-ES_tradnl"/>
        </w:rPr>
        <w:t xml:space="preserve">el bienio.  Los trabajos restantes, que atañen principalmente a la planta baja y los ventanales de los jardines, </w:t>
      </w:r>
      <w:r w:rsidR="00020026" w:rsidRPr="00A34388">
        <w:rPr>
          <w:rFonts w:cs="Arial"/>
          <w:szCs w:val="20"/>
          <w:lang w:val="es-ES_tradnl"/>
        </w:rPr>
        <w:t xml:space="preserve">precisaban de </w:t>
      </w:r>
      <w:r w:rsidRPr="00A34388">
        <w:rPr>
          <w:rFonts w:cs="Arial"/>
          <w:szCs w:val="20"/>
          <w:lang w:val="es-ES_tradnl"/>
        </w:rPr>
        <w:t xml:space="preserve">una evaluación más profunda, que se llevó a cabo durante el segundo semestre de 2013.  </w:t>
      </w:r>
      <w:r w:rsidR="00020026" w:rsidRPr="00A34388">
        <w:rPr>
          <w:rFonts w:cs="Arial"/>
          <w:szCs w:val="20"/>
          <w:lang w:val="es-ES_tradnl"/>
        </w:rPr>
        <w:t xml:space="preserve">Está previsto </w:t>
      </w:r>
      <w:r w:rsidRPr="00A34388">
        <w:rPr>
          <w:rFonts w:cs="Arial"/>
          <w:szCs w:val="20"/>
          <w:lang w:val="es-ES_tradnl"/>
        </w:rPr>
        <w:t xml:space="preserve">que los trabajos de reparación necesarios se </w:t>
      </w:r>
      <w:r w:rsidR="00E42C44" w:rsidRPr="00A34388">
        <w:rPr>
          <w:rFonts w:cs="Arial"/>
          <w:szCs w:val="20"/>
          <w:lang w:val="es-ES_tradnl"/>
        </w:rPr>
        <w:t xml:space="preserve">lleven a cabo en </w:t>
      </w:r>
      <w:r w:rsidRPr="00A34388">
        <w:rPr>
          <w:rFonts w:cs="Arial"/>
          <w:szCs w:val="20"/>
          <w:lang w:val="es-ES_tradnl"/>
        </w:rPr>
        <w:t xml:space="preserve">el bienio 2014/15.  </w:t>
      </w:r>
      <w:r w:rsidR="00E42C44" w:rsidRPr="00A34388">
        <w:rPr>
          <w:rFonts w:cs="Arial"/>
          <w:szCs w:val="20"/>
          <w:lang w:val="es-ES_tradnl"/>
        </w:rPr>
        <w:t xml:space="preserve">El espacio ajardinado </w:t>
      </w:r>
      <w:r w:rsidRPr="00A34388">
        <w:rPr>
          <w:rFonts w:cs="Arial"/>
          <w:szCs w:val="20"/>
          <w:lang w:val="es-ES_tradnl"/>
        </w:rPr>
        <w:t xml:space="preserve">de la azotea </w:t>
      </w:r>
      <w:r w:rsidR="00020026" w:rsidRPr="00A34388">
        <w:rPr>
          <w:rFonts w:cs="Arial"/>
          <w:szCs w:val="20"/>
          <w:lang w:val="es-ES_tradnl"/>
        </w:rPr>
        <w:t xml:space="preserve">quedó </w:t>
      </w:r>
      <w:r w:rsidR="003A4C55" w:rsidRPr="00A34388">
        <w:rPr>
          <w:rFonts w:cs="Arial"/>
          <w:szCs w:val="20"/>
          <w:lang w:val="es-ES_tradnl"/>
        </w:rPr>
        <w:t>aplazado</w:t>
      </w:r>
      <w:r w:rsidR="002A7E3D">
        <w:rPr>
          <w:rFonts w:cs="Arial"/>
          <w:szCs w:val="20"/>
          <w:lang w:val="es-ES_tradnl"/>
        </w:rPr>
        <w:t>, desde el otoño de 2013,</w:t>
      </w:r>
      <w:r w:rsidR="00200608" w:rsidRPr="00A34388">
        <w:rPr>
          <w:rFonts w:cs="Arial"/>
          <w:szCs w:val="20"/>
          <w:lang w:val="es-ES_tradnl"/>
        </w:rPr>
        <w:t xml:space="preserve"> </w:t>
      </w:r>
      <w:r w:rsidR="00020026" w:rsidRPr="00A34388">
        <w:rPr>
          <w:rFonts w:cs="Arial"/>
          <w:szCs w:val="20"/>
          <w:lang w:val="es-ES_tradnl"/>
        </w:rPr>
        <w:t xml:space="preserve">hasta </w:t>
      </w:r>
      <w:r w:rsidR="00E42C44" w:rsidRPr="00A34388">
        <w:rPr>
          <w:rFonts w:cs="Arial"/>
          <w:szCs w:val="20"/>
          <w:lang w:val="es-ES_tradnl"/>
        </w:rPr>
        <w:t xml:space="preserve">la </w:t>
      </w:r>
      <w:r w:rsidRPr="00A34388">
        <w:rPr>
          <w:rFonts w:cs="Arial"/>
          <w:szCs w:val="20"/>
          <w:lang w:val="es-ES_tradnl"/>
        </w:rPr>
        <w:t xml:space="preserve">primavera de 2014. </w:t>
      </w:r>
    </w:p>
    <w:p w:rsidR="0053316D" w:rsidRPr="00A34388" w:rsidRDefault="0053316D" w:rsidP="0053316D">
      <w:pPr>
        <w:jc w:val="both"/>
        <w:rPr>
          <w:rFonts w:cs="Arial"/>
          <w:szCs w:val="20"/>
          <w:lang w:val="es-ES_tradnl"/>
        </w:rPr>
      </w:pPr>
    </w:p>
    <w:p w:rsidR="0053316D" w:rsidRPr="00A34388" w:rsidRDefault="0053316D" w:rsidP="0053316D">
      <w:pPr>
        <w:jc w:val="both"/>
        <w:rPr>
          <w:rFonts w:cs="Arial"/>
          <w:szCs w:val="20"/>
          <w:lang w:val="es-ES_tradnl"/>
        </w:rPr>
      </w:pPr>
      <w:r w:rsidRPr="00A34388">
        <w:rPr>
          <w:rFonts w:cs="Arial"/>
          <w:szCs w:val="20"/>
          <w:lang w:val="es-ES_tradnl"/>
        </w:rPr>
        <w:t xml:space="preserve">PROYECTO DE NUEVA SALA DE CONFERENCIAS </w:t>
      </w:r>
    </w:p>
    <w:p w:rsidR="0053316D" w:rsidRPr="00A34388" w:rsidRDefault="0053316D" w:rsidP="0053316D">
      <w:pPr>
        <w:jc w:val="both"/>
        <w:rPr>
          <w:rFonts w:cs="Arial"/>
          <w:szCs w:val="20"/>
          <w:lang w:val="es-ES_tradnl"/>
        </w:rPr>
      </w:pPr>
    </w:p>
    <w:p w:rsidR="007B16BD" w:rsidRPr="00A34388" w:rsidRDefault="0053316D" w:rsidP="0053316D">
      <w:pPr>
        <w:tabs>
          <w:tab w:val="left" w:pos="709"/>
        </w:tabs>
        <w:jc w:val="both"/>
        <w:rPr>
          <w:lang w:val="es-ES_tradnl"/>
        </w:rPr>
      </w:pPr>
      <w:r w:rsidRPr="00332758">
        <w:rPr>
          <w:rFonts w:cs="Arial"/>
          <w:szCs w:val="20"/>
          <w:lang w:val="es-ES_tradnl"/>
        </w:rPr>
        <w:t>29.2.</w:t>
      </w:r>
      <w:r w:rsidRPr="00332758">
        <w:rPr>
          <w:rFonts w:cs="Arial"/>
          <w:szCs w:val="20"/>
          <w:lang w:val="es-ES_tradnl"/>
        </w:rPr>
        <w:tab/>
        <w:t>Las obras del proyecto de la nueva sala de conferencias se in</w:t>
      </w:r>
      <w:r w:rsidR="00442F46">
        <w:rPr>
          <w:rFonts w:cs="Arial"/>
          <w:szCs w:val="20"/>
          <w:lang w:val="es-ES_tradnl"/>
        </w:rPr>
        <w:t>iciaron a mediados de agosto de </w:t>
      </w:r>
      <w:r w:rsidRPr="00332758">
        <w:rPr>
          <w:rFonts w:cs="Arial"/>
          <w:szCs w:val="20"/>
          <w:lang w:val="es-ES_tradnl"/>
        </w:rPr>
        <w:t>2011 y hasta finales de ese año se estuvieron realizando las excavaciones y la construcción de la estructura principal.</w:t>
      </w:r>
      <w:r w:rsidRPr="00A34388">
        <w:rPr>
          <w:rFonts w:cs="Arial"/>
          <w:szCs w:val="20"/>
          <w:lang w:val="es-ES_tradnl"/>
        </w:rPr>
        <w:t xml:space="preserve">  </w:t>
      </w:r>
      <w:r w:rsidRPr="00332758">
        <w:rPr>
          <w:rFonts w:cs="Arial"/>
          <w:szCs w:val="20"/>
          <w:lang w:val="es-ES_tradnl"/>
        </w:rPr>
        <w:t>En vista de los retrasos ocasionados por el excon</w:t>
      </w:r>
      <w:r w:rsidR="0012317F">
        <w:rPr>
          <w:rFonts w:cs="Arial"/>
          <w:szCs w:val="20"/>
          <w:lang w:val="es-ES_tradnl"/>
        </w:rPr>
        <w:t>tratista general a comienzos de </w:t>
      </w:r>
      <w:r w:rsidRPr="00332758">
        <w:rPr>
          <w:rFonts w:cs="Arial"/>
          <w:szCs w:val="20"/>
          <w:lang w:val="es-ES_tradnl"/>
        </w:rPr>
        <w:t>2012 y del consiguiente incumplimiento de ciertas estipulaciones contractuales, la Secretaría inició una serie de conversaciones de alto nivel con el excontratista general qu</w:t>
      </w:r>
      <w:r w:rsidR="00C73C7A">
        <w:rPr>
          <w:rFonts w:cs="Arial"/>
          <w:szCs w:val="20"/>
          <w:lang w:val="es-ES_tradnl"/>
        </w:rPr>
        <w:t>e se prolongaron hasta julio de </w:t>
      </w:r>
      <w:r w:rsidRPr="00332758">
        <w:rPr>
          <w:rFonts w:cs="Arial"/>
          <w:szCs w:val="20"/>
          <w:lang w:val="es-ES_tradnl"/>
        </w:rPr>
        <w:t>2012.  Tras dichas reuniones, la OMPI y el excontratista general convinieron en cancelar el contrato de común acuerdo y amigablemente.</w:t>
      </w:r>
      <w:r w:rsidRPr="00A34388">
        <w:rPr>
          <w:rFonts w:cs="Arial"/>
          <w:szCs w:val="20"/>
          <w:lang w:val="es-ES_tradnl"/>
        </w:rPr>
        <w:t xml:space="preserve">  A partir del mes de agosto de 2012 el proyecto pasó a estar bajo la responsabilidad directa de la OMPI.  </w:t>
      </w:r>
      <w:r w:rsidR="007B16BD" w:rsidRPr="00A34388">
        <w:rPr>
          <w:lang w:val="es-ES_tradnl"/>
        </w:rPr>
        <w:t>Se introdujeron una serie de modificaciones en la estructura de gestión y gobernanza del proyecto, así como en su marco contractual, y se impartieron mandatos suplementarios a las empresas de arquitectura, de pilotaje y de ingeniería distribuyendo así los elementos integrantes del mandato del contratista general</w:t>
      </w:r>
      <w:r w:rsidR="007B16BD" w:rsidRPr="00A34388">
        <w:rPr>
          <w:rFonts w:cs="Arial"/>
          <w:szCs w:val="20"/>
          <w:lang w:val="es-ES_tradnl"/>
        </w:rPr>
        <w:t xml:space="preserve">.  </w:t>
      </w:r>
      <w:r w:rsidR="007B16BD" w:rsidRPr="00A34388">
        <w:rPr>
          <w:lang w:val="es-ES_tradnl"/>
        </w:rPr>
        <w:t xml:space="preserve">La estructura así adaptada de gestión y gobernanza del proyecto aportó mayor flexibilidad y agilidad, y gracias a ella pudieron mejorarse los tiempos de respuesta.  </w:t>
      </w:r>
      <w:r w:rsidR="007B16BD" w:rsidRPr="00332758">
        <w:rPr>
          <w:rFonts w:cs="Arial"/>
          <w:szCs w:val="20"/>
          <w:lang w:val="es-ES_tradnl"/>
        </w:rPr>
        <w:t xml:space="preserve">A fines de 2012, alrededor del 27% de los contratistas y proveedores estaban contractualmente comprometidos con la OMPI en virtud de un proceso de licitación específico que representa cerca del 42% del costo total de construcción.  </w:t>
      </w:r>
      <w:r w:rsidR="007B16BD" w:rsidRPr="00A34388">
        <w:rPr>
          <w:rFonts w:cs="Arial"/>
          <w:szCs w:val="20"/>
          <w:lang w:val="es-ES_tradnl"/>
        </w:rPr>
        <w:t xml:space="preserve">A fines de 2013, el total de contratistas en el lugar de las obras era de aproximadamente 50, y el importe de adjudicación total de los contratos ascendía a casi 50 millones de francos suizos, lo que representa aproximadamente el 98% del costo de construcción de referencia.  </w:t>
      </w:r>
      <w:r w:rsidR="007B16BD" w:rsidRPr="00A34388">
        <w:rPr>
          <w:lang w:val="es-ES_tradnl"/>
        </w:rPr>
        <w:t>Los acuerdos mencionados permitieron igualmente abordar, con prontitud e iniciativa, una serie de modificaciones en el proyecto, así como varios imprevistos surgidos durante su ejecución.</w:t>
      </w:r>
    </w:p>
    <w:p w:rsidR="007B16BD" w:rsidRPr="00A34388" w:rsidRDefault="007B16BD" w:rsidP="0053316D">
      <w:pPr>
        <w:tabs>
          <w:tab w:val="left" w:pos="709"/>
        </w:tabs>
        <w:jc w:val="both"/>
        <w:rPr>
          <w:lang w:val="es-ES_tradnl"/>
        </w:rPr>
      </w:pPr>
    </w:p>
    <w:p w:rsidR="0053316D" w:rsidRPr="00A34388" w:rsidRDefault="0053316D" w:rsidP="0053316D">
      <w:pPr>
        <w:tabs>
          <w:tab w:val="left" w:pos="709"/>
        </w:tabs>
        <w:autoSpaceDE w:val="0"/>
        <w:autoSpaceDN w:val="0"/>
        <w:adjustRightInd w:val="0"/>
        <w:jc w:val="both"/>
        <w:rPr>
          <w:rFonts w:cs="Arial"/>
          <w:szCs w:val="20"/>
          <w:lang w:val="es-ES_tradnl"/>
        </w:rPr>
      </w:pPr>
      <w:r w:rsidRPr="00A34388">
        <w:rPr>
          <w:rFonts w:cs="Arial"/>
          <w:szCs w:val="20"/>
          <w:lang w:val="es-ES_tradnl"/>
        </w:rPr>
        <w:t>29.3.</w:t>
      </w:r>
      <w:r w:rsidRPr="00A34388">
        <w:rPr>
          <w:rFonts w:cs="Arial"/>
          <w:szCs w:val="20"/>
          <w:lang w:val="es-ES_tradnl"/>
        </w:rPr>
        <w:tab/>
        <w:t>Los retrasos por el excontratista general, la subsiguiente resolución amigable del contrato y los avances en el lugar de las obras dieron lugar a una revisión del calendario provisional, pasando la fecha prevista para su culminación de abril de 2013, es decir, la entrega inicial de acuerdo con el contrato suscrito con el excontratista general, hasta febrero de 2014.  La fecha prevista de finalización se modificó de nuevo, pasando de febrero a abril de 2014</w:t>
      </w:r>
      <w:r w:rsidRPr="00A34388">
        <w:rPr>
          <w:rStyle w:val="FootnoteReference"/>
          <w:rFonts w:cs="Arial"/>
          <w:lang w:val="es-ES_tradnl"/>
        </w:rPr>
        <w:footnoteReference w:id="45"/>
      </w:r>
      <w:r w:rsidR="00FE3731">
        <w:rPr>
          <w:rFonts w:cs="Arial"/>
          <w:szCs w:val="20"/>
          <w:lang w:val="es-ES_tradnl"/>
        </w:rPr>
        <w:t>.</w:t>
      </w:r>
    </w:p>
    <w:p w:rsidR="0053316D" w:rsidRPr="00A34388" w:rsidRDefault="0053316D" w:rsidP="0053316D">
      <w:pPr>
        <w:tabs>
          <w:tab w:val="left" w:pos="709"/>
        </w:tabs>
        <w:autoSpaceDE w:val="0"/>
        <w:autoSpaceDN w:val="0"/>
        <w:adjustRightInd w:val="0"/>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29.4.</w:t>
      </w:r>
      <w:r w:rsidRPr="00A34388">
        <w:rPr>
          <w:rFonts w:cs="Arial"/>
          <w:szCs w:val="20"/>
          <w:lang w:val="es-ES_tradnl"/>
        </w:rPr>
        <w:tab/>
        <w:t xml:space="preserve">Una parte del sótano reformado del edificio </w:t>
      </w:r>
      <w:r w:rsidRPr="00A34388">
        <w:rPr>
          <w:rFonts w:cs="Arial"/>
          <w:bCs/>
          <w:szCs w:val="20"/>
          <w:lang w:val="es-ES_tradnl"/>
        </w:rPr>
        <w:t xml:space="preserve">AB fue entregada y </w:t>
      </w:r>
      <w:r w:rsidR="00C73C7A">
        <w:rPr>
          <w:rFonts w:cs="Arial"/>
          <w:bCs/>
          <w:szCs w:val="20"/>
          <w:lang w:val="es-ES_tradnl"/>
        </w:rPr>
        <w:t>está en uso desde septiembre de </w:t>
      </w:r>
      <w:r w:rsidRPr="00A34388">
        <w:rPr>
          <w:rFonts w:cs="Arial"/>
          <w:szCs w:val="20"/>
          <w:lang w:val="es-ES_tradnl"/>
        </w:rPr>
        <w:t>2013.  Asimismo, una nueva sala de reuniones de</w:t>
      </w:r>
      <w:r w:rsidR="007C6719" w:rsidRPr="00A34388">
        <w:rPr>
          <w:rFonts w:cs="Arial"/>
          <w:szCs w:val="20"/>
          <w:lang w:val="es-ES_tradnl"/>
        </w:rPr>
        <w:t xml:space="preserve">l entrepiso </w:t>
      </w:r>
      <w:r w:rsidRPr="00A34388">
        <w:rPr>
          <w:rFonts w:cs="Arial"/>
          <w:szCs w:val="20"/>
          <w:lang w:val="es-ES_tradnl"/>
        </w:rPr>
        <w:t xml:space="preserve">del edificio AB está en uso desde octubre de 2013. </w:t>
      </w:r>
    </w:p>
    <w:p w:rsidR="0053316D" w:rsidRPr="00A34388" w:rsidRDefault="0053316D" w:rsidP="0053316D">
      <w:pPr>
        <w:rPr>
          <w:rFonts w:cs="Arial"/>
          <w:bCs/>
          <w:szCs w:val="20"/>
          <w:lang w:val="es-ES_tradnl"/>
        </w:rPr>
      </w:pPr>
    </w:p>
    <w:p w:rsidR="0053316D" w:rsidRPr="00A34388" w:rsidRDefault="0053316D" w:rsidP="0053316D">
      <w:pPr>
        <w:rPr>
          <w:rFonts w:cs="Arial"/>
          <w:szCs w:val="20"/>
          <w:lang w:val="es-ES_tradnl"/>
        </w:rPr>
      </w:pPr>
    </w:p>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lastRenderedPageBreak/>
        <w:t>DATOS SOBRE EL RENDIMIENTO</w:t>
      </w:r>
    </w:p>
    <w:p w:rsidR="0053316D" w:rsidRPr="00A34388" w:rsidRDefault="0053316D" w:rsidP="0053316D">
      <w:pPr>
        <w:rPr>
          <w:b/>
          <w:sz w:val="16"/>
          <w:szCs w:val="16"/>
          <w:lang w:val="es-ES_tradn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2"/>
        <w:gridCol w:w="1095"/>
        <w:gridCol w:w="1136"/>
        <w:gridCol w:w="4390"/>
        <w:gridCol w:w="1134"/>
      </w:tblGrid>
      <w:tr w:rsidR="0053316D" w:rsidRPr="00A9508D" w:rsidTr="00AA6702">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53316D" w:rsidRPr="00332758" w:rsidRDefault="0053316D" w:rsidP="00AA6702">
            <w:pPr>
              <w:keepNext/>
              <w:keepLines/>
              <w:tabs>
                <w:tab w:val="left" w:pos="1452"/>
              </w:tabs>
              <w:spacing w:before="120" w:after="120"/>
              <w:ind w:left="1701" w:hanging="1701"/>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La nueva sala de conferencias y las instalaciones conexas están disponibles para las reuniones de los Estados miembros.</w:t>
            </w:r>
          </w:p>
        </w:tc>
      </w:tr>
      <w:tr w:rsidR="0053316D" w:rsidRPr="00A34388" w:rsidTr="00AA6702">
        <w:trPr>
          <w:cantSplit/>
        </w:trPr>
        <w:tc>
          <w:tcPr>
            <w:tcW w:w="856" w:type="pct"/>
            <w:tcBorders>
              <w:top w:val="single" w:sz="4" w:space="0" w:color="auto"/>
              <w:left w:val="single" w:sz="4" w:space="0" w:color="auto"/>
              <w:bottom w:val="nil"/>
            </w:tcBorders>
            <w:shd w:val="clear" w:color="auto" w:fill="auto"/>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Indicadores de rendimiento</w:t>
            </w:r>
          </w:p>
        </w:tc>
        <w:tc>
          <w:tcPr>
            <w:tcW w:w="585" w:type="pct"/>
            <w:tcBorders>
              <w:top w:val="single" w:sz="4" w:space="0" w:color="auto"/>
              <w:bottom w:val="nil"/>
            </w:tcBorders>
            <w:shd w:val="clear" w:color="auto" w:fill="auto"/>
            <w:vAlign w:val="center"/>
          </w:tcPr>
          <w:p w:rsidR="0053316D" w:rsidRPr="00A34388" w:rsidRDefault="0053316D" w:rsidP="00AA6702">
            <w:pPr>
              <w:rPr>
                <w:rFonts w:cs="Arial"/>
                <w:b/>
                <w:bCs/>
                <w:color w:val="808080"/>
                <w:sz w:val="16"/>
                <w:szCs w:val="16"/>
                <w:lang w:val="es-ES_tradnl"/>
              </w:rPr>
            </w:pPr>
            <w:r w:rsidRPr="00332758">
              <w:rPr>
                <w:rFonts w:cs="Arial"/>
                <w:b/>
                <w:bCs/>
                <w:sz w:val="16"/>
                <w:szCs w:val="16"/>
                <w:lang w:val="es-ES_tradnl"/>
              </w:rPr>
              <w:t>Referencia</w:t>
            </w:r>
          </w:p>
        </w:tc>
        <w:tc>
          <w:tcPr>
            <w:tcW w:w="607" w:type="pct"/>
            <w:tcBorders>
              <w:top w:val="single" w:sz="4" w:space="0" w:color="auto"/>
              <w:bottom w:val="nil"/>
            </w:tcBorders>
            <w:shd w:val="clear" w:color="auto" w:fill="auto"/>
            <w:tcMar>
              <w:top w:w="110" w:type="dxa"/>
            </w:tcMar>
            <w:vAlign w:val="center"/>
          </w:tcPr>
          <w:p w:rsidR="0053316D" w:rsidRPr="00A34388" w:rsidRDefault="0053316D" w:rsidP="00AA6702">
            <w:pPr>
              <w:rPr>
                <w:rFonts w:cs="Arial"/>
                <w:b/>
                <w:color w:val="808080"/>
                <w:sz w:val="16"/>
                <w:szCs w:val="16"/>
                <w:lang w:val="es-ES_tradnl"/>
              </w:rPr>
            </w:pPr>
            <w:r w:rsidRPr="00332758">
              <w:rPr>
                <w:rFonts w:cs="Arial"/>
                <w:b/>
                <w:sz w:val="16"/>
                <w:szCs w:val="16"/>
                <w:lang w:val="es-ES_tradnl"/>
              </w:rPr>
              <w:t>Objetivos</w:t>
            </w:r>
          </w:p>
        </w:tc>
        <w:tc>
          <w:tcPr>
            <w:tcW w:w="2346" w:type="pct"/>
            <w:tcBorders>
              <w:top w:val="single" w:sz="4" w:space="0" w:color="auto"/>
              <w:bottom w:val="nil"/>
            </w:tcBorders>
            <w:shd w:val="clear" w:color="auto" w:fill="FFFFFF"/>
            <w:tcMar>
              <w:top w:w="110" w:type="dxa"/>
            </w:tcMar>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53316D" w:rsidRPr="00332758" w:rsidRDefault="0053316D" w:rsidP="00AA6702">
            <w:pPr>
              <w:keepNext/>
              <w:keepLines/>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AA6702">
        <w:trPr>
          <w:cantSplit/>
        </w:trPr>
        <w:tc>
          <w:tcPr>
            <w:tcW w:w="856" w:type="pct"/>
            <w:tcBorders>
              <w:top w:val="nil"/>
              <w:left w:val="single" w:sz="4" w:space="0" w:color="auto"/>
              <w:bottom w:val="single" w:sz="4" w:space="0" w:color="auto"/>
            </w:tcBorders>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Construcción de la nueva sala de conferencias e instalaciones conexas de conformidad con los criterios de calidad, el presupuesto y los plazos aprobados.</w:t>
            </w:r>
          </w:p>
        </w:tc>
        <w:tc>
          <w:tcPr>
            <w:tcW w:w="585" w:type="pct"/>
            <w:tcBorders>
              <w:top w:val="nil"/>
              <w:bottom w:val="single" w:sz="4" w:space="0" w:color="auto"/>
            </w:tcBorders>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n.d.</w:t>
            </w:r>
          </w:p>
        </w:tc>
        <w:tc>
          <w:tcPr>
            <w:tcW w:w="607" w:type="pct"/>
            <w:tcBorders>
              <w:top w:val="nil"/>
              <w:bottom w:val="single" w:sz="4" w:space="0" w:color="auto"/>
            </w:tcBorders>
            <w:shd w:val="clear" w:color="auto" w:fill="auto"/>
            <w:tcMar>
              <w:top w:w="110" w:type="dxa"/>
            </w:tcMar>
          </w:tcPr>
          <w:p w:rsidR="0053316D" w:rsidRPr="00A34388" w:rsidRDefault="0053316D" w:rsidP="00AA6702">
            <w:pPr>
              <w:rPr>
                <w:rFonts w:cs="Arial"/>
                <w:i/>
                <w:sz w:val="16"/>
                <w:szCs w:val="16"/>
                <w:lang w:val="es-ES_tradnl"/>
              </w:rPr>
            </w:pPr>
            <w:r w:rsidRPr="00332758">
              <w:rPr>
                <w:rFonts w:cs="Arial"/>
                <w:sz w:val="16"/>
                <w:szCs w:val="16"/>
                <w:lang w:val="es-ES_tradnl"/>
              </w:rPr>
              <w:t>n.d.</w:t>
            </w:r>
            <w:r w:rsidRPr="00A34388">
              <w:rPr>
                <w:rFonts w:cs="Arial"/>
                <w:sz w:val="16"/>
                <w:szCs w:val="16"/>
                <w:lang w:val="es-ES_tradnl"/>
              </w:rPr>
              <w:t xml:space="preserve"> </w:t>
            </w:r>
          </w:p>
        </w:tc>
        <w:tc>
          <w:tcPr>
            <w:tcW w:w="2346" w:type="pct"/>
            <w:tcBorders>
              <w:top w:val="nil"/>
              <w:bottom w:val="single" w:sz="4" w:space="0" w:color="auto"/>
            </w:tcBorders>
            <w:shd w:val="clear" w:color="auto" w:fill="FFFFFF"/>
            <w:tcMar>
              <w:top w:w="110" w:type="dxa"/>
            </w:tcMar>
          </w:tcPr>
          <w:p w:rsidR="0053316D" w:rsidRPr="00A34388" w:rsidRDefault="0053316D" w:rsidP="00AA6702">
            <w:pPr>
              <w:rPr>
                <w:rFonts w:cs="Arial"/>
                <w:sz w:val="16"/>
                <w:szCs w:val="16"/>
                <w:lang w:val="es-ES_tradnl" w:bidi="th-TH"/>
              </w:rPr>
            </w:pPr>
            <w:r w:rsidRPr="00A34388">
              <w:rPr>
                <w:rFonts w:cs="Arial"/>
                <w:sz w:val="16"/>
                <w:szCs w:val="16"/>
                <w:lang w:val="es-ES_tradnl" w:bidi="th-TH"/>
              </w:rPr>
              <w:t>Finalización de la fase de construcción del proyecto de la nueva sala de conferencias (</w:t>
            </w:r>
            <w:r w:rsidRPr="00A34388">
              <w:rPr>
                <w:rFonts w:cs="Arial"/>
                <w:sz w:val="16"/>
                <w:szCs w:val="16"/>
                <w:lang w:val="es-ES_tradnl"/>
              </w:rPr>
              <w:t>nueva sala, reformas en los restantes dos pisos del edificio AB y nuevo centro de acceso al recinto de la OMPI) aplazada hasta abril de 2014</w:t>
            </w:r>
            <w:r w:rsidRPr="00A34388">
              <w:rPr>
                <w:rStyle w:val="FootnoteReference"/>
                <w:rFonts w:cs="Arial"/>
                <w:sz w:val="16"/>
                <w:szCs w:val="16"/>
                <w:lang w:val="es-ES_tradnl"/>
              </w:rPr>
              <w:footnoteReference w:id="46"/>
            </w:r>
            <w:r w:rsidRPr="00A34388">
              <w:rPr>
                <w:rFonts w:cs="Arial"/>
                <w:sz w:val="16"/>
                <w:szCs w:val="16"/>
                <w:lang w:val="es-ES_tradnl"/>
              </w:rPr>
              <w:t xml:space="preserve">, con una primera utilización prevista para septiembre de </w:t>
            </w:r>
            <w:r w:rsidRPr="00A34388">
              <w:rPr>
                <w:rFonts w:cs="Arial"/>
                <w:sz w:val="16"/>
                <w:szCs w:val="16"/>
                <w:lang w:val="es-ES_tradnl" w:bidi="th-TH"/>
              </w:rPr>
              <w:t>2014.</w:t>
            </w:r>
          </w:p>
          <w:p w:rsidR="0053316D" w:rsidRPr="00A34388" w:rsidRDefault="0053316D" w:rsidP="00AA6702">
            <w:pPr>
              <w:rPr>
                <w:rFonts w:cs="Arial"/>
                <w:sz w:val="16"/>
                <w:szCs w:val="16"/>
                <w:lang w:val="es-ES_tradnl" w:bidi="th-TH"/>
              </w:rPr>
            </w:pPr>
          </w:p>
          <w:p w:rsidR="0053316D" w:rsidRPr="00A34388" w:rsidRDefault="0053316D" w:rsidP="00AA6702">
            <w:pPr>
              <w:rPr>
                <w:rFonts w:cs="Arial"/>
                <w:sz w:val="16"/>
                <w:szCs w:val="16"/>
                <w:lang w:val="es-ES_tradnl" w:bidi="th-TH"/>
              </w:rPr>
            </w:pPr>
            <w:r w:rsidRPr="00A34388">
              <w:rPr>
                <w:rFonts w:cs="Arial"/>
                <w:sz w:val="16"/>
                <w:szCs w:val="16"/>
                <w:lang w:val="es-ES_tradnl" w:bidi="th-TH"/>
              </w:rPr>
              <w:t xml:space="preserve">Finalización de las reformas en el sótano del edificio AB </w:t>
            </w:r>
            <w:r w:rsidR="00200608" w:rsidRPr="00A34388">
              <w:rPr>
                <w:rFonts w:cs="Arial"/>
                <w:sz w:val="16"/>
                <w:szCs w:val="16"/>
                <w:lang w:val="es-ES_tradnl" w:bidi="th-TH"/>
              </w:rPr>
              <w:t xml:space="preserve">y de la instalación de </w:t>
            </w:r>
            <w:r w:rsidRPr="00A34388">
              <w:rPr>
                <w:rFonts w:cs="Arial"/>
                <w:sz w:val="16"/>
                <w:szCs w:val="16"/>
                <w:lang w:val="es-ES_tradnl" w:bidi="th-TH"/>
              </w:rPr>
              <w:t xml:space="preserve">una nueva sala de reuniones en </w:t>
            </w:r>
            <w:r w:rsidR="00200608" w:rsidRPr="00A34388">
              <w:rPr>
                <w:rFonts w:cs="Arial"/>
                <w:sz w:val="16"/>
                <w:szCs w:val="16"/>
                <w:lang w:val="es-ES_tradnl" w:bidi="th-TH"/>
              </w:rPr>
              <w:t>su entrepiso</w:t>
            </w:r>
            <w:r w:rsidRPr="00A34388">
              <w:rPr>
                <w:rFonts w:cs="Arial"/>
                <w:sz w:val="16"/>
                <w:szCs w:val="16"/>
                <w:lang w:val="es-ES_tradnl" w:bidi="th-TH"/>
              </w:rPr>
              <w:t>, en septiembre y octubre de 2013</w:t>
            </w:r>
            <w:r w:rsidR="00200608" w:rsidRPr="00A34388">
              <w:rPr>
                <w:rFonts w:cs="Arial"/>
                <w:sz w:val="16"/>
                <w:szCs w:val="16"/>
                <w:lang w:val="es-ES_tradnl" w:bidi="th-TH"/>
              </w:rPr>
              <w:t>,</w:t>
            </w:r>
            <w:r w:rsidRPr="00A34388">
              <w:rPr>
                <w:rFonts w:cs="Arial"/>
                <w:sz w:val="16"/>
                <w:szCs w:val="16"/>
                <w:lang w:val="es-ES_tradnl" w:bidi="th-TH"/>
              </w:rPr>
              <w:t xml:space="preserve"> respectivamente.</w:t>
            </w:r>
          </w:p>
          <w:p w:rsidR="0053316D" w:rsidRPr="00A34388" w:rsidRDefault="0053316D" w:rsidP="00AA6702">
            <w:pPr>
              <w:rPr>
                <w:rFonts w:cs="Arial"/>
                <w:sz w:val="16"/>
                <w:szCs w:val="16"/>
                <w:lang w:val="es-ES_tradnl" w:bidi="th-TH"/>
              </w:rPr>
            </w:pPr>
          </w:p>
          <w:p w:rsidR="0053316D" w:rsidRPr="00A34388" w:rsidRDefault="0053316D" w:rsidP="00AA6702">
            <w:pPr>
              <w:rPr>
                <w:rFonts w:cs="Arial"/>
                <w:sz w:val="16"/>
                <w:szCs w:val="16"/>
                <w:lang w:val="es-ES_tradnl" w:bidi="th-TH"/>
              </w:rPr>
            </w:pPr>
            <w:r w:rsidRPr="00A34388">
              <w:rPr>
                <w:rFonts w:cs="Arial"/>
                <w:sz w:val="16"/>
                <w:szCs w:val="16"/>
                <w:lang w:val="es-ES_tradnl"/>
              </w:rPr>
              <w:t>El Comité de Coordinación, el Comité de Construcción y el Piloto continuaron supervisando estrechamente el cumplimiento de las normas de calidad y los límites presupuestarios aprobados y exigidos.</w:t>
            </w:r>
          </w:p>
          <w:p w:rsidR="0053316D" w:rsidRPr="00A34388" w:rsidRDefault="0053316D" w:rsidP="00AA6702">
            <w:pPr>
              <w:rPr>
                <w:rFonts w:cs="Arial"/>
                <w:sz w:val="16"/>
                <w:szCs w:val="16"/>
                <w:lang w:val="es-ES_tradnl"/>
              </w:rPr>
            </w:pPr>
          </w:p>
        </w:tc>
        <w:tc>
          <w:tcPr>
            <w:tcW w:w="606" w:type="pct"/>
            <w:tcBorders>
              <w:top w:val="nil"/>
              <w:bottom w:val="single" w:sz="4" w:space="0" w:color="auto"/>
              <w:right w:val="single" w:sz="4" w:space="0" w:color="auto"/>
            </w:tcBorders>
            <w:shd w:val="clear" w:color="auto" w:fill="auto"/>
            <w:tcMar>
              <w:top w:w="110" w:type="dxa"/>
            </w:tcMar>
          </w:tcPr>
          <w:p w:rsidR="0053316D" w:rsidRPr="00332758" w:rsidRDefault="0053316D" w:rsidP="00AA6702">
            <w:pPr>
              <w:keepNext/>
              <w:keepLines/>
              <w:jc w:val="center"/>
              <w:rPr>
                <w:rFonts w:cs="Arial"/>
                <w:bCs/>
                <w:sz w:val="16"/>
                <w:szCs w:val="16"/>
                <w:lang w:val="es-ES_tradnl"/>
              </w:rPr>
            </w:pPr>
            <w:r w:rsidRPr="00A34388">
              <w:rPr>
                <w:rStyle w:val="Style5"/>
                <w:rFonts w:cs="Arial"/>
                <w:color w:val="595959" w:themeColor="text1" w:themeTint="A6"/>
                <w:sz w:val="16"/>
                <w:szCs w:val="16"/>
                <w:lang w:val="es-ES_tradnl"/>
              </w:rPr>
              <w:t>No mensurable</w:t>
            </w:r>
          </w:p>
        </w:tc>
      </w:tr>
      <w:tr w:rsidR="0053316D" w:rsidRPr="00A9508D" w:rsidTr="00AA6702">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53316D" w:rsidRPr="00332758" w:rsidRDefault="0053316D" w:rsidP="00AA6702">
            <w:pPr>
              <w:keepNext/>
              <w:keepLines/>
              <w:tabs>
                <w:tab w:val="left" w:pos="1452"/>
              </w:tabs>
              <w:spacing w:before="120" w:after="120"/>
              <w:ind w:left="1452" w:hanging="1452"/>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 xml:space="preserve">  Los costos relacionados con el nuevo edificio administrativo se mantienen al mínimo.</w:t>
            </w:r>
          </w:p>
        </w:tc>
      </w:tr>
      <w:tr w:rsidR="0053316D" w:rsidRPr="00A34388" w:rsidTr="00AA6702">
        <w:trPr>
          <w:cantSplit/>
        </w:trPr>
        <w:tc>
          <w:tcPr>
            <w:tcW w:w="856" w:type="pct"/>
            <w:tcBorders>
              <w:top w:val="single" w:sz="4" w:space="0" w:color="auto"/>
              <w:left w:val="single" w:sz="4" w:space="0" w:color="auto"/>
              <w:bottom w:val="nil"/>
            </w:tcBorders>
            <w:shd w:val="clear" w:color="auto" w:fill="auto"/>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Indicadores de rendimiento</w:t>
            </w:r>
          </w:p>
        </w:tc>
        <w:tc>
          <w:tcPr>
            <w:tcW w:w="585" w:type="pct"/>
            <w:tcBorders>
              <w:top w:val="single" w:sz="4" w:space="0" w:color="auto"/>
              <w:bottom w:val="nil"/>
            </w:tcBorders>
            <w:shd w:val="clear" w:color="auto" w:fill="auto"/>
            <w:vAlign w:val="center"/>
          </w:tcPr>
          <w:p w:rsidR="0053316D" w:rsidRPr="00A34388" w:rsidRDefault="0053316D" w:rsidP="00AA6702">
            <w:pPr>
              <w:rPr>
                <w:rFonts w:cs="Arial"/>
                <w:b/>
                <w:bCs/>
                <w:color w:val="808080"/>
                <w:sz w:val="16"/>
                <w:szCs w:val="16"/>
                <w:lang w:val="es-ES_tradnl"/>
              </w:rPr>
            </w:pPr>
            <w:r w:rsidRPr="00332758">
              <w:rPr>
                <w:rFonts w:cs="Arial"/>
                <w:b/>
                <w:bCs/>
                <w:sz w:val="16"/>
                <w:szCs w:val="16"/>
                <w:lang w:val="es-ES_tradnl"/>
              </w:rPr>
              <w:t>Referencia</w:t>
            </w:r>
          </w:p>
        </w:tc>
        <w:tc>
          <w:tcPr>
            <w:tcW w:w="607" w:type="pct"/>
            <w:tcBorders>
              <w:top w:val="single" w:sz="4" w:space="0" w:color="auto"/>
              <w:bottom w:val="nil"/>
            </w:tcBorders>
            <w:shd w:val="clear" w:color="auto" w:fill="auto"/>
            <w:tcMar>
              <w:top w:w="110" w:type="dxa"/>
            </w:tcMar>
            <w:vAlign w:val="center"/>
          </w:tcPr>
          <w:p w:rsidR="0053316D" w:rsidRPr="00A34388" w:rsidRDefault="0053316D" w:rsidP="00AA6702">
            <w:pPr>
              <w:rPr>
                <w:rFonts w:cs="Arial"/>
                <w:b/>
                <w:color w:val="808080"/>
                <w:sz w:val="16"/>
                <w:szCs w:val="16"/>
                <w:lang w:val="es-ES_tradnl"/>
              </w:rPr>
            </w:pPr>
            <w:r w:rsidRPr="00332758">
              <w:rPr>
                <w:rFonts w:cs="Arial"/>
                <w:b/>
                <w:sz w:val="16"/>
                <w:szCs w:val="16"/>
                <w:lang w:val="es-ES_tradnl"/>
              </w:rPr>
              <w:t>Objetivos</w:t>
            </w:r>
          </w:p>
        </w:tc>
        <w:tc>
          <w:tcPr>
            <w:tcW w:w="2346" w:type="pct"/>
            <w:tcBorders>
              <w:top w:val="single" w:sz="4" w:space="0" w:color="auto"/>
              <w:bottom w:val="nil"/>
            </w:tcBorders>
            <w:shd w:val="clear" w:color="auto" w:fill="FFFFFF"/>
            <w:tcMar>
              <w:top w:w="110" w:type="dxa"/>
            </w:tcMar>
            <w:vAlign w:val="center"/>
          </w:tcPr>
          <w:p w:rsidR="0053316D" w:rsidRPr="00A34388" w:rsidRDefault="0053316D" w:rsidP="00AA6702">
            <w:pPr>
              <w:rPr>
                <w:rFonts w:cs="Arial"/>
                <w:color w:val="808080"/>
                <w:sz w:val="16"/>
                <w:szCs w:val="16"/>
                <w:lang w:val="es-ES_tradnl"/>
              </w:rPr>
            </w:pPr>
            <w:r w:rsidRPr="00332758">
              <w:rPr>
                <w:rFonts w:cs="Arial"/>
                <w:b/>
                <w:sz w:val="16"/>
                <w:szCs w:val="16"/>
                <w:lang w:val="es-ES_tradnl"/>
              </w:rPr>
              <w:t>Datos sobre el rendimiento</w:t>
            </w:r>
          </w:p>
        </w:tc>
        <w:tc>
          <w:tcPr>
            <w:tcW w:w="606" w:type="pct"/>
            <w:tcBorders>
              <w:top w:val="single" w:sz="4" w:space="0" w:color="auto"/>
              <w:bottom w:val="nil"/>
              <w:right w:val="single" w:sz="4" w:space="0" w:color="auto"/>
            </w:tcBorders>
            <w:shd w:val="clear" w:color="auto" w:fill="auto"/>
            <w:tcMar>
              <w:top w:w="110" w:type="dxa"/>
            </w:tcMar>
            <w:vAlign w:val="center"/>
          </w:tcPr>
          <w:p w:rsidR="0053316D" w:rsidRPr="00332758" w:rsidRDefault="0053316D" w:rsidP="00AA6702">
            <w:pPr>
              <w:keepNext/>
              <w:keepLines/>
              <w:jc w:val="center"/>
              <w:rPr>
                <w:rFonts w:cs="Arial"/>
                <w:b/>
                <w:bCs/>
                <w:sz w:val="16"/>
                <w:szCs w:val="16"/>
                <w:lang w:val="es-ES_tradnl"/>
              </w:rPr>
            </w:pPr>
            <w:r w:rsidRPr="00332758">
              <w:rPr>
                <w:rFonts w:cs="Arial"/>
                <w:b/>
                <w:bCs/>
                <w:sz w:val="16"/>
                <w:szCs w:val="16"/>
                <w:lang w:val="es-ES_tradnl"/>
              </w:rPr>
              <w:t>Clave de colores</w:t>
            </w:r>
          </w:p>
        </w:tc>
      </w:tr>
      <w:tr w:rsidR="0053316D" w:rsidRPr="00A34388" w:rsidTr="00AA6702">
        <w:trPr>
          <w:cantSplit/>
        </w:trPr>
        <w:tc>
          <w:tcPr>
            <w:tcW w:w="856" w:type="pct"/>
            <w:tcBorders>
              <w:top w:val="nil"/>
              <w:left w:val="single" w:sz="4" w:space="0" w:color="auto"/>
              <w:bottom w:val="single" w:sz="4" w:space="0" w:color="auto"/>
            </w:tcBorders>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Utilización durante el período de garantía de la construcción de los fondos disponibles con arreglo a las provisiones y el presupuesto consolidado aprobado.</w:t>
            </w:r>
          </w:p>
          <w:p w:rsidR="0053316D" w:rsidRPr="00A34388" w:rsidRDefault="0053316D" w:rsidP="00AA6702">
            <w:pPr>
              <w:rPr>
                <w:rFonts w:cs="Arial"/>
                <w:sz w:val="16"/>
                <w:szCs w:val="16"/>
                <w:lang w:val="es-ES_tradnl"/>
              </w:rPr>
            </w:pPr>
          </w:p>
        </w:tc>
        <w:tc>
          <w:tcPr>
            <w:tcW w:w="585" w:type="pct"/>
            <w:tcBorders>
              <w:top w:val="nil"/>
              <w:bottom w:val="single" w:sz="4" w:space="0" w:color="auto"/>
            </w:tcBorders>
            <w:shd w:val="clear" w:color="auto" w:fill="auto"/>
          </w:tcPr>
          <w:p w:rsidR="0053316D" w:rsidRPr="00A34388" w:rsidRDefault="0053316D" w:rsidP="00AA6702">
            <w:pPr>
              <w:rPr>
                <w:rFonts w:cs="Arial"/>
                <w:sz w:val="16"/>
                <w:szCs w:val="16"/>
                <w:lang w:val="es-ES_tradnl"/>
              </w:rPr>
            </w:pPr>
            <w:r w:rsidRPr="00332758">
              <w:rPr>
                <w:rFonts w:cs="Arial"/>
                <w:sz w:val="16"/>
                <w:szCs w:val="16"/>
                <w:lang w:val="es-ES_tradnl"/>
              </w:rPr>
              <w:t>n.d.</w:t>
            </w:r>
          </w:p>
        </w:tc>
        <w:tc>
          <w:tcPr>
            <w:tcW w:w="607" w:type="pct"/>
            <w:tcBorders>
              <w:top w:val="nil"/>
              <w:bottom w:val="single" w:sz="4" w:space="0" w:color="auto"/>
            </w:tcBorders>
            <w:shd w:val="clear" w:color="auto" w:fill="auto"/>
            <w:tcMar>
              <w:top w:w="110" w:type="dxa"/>
            </w:tcMar>
          </w:tcPr>
          <w:p w:rsidR="0053316D" w:rsidRPr="00A34388" w:rsidRDefault="0053316D" w:rsidP="00AA6702">
            <w:pPr>
              <w:rPr>
                <w:rFonts w:cs="Arial"/>
                <w:i/>
                <w:sz w:val="16"/>
                <w:szCs w:val="16"/>
                <w:lang w:val="es-ES_tradnl"/>
              </w:rPr>
            </w:pPr>
            <w:r w:rsidRPr="00332758">
              <w:rPr>
                <w:rFonts w:cs="Arial"/>
                <w:sz w:val="16"/>
                <w:szCs w:val="16"/>
                <w:lang w:val="es-ES_tradnl"/>
              </w:rPr>
              <w:t>n.d.</w:t>
            </w:r>
            <w:r w:rsidRPr="00A34388">
              <w:rPr>
                <w:rFonts w:cs="Arial"/>
                <w:sz w:val="16"/>
                <w:szCs w:val="16"/>
                <w:lang w:val="es-ES_tradnl"/>
              </w:rPr>
              <w:t xml:space="preserve"> </w:t>
            </w:r>
          </w:p>
        </w:tc>
        <w:tc>
          <w:tcPr>
            <w:tcW w:w="2346" w:type="pct"/>
            <w:tcBorders>
              <w:top w:val="nil"/>
              <w:bottom w:val="single" w:sz="4" w:space="0" w:color="auto"/>
            </w:tcBorders>
            <w:shd w:val="clear" w:color="auto" w:fill="FFFFFF"/>
            <w:tcMar>
              <w:top w:w="110" w:type="dxa"/>
            </w:tcMar>
          </w:tcPr>
          <w:p w:rsidR="0053316D" w:rsidRPr="00332758" w:rsidRDefault="0053316D" w:rsidP="00AA6702">
            <w:pPr>
              <w:rPr>
                <w:rFonts w:cs="Arial"/>
                <w:sz w:val="16"/>
                <w:szCs w:val="16"/>
                <w:lang w:val="es-ES_tradnl"/>
              </w:rPr>
            </w:pPr>
            <w:r w:rsidRPr="00332758">
              <w:rPr>
                <w:rFonts w:cs="Arial"/>
                <w:sz w:val="16"/>
                <w:szCs w:val="16"/>
                <w:lang w:val="es-ES_tradnl"/>
              </w:rPr>
              <w:t>A finales del bienio 2012/13 los gastos seguían estando dentro de los límites presupuestarios.</w:t>
            </w:r>
          </w:p>
        </w:tc>
        <w:tc>
          <w:tcPr>
            <w:tcW w:w="606" w:type="pct"/>
            <w:tcBorders>
              <w:top w:val="nil"/>
              <w:bottom w:val="single" w:sz="4" w:space="0" w:color="auto"/>
              <w:right w:val="single" w:sz="4" w:space="0" w:color="auto"/>
            </w:tcBorders>
            <w:shd w:val="clear" w:color="auto" w:fill="auto"/>
            <w:tcMar>
              <w:top w:w="110" w:type="dxa"/>
            </w:tcMar>
          </w:tcPr>
          <w:p w:rsidR="0053316D" w:rsidRPr="00332758" w:rsidRDefault="0053316D" w:rsidP="00AA6702">
            <w:pPr>
              <w:keepNext/>
              <w:keepLines/>
              <w:jc w:val="center"/>
              <w:rPr>
                <w:rFonts w:cs="Arial"/>
                <w:bCs/>
                <w:sz w:val="16"/>
                <w:szCs w:val="16"/>
                <w:lang w:val="es-ES_tradnl"/>
              </w:rPr>
            </w:pPr>
            <w:r w:rsidRPr="00A34388">
              <w:rPr>
                <w:rStyle w:val="Style5"/>
                <w:rFonts w:cs="Arial"/>
                <w:color w:val="595959" w:themeColor="text1" w:themeTint="A6"/>
                <w:sz w:val="16"/>
                <w:szCs w:val="16"/>
                <w:lang w:val="es-ES_tradnl"/>
              </w:rPr>
              <w:t>No mensurable</w:t>
            </w:r>
          </w:p>
        </w:tc>
      </w:tr>
    </w:tbl>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p>
    <w:p w:rsidR="0053316D" w:rsidRPr="00A34388" w:rsidRDefault="0053316D" w:rsidP="0053316D">
      <w:pPr>
        <w:rPr>
          <w:rFonts w:cs="Arial"/>
          <w:sz w:val="22"/>
          <w:szCs w:val="22"/>
          <w:lang w:val="es-ES_tradnl"/>
        </w:rPr>
      </w:pPr>
      <w:r w:rsidRPr="00332758">
        <w:rPr>
          <w:rFonts w:cs="Arial"/>
          <w:sz w:val="22"/>
          <w:szCs w:val="22"/>
          <w:lang w:val="es-ES_tradnl"/>
        </w:rPr>
        <w:t>PRESUPUESTO Y GASTOS REALES</w:t>
      </w:r>
    </w:p>
    <w:p w:rsidR="0053316D" w:rsidRPr="00A34388" w:rsidRDefault="0053316D" w:rsidP="0053316D">
      <w:pPr>
        <w:rPr>
          <w:rFonts w:cs="Arial"/>
          <w:szCs w:val="20"/>
          <w:lang w:val="es-ES_tradnl"/>
        </w:rPr>
      </w:pPr>
    </w:p>
    <w:p w:rsidR="0053316D" w:rsidRPr="00A34388" w:rsidRDefault="0053316D" w:rsidP="0053316D">
      <w:pPr>
        <w:jc w:val="center"/>
        <w:rPr>
          <w:rFonts w:eastAsiaTheme="minorEastAsia"/>
          <w:szCs w:val="20"/>
          <w:lang w:val="es-ES_tradnl"/>
        </w:rPr>
      </w:pPr>
      <w:r w:rsidRPr="00A34388">
        <w:rPr>
          <w:rFonts w:eastAsiaTheme="minorEastAsia" w:cs="Arial"/>
          <w:color w:val="000000"/>
          <w:szCs w:val="20"/>
          <w:lang w:val="es-ES_tradnl"/>
        </w:rPr>
        <w:t xml:space="preserve">Presupuesto y gastos reales (por resultado) </w:t>
      </w:r>
    </w:p>
    <w:p w:rsidR="0053316D" w:rsidRPr="00332758" w:rsidRDefault="0053316D" w:rsidP="0053316D">
      <w:pPr>
        <w:jc w:val="center"/>
        <w:rPr>
          <w:rFonts w:eastAsiaTheme="minorEastAsia" w:cs="Arial"/>
          <w:i/>
          <w:iCs/>
          <w:szCs w:val="20"/>
          <w:lang w:val="es-ES_tradnl"/>
        </w:rPr>
      </w:pPr>
      <w:r w:rsidRPr="00332758">
        <w:rPr>
          <w:rFonts w:eastAsiaTheme="minorEastAsia" w:cs="Arial"/>
          <w:i/>
          <w:iCs/>
          <w:szCs w:val="20"/>
          <w:lang w:val="es-ES_tradnl"/>
        </w:rPr>
        <w:t>(en miles de francos suizos)</w:t>
      </w:r>
    </w:p>
    <w:p w:rsidR="0053316D" w:rsidRPr="00A34388" w:rsidRDefault="0053316D" w:rsidP="0053316D">
      <w:pPr>
        <w:jc w:val="center"/>
        <w:rPr>
          <w:rFonts w:eastAsiaTheme="minorEastAsia"/>
          <w:szCs w:val="20"/>
          <w:lang w:val="es-ES_tradnl"/>
        </w:rPr>
      </w:pPr>
    </w:p>
    <w:tbl>
      <w:tblPr>
        <w:tblW w:w="0" w:type="auto"/>
        <w:tblInd w:w="103" w:type="dxa"/>
        <w:tblLayout w:type="fixed"/>
        <w:tblLook w:val="04A0" w:firstRow="1" w:lastRow="0" w:firstColumn="1" w:lastColumn="0" w:noHBand="0" w:noVBand="1"/>
      </w:tblPr>
      <w:tblGrid>
        <w:gridCol w:w="537"/>
        <w:gridCol w:w="4288"/>
        <w:gridCol w:w="1512"/>
        <w:gridCol w:w="1512"/>
        <w:gridCol w:w="1512"/>
      </w:tblGrid>
      <w:tr w:rsidR="0053316D" w:rsidRPr="00A34388" w:rsidTr="00AA6702">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Número del resultado previsto y descripción</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aprobado 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A34388">
              <w:rPr>
                <w:rFonts w:cs="Arial"/>
                <w:bCs/>
                <w:color w:val="000000"/>
                <w:sz w:val="16"/>
                <w:szCs w:val="16"/>
                <w:lang w:val="es-ES_tradnl"/>
              </w:rPr>
              <w:t xml:space="preserve">Gastos en 2012/13 </w:t>
            </w:r>
            <w:r w:rsidRPr="00A34388">
              <w:rPr>
                <w:rFonts w:cs="Arial"/>
                <w:bCs/>
                <w:color w:val="000000"/>
                <w:sz w:val="16"/>
                <w:szCs w:val="16"/>
                <w:lang w:val="es-ES_tradnl"/>
              </w:rPr>
              <w:br/>
            </w:r>
          </w:p>
        </w:tc>
      </w:tr>
      <w:tr w:rsidR="0053316D" w:rsidRPr="00A34388" w:rsidTr="00AA6702">
        <w:tc>
          <w:tcPr>
            <w:tcW w:w="537" w:type="dxa"/>
            <w:tcBorders>
              <w:top w:val="nil"/>
              <w:left w:val="single" w:sz="4" w:space="0" w:color="auto"/>
              <w:bottom w:val="nil"/>
              <w:right w:val="nil"/>
            </w:tcBorders>
            <w:shd w:val="clear" w:color="000000" w:fill="FFFFFF"/>
            <w:noWrap/>
          </w:tcPr>
          <w:p w:rsidR="0053316D" w:rsidRPr="00A34388" w:rsidRDefault="0053316D" w:rsidP="00AA6702">
            <w:pPr>
              <w:spacing w:before="120"/>
              <w:jc w:val="center"/>
              <w:rPr>
                <w:rFonts w:cs="Arial"/>
                <w:color w:val="808080"/>
                <w:sz w:val="16"/>
                <w:szCs w:val="16"/>
                <w:lang w:val="es-ES_tradnl"/>
              </w:rPr>
            </w:pPr>
            <w:r w:rsidRPr="00332758">
              <w:rPr>
                <w:rFonts w:cs="Arial"/>
                <w:sz w:val="16"/>
                <w:szCs w:val="16"/>
                <w:lang w:val="es-ES_tradnl"/>
              </w:rPr>
              <w:t>IX.4</w:t>
            </w:r>
          </w:p>
        </w:tc>
        <w:tc>
          <w:tcPr>
            <w:tcW w:w="4288" w:type="dxa"/>
            <w:tcBorders>
              <w:top w:val="nil"/>
              <w:left w:val="nil"/>
              <w:bottom w:val="nil"/>
              <w:right w:val="nil"/>
            </w:tcBorders>
            <w:shd w:val="clear" w:color="000000" w:fill="FFFFFF"/>
          </w:tcPr>
          <w:p w:rsidR="0053316D" w:rsidRPr="00A34388" w:rsidRDefault="0053316D" w:rsidP="00AA6702">
            <w:pPr>
              <w:spacing w:before="120"/>
              <w:rPr>
                <w:rFonts w:cs="Arial"/>
                <w:color w:val="808080"/>
                <w:sz w:val="16"/>
                <w:szCs w:val="16"/>
                <w:lang w:val="es-ES_tradnl"/>
              </w:rPr>
            </w:pPr>
            <w:r w:rsidRPr="00332758">
              <w:rPr>
                <w:rFonts w:cs="Arial"/>
                <w:sz w:val="16"/>
                <w:szCs w:val="16"/>
                <w:lang w:val="es-ES_tradnl"/>
              </w:rPr>
              <w:t>Se garantiza la seguridad del personal de la OMPI, los delegados, los visitantes, la información y los activos físicos.</w:t>
            </w:r>
          </w:p>
        </w:tc>
        <w:tc>
          <w:tcPr>
            <w:tcW w:w="1512" w:type="dxa"/>
            <w:tcBorders>
              <w:top w:val="nil"/>
              <w:left w:val="nil"/>
              <w:bottom w:val="nil"/>
              <w:right w:val="nil"/>
            </w:tcBorders>
            <w:shd w:val="clear" w:color="000000" w:fill="FFFFFF"/>
            <w:vAlign w:val="center"/>
          </w:tcPr>
          <w:p w:rsidR="0053316D" w:rsidRPr="00A34388" w:rsidRDefault="0053316D" w:rsidP="00AA6702">
            <w:pPr>
              <w:spacing w:before="120"/>
              <w:jc w:val="right"/>
              <w:rPr>
                <w:rFonts w:cs="Arial"/>
                <w:color w:val="808080"/>
                <w:sz w:val="16"/>
                <w:szCs w:val="16"/>
                <w:lang w:val="es-ES_tradnl"/>
              </w:rPr>
            </w:pPr>
            <w:r w:rsidRPr="00332758">
              <w:rPr>
                <w:rFonts w:cs="Arial"/>
                <w:sz w:val="16"/>
                <w:szCs w:val="16"/>
                <w:lang w:val="es-ES_tradnl"/>
              </w:rPr>
              <w:t xml:space="preserve">46 </w:t>
            </w:r>
          </w:p>
        </w:tc>
        <w:tc>
          <w:tcPr>
            <w:tcW w:w="1512" w:type="dxa"/>
            <w:tcBorders>
              <w:top w:val="nil"/>
              <w:left w:val="nil"/>
              <w:bottom w:val="nil"/>
              <w:right w:val="nil"/>
            </w:tcBorders>
            <w:shd w:val="clear" w:color="000000" w:fill="FFFFFF"/>
            <w:vAlign w:val="center"/>
          </w:tcPr>
          <w:p w:rsidR="0053316D" w:rsidRPr="00A34388" w:rsidRDefault="0053316D" w:rsidP="00AA6702">
            <w:pPr>
              <w:spacing w:before="120"/>
              <w:jc w:val="right"/>
              <w:rPr>
                <w:rFonts w:cs="Arial"/>
                <w:color w:val="808080"/>
                <w:sz w:val="16"/>
                <w:szCs w:val="16"/>
                <w:lang w:val="es-ES_tradnl"/>
              </w:rPr>
            </w:pPr>
            <w:r w:rsidRPr="00332758">
              <w:rPr>
                <w:rFonts w:cs="Arial"/>
                <w:sz w:val="16"/>
                <w:szCs w:val="16"/>
                <w:lang w:val="es-ES_tradnl"/>
              </w:rPr>
              <w:t xml:space="preserve">48 </w:t>
            </w:r>
          </w:p>
        </w:tc>
        <w:tc>
          <w:tcPr>
            <w:tcW w:w="1512" w:type="dxa"/>
            <w:tcBorders>
              <w:top w:val="nil"/>
              <w:left w:val="nil"/>
              <w:bottom w:val="nil"/>
              <w:right w:val="single" w:sz="4" w:space="0" w:color="auto"/>
            </w:tcBorders>
            <w:shd w:val="clear" w:color="000000" w:fill="FFFFFF"/>
            <w:vAlign w:val="center"/>
          </w:tcPr>
          <w:p w:rsidR="0053316D" w:rsidRPr="00332758" w:rsidRDefault="0053316D" w:rsidP="00AA6702">
            <w:pPr>
              <w:spacing w:before="120"/>
              <w:jc w:val="right"/>
              <w:rPr>
                <w:rFonts w:cs="Arial"/>
                <w:sz w:val="16"/>
                <w:szCs w:val="16"/>
                <w:lang w:val="es-ES_tradnl"/>
              </w:rPr>
            </w:pPr>
            <w:r w:rsidRPr="00332758">
              <w:rPr>
                <w:rFonts w:cs="Arial"/>
                <w:sz w:val="16"/>
                <w:szCs w:val="16"/>
                <w:lang w:val="es-ES_tradnl"/>
              </w:rPr>
              <w:t xml:space="preserve">60 </w:t>
            </w:r>
          </w:p>
        </w:tc>
      </w:tr>
      <w:tr w:rsidR="0053316D" w:rsidRPr="00A34388" w:rsidTr="00AA6702">
        <w:tc>
          <w:tcPr>
            <w:tcW w:w="537" w:type="dxa"/>
            <w:tcBorders>
              <w:top w:val="nil"/>
              <w:left w:val="single" w:sz="4" w:space="0" w:color="auto"/>
              <w:bottom w:val="nil"/>
              <w:right w:val="nil"/>
            </w:tcBorders>
            <w:shd w:val="clear" w:color="000000" w:fill="FFFFFF"/>
            <w:noWrap/>
          </w:tcPr>
          <w:p w:rsidR="0053316D" w:rsidRPr="00A34388" w:rsidRDefault="0053316D" w:rsidP="00AA6702">
            <w:pPr>
              <w:spacing w:before="120"/>
              <w:jc w:val="center"/>
              <w:rPr>
                <w:rFonts w:cs="Arial"/>
                <w:color w:val="808080"/>
                <w:sz w:val="16"/>
                <w:szCs w:val="16"/>
                <w:lang w:val="es-ES_tradnl"/>
              </w:rPr>
            </w:pPr>
            <w:r w:rsidRPr="00332758">
              <w:rPr>
                <w:rFonts w:cs="Arial"/>
                <w:sz w:val="16"/>
                <w:szCs w:val="16"/>
                <w:lang w:val="es-ES_tradnl"/>
              </w:rPr>
              <w:t>IX.5</w:t>
            </w:r>
          </w:p>
        </w:tc>
        <w:tc>
          <w:tcPr>
            <w:tcW w:w="4288" w:type="dxa"/>
            <w:tcBorders>
              <w:top w:val="nil"/>
              <w:left w:val="nil"/>
              <w:bottom w:val="nil"/>
              <w:right w:val="nil"/>
            </w:tcBorders>
            <w:shd w:val="clear" w:color="000000" w:fill="FFFFFF"/>
          </w:tcPr>
          <w:p w:rsidR="0053316D" w:rsidRPr="00A34388" w:rsidRDefault="0053316D" w:rsidP="00AA6702">
            <w:pPr>
              <w:spacing w:before="120"/>
              <w:rPr>
                <w:rFonts w:cs="Arial"/>
                <w:color w:val="808080"/>
                <w:sz w:val="16"/>
                <w:szCs w:val="16"/>
                <w:lang w:val="es-ES_tradnl"/>
              </w:rPr>
            </w:pPr>
            <w:r w:rsidRPr="00332758">
              <w:rPr>
                <w:rFonts w:cs="Arial"/>
                <w:sz w:val="16"/>
                <w:szCs w:val="16"/>
                <w:lang w:val="es-ES_tradnl"/>
              </w:rPr>
              <w:t>Los costos relacionados con el nuevo edificio administrativo se mantienen al mínimo.</w:t>
            </w:r>
          </w:p>
        </w:tc>
        <w:tc>
          <w:tcPr>
            <w:tcW w:w="1512" w:type="dxa"/>
            <w:tcBorders>
              <w:top w:val="nil"/>
              <w:left w:val="nil"/>
              <w:bottom w:val="nil"/>
              <w:right w:val="nil"/>
            </w:tcBorders>
            <w:shd w:val="clear" w:color="000000" w:fill="FFFFFF"/>
            <w:vAlign w:val="center"/>
          </w:tcPr>
          <w:p w:rsidR="0053316D" w:rsidRPr="00A34388" w:rsidRDefault="0053316D" w:rsidP="00AA6702">
            <w:pPr>
              <w:spacing w:before="120"/>
              <w:jc w:val="right"/>
              <w:rPr>
                <w:rFonts w:cs="Arial"/>
                <w:color w:val="808080"/>
                <w:sz w:val="16"/>
                <w:szCs w:val="16"/>
                <w:lang w:val="es-ES_tradnl"/>
              </w:rPr>
            </w:pPr>
            <w:r w:rsidRPr="00332758">
              <w:rPr>
                <w:rFonts w:cs="Arial"/>
                <w:sz w:val="16"/>
                <w:szCs w:val="16"/>
                <w:lang w:val="es-ES_tradnl"/>
              </w:rPr>
              <w:t xml:space="preserve">7.020 </w:t>
            </w:r>
          </w:p>
        </w:tc>
        <w:tc>
          <w:tcPr>
            <w:tcW w:w="1512" w:type="dxa"/>
            <w:tcBorders>
              <w:top w:val="nil"/>
              <w:left w:val="nil"/>
              <w:bottom w:val="nil"/>
              <w:right w:val="nil"/>
            </w:tcBorders>
            <w:shd w:val="clear" w:color="000000" w:fill="FFFFFF"/>
            <w:vAlign w:val="center"/>
          </w:tcPr>
          <w:p w:rsidR="0053316D" w:rsidRPr="00A34388" w:rsidRDefault="0053316D" w:rsidP="00AA6702">
            <w:pPr>
              <w:spacing w:before="120"/>
              <w:jc w:val="right"/>
              <w:rPr>
                <w:rFonts w:cs="Arial"/>
                <w:color w:val="808080"/>
                <w:sz w:val="16"/>
                <w:szCs w:val="16"/>
                <w:lang w:val="es-ES_tradnl"/>
              </w:rPr>
            </w:pPr>
            <w:r w:rsidRPr="00332758">
              <w:rPr>
                <w:rFonts w:cs="Arial"/>
                <w:sz w:val="16"/>
                <w:szCs w:val="16"/>
                <w:lang w:val="es-ES_tradnl"/>
              </w:rPr>
              <w:t xml:space="preserve">6.601 </w:t>
            </w:r>
          </w:p>
        </w:tc>
        <w:tc>
          <w:tcPr>
            <w:tcW w:w="1512" w:type="dxa"/>
            <w:tcBorders>
              <w:top w:val="nil"/>
              <w:left w:val="nil"/>
              <w:bottom w:val="nil"/>
              <w:right w:val="single" w:sz="4" w:space="0" w:color="auto"/>
            </w:tcBorders>
            <w:shd w:val="clear" w:color="000000" w:fill="FFFFFF"/>
            <w:vAlign w:val="center"/>
          </w:tcPr>
          <w:p w:rsidR="0053316D" w:rsidRPr="00332758" w:rsidRDefault="0053316D" w:rsidP="00AA6702">
            <w:pPr>
              <w:spacing w:before="120"/>
              <w:jc w:val="right"/>
              <w:rPr>
                <w:rFonts w:cs="Arial"/>
                <w:sz w:val="16"/>
                <w:szCs w:val="16"/>
                <w:lang w:val="es-ES_tradnl"/>
              </w:rPr>
            </w:pPr>
            <w:r w:rsidRPr="00332758">
              <w:rPr>
                <w:rFonts w:cs="Arial"/>
                <w:sz w:val="16"/>
                <w:szCs w:val="16"/>
                <w:lang w:val="es-ES_tradnl"/>
              </w:rPr>
              <w:t xml:space="preserve">6.674 </w:t>
            </w:r>
          </w:p>
        </w:tc>
      </w:tr>
      <w:tr w:rsidR="0053316D" w:rsidRPr="00A34388" w:rsidTr="00AA6702">
        <w:tc>
          <w:tcPr>
            <w:tcW w:w="537" w:type="dxa"/>
            <w:tcBorders>
              <w:top w:val="nil"/>
              <w:left w:val="single" w:sz="4" w:space="0" w:color="auto"/>
              <w:bottom w:val="single" w:sz="4" w:space="0" w:color="auto"/>
              <w:right w:val="nil"/>
            </w:tcBorders>
            <w:shd w:val="clear" w:color="000000" w:fill="FFFFFF"/>
            <w:noWrap/>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IX.6</w:t>
            </w:r>
          </w:p>
        </w:tc>
        <w:tc>
          <w:tcPr>
            <w:tcW w:w="4288" w:type="dxa"/>
            <w:tcBorders>
              <w:top w:val="nil"/>
              <w:left w:val="nil"/>
              <w:bottom w:val="single" w:sz="4" w:space="0" w:color="auto"/>
              <w:right w:val="nil"/>
            </w:tcBorders>
            <w:shd w:val="clear" w:color="000000" w:fill="FFFFFF"/>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La nueva sala de conferencias y las instalaciones conexas están disponibles para las reuniones de los Estados miembros.</w:t>
            </w:r>
          </w:p>
        </w:tc>
        <w:tc>
          <w:tcPr>
            <w:tcW w:w="1512" w:type="dxa"/>
            <w:tcBorders>
              <w:top w:val="nil"/>
              <w:left w:val="nil"/>
              <w:bottom w:val="single" w:sz="4" w:space="0" w:color="auto"/>
              <w:right w:val="nil"/>
            </w:tcBorders>
            <w:shd w:val="clear" w:color="000000" w:fill="FFFFFF"/>
            <w:vAlign w:val="center"/>
          </w:tcPr>
          <w:p w:rsidR="0053316D" w:rsidRPr="00A34388" w:rsidRDefault="0053316D" w:rsidP="00AA6702">
            <w:pPr>
              <w:spacing w:before="120" w:after="120"/>
              <w:jc w:val="right"/>
              <w:rPr>
                <w:rFonts w:cs="Arial"/>
                <w:color w:val="808080"/>
                <w:sz w:val="16"/>
                <w:szCs w:val="16"/>
                <w:lang w:val="es-ES_tradnl"/>
              </w:rPr>
            </w:pPr>
            <w:r w:rsidRPr="00332758">
              <w:rPr>
                <w:rFonts w:cs="Arial"/>
                <w:sz w:val="16"/>
                <w:szCs w:val="16"/>
                <w:lang w:val="es-ES_tradnl"/>
              </w:rPr>
              <w:t xml:space="preserve"> 608 </w:t>
            </w:r>
          </w:p>
        </w:tc>
        <w:tc>
          <w:tcPr>
            <w:tcW w:w="1512" w:type="dxa"/>
            <w:tcBorders>
              <w:top w:val="nil"/>
              <w:left w:val="nil"/>
              <w:bottom w:val="single" w:sz="4" w:space="0" w:color="auto"/>
              <w:right w:val="nil"/>
            </w:tcBorders>
            <w:shd w:val="clear" w:color="000000" w:fill="FFFFFF"/>
            <w:vAlign w:val="center"/>
          </w:tcPr>
          <w:p w:rsidR="0053316D" w:rsidRPr="00A34388" w:rsidRDefault="0053316D" w:rsidP="00AA6702">
            <w:pPr>
              <w:spacing w:before="120" w:after="120"/>
              <w:jc w:val="right"/>
              <w:rPr>
                <w:rFonts w:cs="Arial"/>
                <w:color w:val="808080"/>
                <w:sz w:val="16"/>
                <w:szCs w:val="16"/>
                <w:lang w:val="es-ES_tradnl"/>
              </w:rPr>
            </w:pPr>
            <w:r w:rsidRPr="00332758">
              <w:rPr>
                <w:rFonts w:cs="Arial"/>
                <w:sz w:val="16"/>
                <w:szCs w:val="16"/>
                <w:lang w:val="es-ES_tradnl"/>
              </w:rPr>
              <w:t xml:space="preserve">587 </w:t>
            </w:r>
          </w:p>
        </w:tc>
        <w:tc>
          <w:tcPr>
            <w:tcW w:w="1512" w:type="dxa"/>
            <w:tcBorders>
              <w:top w:val="nil"/>
              <w:left w:val="nil"/>
              <w:bottom w:val="single" w:sz="4" w:space="0" w:color="auto"/>
              <w:right w:val="single" w:sz="4" w:space="0" w:color="auto"/>
            </w:tcBorders>
            <w:shd w:val="clear" w:color="000000" w:fill="FFFFFF"/>
            <w:vAlign w:val="center"/>
          </w:tcPr>
          <w:p w:rsidR="0053316D" w:rsidRPr="00332758" w:rsidRDefault="0053316D" w:rsidP="00AA6702">
            <w:pPr>
              <w:spacing w:before="120" w:after="120"/>
              <w:jc w:val="right"/>
              <w:rPr>
                <w:rFonts w:cs="Arial"/>
                <w:sz w:val="16"/>
                <w:szCs w:val="16"/>
                <w:lang w:val="es-ES_tradnl"/>
              </w:rPr>
            </w:pPr>
            <w:r w:rsidRPr="00332758">
              <w:rPr>
                <w:rFonts w:cs="Arial"/>
                <w:sz w:val="16"/>
                <w:szCs w:val="16"/>
                <w:lang w:val="es-ES_tradnl"/>
              </w:rPr>
              <w:t xml:space="preserve">350 </w:t>
            </w:r>
          </w:p>
        </w:tc>
      </w:tr>
      <w:tr w:rsidR="0053316D" w:rsidRPr="00A34388" w:rsidTr="00AA6702">
        <w:tc>
          <w:tcPr>
            <w:tcW w:w="537" w:type="dxa"/>
            <w:tcBorders>
              <w:top w:val="nil"/>
              <w:left w:val="single" w:sz="4" w:space="0" w:color="auto"/>
              <w:bottom w:val="single" w:sz="4" w:space="0" w:color="auto"/>
              <w:right w:val="nil"/>
            </w:tcBorders>
            <w:shd w:val="clear" w:color="000000" w:fill="CCFFFF"/>
            <w:noWrap/>
            <w:vAlign w:val="bottom"/>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 xml:space="preserve"> </w:t>
            </w:r>
          </w:p>
        </w:tc>
        <w:tc>
          <w:tcPr>
            <w:tcW w:w="4288" w:type="dxa"/>
            <w:tcBorders>
              <w:top w:val="nil"/>
              <w:left w:val="nil"/>
              <w:bottom w:val="single" w:sz="4" w:space="0" w:color="auto"/>
              <w:right w:val="nil"/>
            </w:tcBorders>
            <w:shd w:val="clear" w:color="000000" w:fill="CCFFFF"/>
            <w:noWrap/>
            <w:vAlign w:val="center"/>
          </w:tcPr>
          <w:p w:rsidR="0053316D" w:rsidRPr="00A34388" w:rsidRDefault="0053316D" w:rsidP="00AA6702">
            <w:pPr>
              <w:spacing w:before="120" w:after="120"/>
              <w:rPr>
                <w:rFonts w:cs="Arial"/>
                <w:b/>
                <w:bCs/>
                <w:color w:val="808080"/>
                <w:sz w:val="16"/>
                <w:szCs w:val="16"/>
                <w:lang w:val="es-ES_tradnl"/>
              </w:rPr>
            </w:pPr>
            <w:r w:rsidRPr="00332758">
              <w:rPr>
                <w:rFonts w:cs="Arial"/>
                <w:b/>
                <w:bCs/>
                <w:sz w:val="16"/>
                <w:szCs w:val="16"/>
                <w:lang w:val="es-ES_tradnl"/>
              </w:rPr>
              <w:t>TOTAL</w:t>
            </w:r>
          </w:p>
        </w:tc>
        <w:tc>
          <w:tcPr>
            <w:tcW w:w="1512" w:type="dxa"/>
            <w:tcBorders>
              <w:top w:val="nil"/>
              <w:left w:val="single" w:sz="4" w:space="0" w:color="auto"/>
              <w:bottom w:val="single" w:sz="4" w:space="0" w:color="auto"/>
              <w:right w:val="single" w:sz="4" w:space="0" w:color="auto"/>
            </w:tcBorders>
            <w:shd w:val="clear" w:color="000000" w:fill="CCFFFF"/>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7.675</w:t>
            </w:r>
          </w:p>
        </w:tc>
        <w:tc>
          <w:tcPr>
            <w:tcW w:w="1512" w:type="dxa"/>
            <w:tcBorders>
              <w:top w:val="nil"/>
              <w:left w:val="nil"/>
              <w:bottom w:val="single" w:sz="4" w:space="0" w:color="auto"/>
              <w:right w:val="single" w:sz="4" w:space="0" w:color="auto"/>
            </w:tcBorders>
            <w:shd w:val="clear" w:color="000000" w:fill="CCFFFF"/>
            <w:noWrap/>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7.237</w:t>
            </w:r>
          </w:p>
        </w:tc>
        <w:tc>
          <w:tcPr>
            <w:tcW w:w="1512" w:type="dxa"/>
            <w:tcBorders>
              <w:top w:val="nil"/>
              <w:left w:val="nil"/>
              <w:bottom w:val="single" w:sz="4" w:space="0" w:color="auto"/>
              <w:right w:val="single" w:sz="4" w:space="0" w:color="auto"/>
            </w:tcBorders>
            <w:shd w:val="clear" w:color="000000" w:fill="CCFFFF"/>
            <w:vAlign w:val="center"/>
          </w:tcPr>
          <w:p w:rsidR="0053316D" w:rsidRPr="00332758" w:rsidRDefault="0053316D" w:rsidP="00AA6702">
            <w:pPr>
              <w:spacing w:before="120" w:after="120"/>
              <w:jc w:val="right"/>
              <w:rPr>
                <w:rFonts w:cs="Arial"/>
                <w:b/>
                <w:bCs/>
                <w:sz w:val="16"/>
                <w:szCs w:val="16"/>
                <w:lang w:val="es-ES_tradnl"/>
              </w:rPr>
            </w:pPr>
            <w:r w:rsidRPr="00332758">
              <w:rPr>
                <w:rFonts w:cs="Arial"/>
                <w:b/>
                <w:bCs/>
                <w:sz w:val="16"/>
                <w:szCs w:val="16"/>
                <w:lang w:val="es-ES_tradnl"/>
              </w:rPr>
              <w:t>7.084</w:t>
            </w:r>
          </w:p>
        </w:tc>
      </w:tr>
    </w:tbl>
    <w:p w:rsidR="0053316D" w:rsidRPr="00A34388" w:rsidRDefault="0053316D" w:rsidP="0053316D">
      <w:pPr>
        <w:jc w:val="center"/>
        <w:rPr>
          <w:rFonts w:eastAsiaTheme="minorEastAsia" w:cs="Arial"/>
          <w:color w:val="000000"/>
          <w:sz w:val="22"/>
          <w:szCs w:val="22"/>
          <w:lang w:val="es-ES_tradnl"/>
        </w:rPr>
      </w:pPr>
    </w:p>
    <w:p w:rsidR="004C0FD5" w:rsidRPr="00A34388" w:rsidRDefault="004C0FD5">
      <w:pPr>
        <w:rPr>
          <w:rFonts w:eastAsiaTheme="minorEastAsia" w:cs="Arial"/>
          <w:color w:val="000000"/>
          <w:szCs w:val="20"/>
          <w:lang w:val="es-ES_tradnl"/>
        </w:rPr>
      </w:pPr>
      <w:r w:rsidRPr="00A34388">
        <w:rPr>
          <w:rFonts w:eastAsiaTheme="minorEastAsia" w:cs="Arial"/>
          <w:color w:val="000000"/>
          <w:szCs w:val="20"/>
          <w:lang w:val="es-ES_tradnl"/>
        </w:rPr>
        <w:br w:type="page"/>
      </w:r>
    </w:p>
    <w:p w:rsidR="0053316D" w:rsidRPr="00A34388" w:rsidRDefault="0053316D" w:rsidP="0053316D">
      <w:pPr>
        <w:jc w:val="center"/>
        <w:rPr>
          <w:rFonts w:eastAsiaTheme="minorEastAsia"/>
          <w:szCs w:val="20"/>
          <w:lang w:val="es-ES_tradnl"/>
        </w:rPr>
      </w:pPr>
      <w:r w:rsidRPr="00A34388">
        <w:rPr>
          <w:rFonts w:eastAsiaTheme="minorEastAsia" w:cs="Arial"/>
          <w:color w:val="000000"/>
          <w:szCs w:val="20"/>
          <w:lang w:val="es-ES_tradnl"/>
        </w:rPr>
        <w:lastRenderedPageBreak/>
        <w:t xml:space="preserve">Presupuesto y gastos reales (de personal y no relativos al personal) </w:t>
      </w:r>
    </w:p>
    <w:p w:rsidR="0053316D" w:rsidRPr="00332758" w:rsidRDefault="0053316D" w:rsidP="0053316D">
      <w:pPr>
        <w:jc w:val="center"/>
        <w:rPr>
          <w:rFonts w:eastAsiaTheme="minorEastAsia" w:cs="Arial"/>
          <w:i/>
          <w:iCs/>
          <w:szCs w:val="20"/>
          <w:lang w:val="es-ES_tradnl"/>
        </w:rPr>
      </w:pPr>
      <w:r w:rsidRPr="00332758">
        <w:rPr>
          <w:rFonts w:eastAsiaTheme="minorEastAsia" w:cs="Arial"/>
          <w:i/>
          <w:iCs/>
          <w:szCs w:val="20"/>
          <w:lang w:val="es-ES_tradnl"/>
        </w:rPr>
        <w:t>(en miles de francos suizos)</w:t>
      </w:r>
    </w:p>
    <w:p w:rsidR="0053316D" w:rsidRPr="00A34388" w:rsidRDefault="0053316D" w:rsidP="0053316D">
      <w:pPr>
        <w:jc w:val="center"/>
        <w:rPr>
          <w:rFonts w:eastAsiaTheme="minorEastAsia"/>
          <w:lang w:val="es-ES_tradnl"/>
        </w:rPr>
      </w:pPr>
    </w:p>
    <w:tbl>
      <w:tblPr>
        <w:tblW w:w="0" w:type="auto"/>
        <w:tblInd w:w="93" w:type="dxa"/>
        <w:tblLook w:val="04A0" w:firstRow="1" w:lastRow="0" w:firstColumn="1" w:lastColumn="0" w:noHBand="0" w:noVBand="1"/>
      </w:tblPr>
      <w:tblGrid>
        <w:gridCol w:w="2709"/>
        <w:gridCol w:w="1692"/>
        <w:gridCol w:w="1692"/>
        <w:gridCol w:w="1692"/>
        <w:gridCol w:w="1586"/>
      </w:tblGrid>
      <w:tr w:rsidR="0053316D" w:rsidRPr="00A34388" w:rsidTr="00AA6702">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53316D" w:rsidRPr="00A34388" w:rsidRDefault="0053316D" w:rsidP="00AA6702">
            <w:pPr>
              <w:spacing w:before="120" w:after="120"/>
              <w:rPr>
                <w:rFonts w:cs="Arial"/>
                <w:color w:val="000000"/>
                <w:sz w:val="16"/>
                <w:szCs w:val="16"/>
                <w:lang w:val="es-ES_tradnl"/>
              </w:rPr>
            </w:pPr>
            <w:r w:rsidRPr="00A34388">
              <w:rPr>
                <w:rFonts w:cs="Arial"/>
                <w:color w:val="000000"/>
                <w:sz w:val="16"/>
                <w:szCs w:val="16"/>
                <w:lang w:val="es-ES_tradnl"/>
              </w:rPr>
              <w:t xml:space="preserve"> </w:t>
            </w:r>
          </w:p>
        </w:tc>
        <w:tc>
          <w:tcPr>
            <w:tcW w:w="1692"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808080"/>
                <w:sz w:val="16"/>
                <w:szCs w:val="16"/>
                <w:lang w:val="es-ES_tradnl"/>
              </w:rPr>
            </w:pPr>
            <w:r w:rsidRPr="00332758">
              <w:rPr>
                <w:rFonts w:cs="Arial"/>
                <w:bCs/>
                <w:sz w:val="16"/>
                <w:szCs w:val="16"/>
                <w:lang w:val="es-ES_tradnl"/>
              </w:rPr>
              <w:t>Presupuesto aprobado 2012/13</w:t>
            </w:r>
          </w:p>
        </w:tc>
        <w:tc>
          <w:tcPr>
            <w:tcW w:w="1692"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Presupuesto 2012/13 después de las transferencias</w:t>
            </w:r>
          </w:p>
        </w:tc>
        <w:tc>
          <w:tcPr>
            <w:tcW w:w="1692"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808080"/>
                <w:sz w:val="16"/>
                <w:szCs w:val="16"/>
                <w:lang w:val="es-ES_tradnl"/>
              </w:rPr>
            </w:pPr>
            <w:r w:rsidRPr="00332758">
              <w:rPr>
                <w:rFonts w:cs="Arial"/>
                <w:bCs/>
                <w:sz w:val="16"/>
                <w:szCs w:val="16"/>
                <w:lang w:val="es-ES_tradnl"/>
              </w:rPr>
              <w:t>Gastos en 2012/13</w:t>
            </w:r>
          </w:p>
        </w:tc>
        <w:tc>
          <w:tcPr>
            <w:tcW w:w="1586" w:type="dxa"/>
            <w:tcBorders>
              <w:top w:val="single" w:sz="4" w:space="0" w:color="auto"/>
              <w:left w:val="nil"/>
              <w:bottom w:val="nil"/>
              <w:right w:val="single" w:sz="4" w:space="0" w:color="auto"/>
            </w:tcBorders>
            <w:shd w:val="clear" w:color="000000" w:fill="CCFFFF"/>
            <w:vAlign w:val="center"/>
          </w:tcPr>
          <w:p w:rsidR="0053316D" w:rsidRPr="00A34388" w:rsidRDefault="0053316D" w:rsidP="00AA6702">
            <w:pPr>
              <w:spacing w:before="120" w:after="120"/>
              <w:jc w:val="center"/>
              <w:rPr>
                <w:rFonts w:cs="Arial"/>
                <w:bCs/>
                <w:color w:val="000000"/>
                <w:sz w:val="16"/>
                <w:szCs w:val="16"/>
                <w:lang w:val="es-ES_tradnl"/>
              </w:rPr>
            </w:pPr>
            <w:r w:rsidRPr="00332758">
              <w:rPr>
                <w:rFonts w:cs="Arial"/>
                <w:bCs/>
                <w:sz w:val="16"/>
                <w:szCs w:val="16"/>
                <w:lang w:val="es-ES_tradnl"/>
              </w:rPr>
              <w:t>Índice de utilización</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 xml:space="preserve">Recursos de personal  </w:t>
            </w:r>
          </w:p>
        </w:tc>
        <w:tc>
          <w:tcPr>
            <w:tcW w:w="1692"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345</w:t>
            </w:r>
          </w:p>
        </w:tc>
        <w:tc>
          <w:tcPr>
            <w:tcW w:w="1692"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367</w:t>
            </w:r>
          </w:p>
        </w:tc>
        <w:tc>
          <w:tcPr>
            <w:tcW w:w="1692" w:type="dxa"/>
            <w:tcBorders>
              <w:top w:val="single" w:sz="4" w:space="0" w:color="auto"/>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367</w:t>
            </w:r>
          </w:p>
        </w:tc>
        <w:tc>
          <w:tcPr>
            <w:tcW w:w="1586" w:type="dxa"/>
            <w:tcBorders>
              <w:top w:val="single" w:sz="4" w:space="0" w:color="auto"/>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sz w:val="16"/>
                <w:szCs w:val="16"/>
                <w:lang w:val="es-ES_tradnl"/>
              </w:rPr>
            </w:pPr>
            <w:r w:rsidRPr="00332758">
              <w:rPr>
                <w:rFonts w:cs="Arial"/>
                <w:sz w:val="16"/>
                <w:szCs w:val="16"/>
                <w:lang w:val="es-ES_tradnl"/>
              </w:rPr>
              <w:t>100%</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rPr>
                <w:rFonts w:cs="Arial"/>
                <w:color w:val="808080"/>
                <w:sz w:val="16"/>
                <w:szCs w:val="16"/>
                <w:lang w:val="es-ES_tradnl"/>
              </w:rPr>
            </w:pPr>
            <w:r w:rsidRPr="00332758">
              <w:rPr>
                <w:rFonts w:cs="Arial"/>
                <w:sz w:val="16"/>
                <w:szCs w:val="16"/>
                <w:lang w:val="es-ES_tradnl"/>
              </w:rPr>
              <w:t xml:space="preserve">Recursos no relativos al personal </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7.330</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6.870</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color w:val="808080"/>
                <w:sz w:val="16"/>
                <w:szCs w:val="16"/>
                <w:lang w:val="es-ES_tradnl"/>
              </w:rPr>
            </w:pPr>
            <w:r w:rsidRPr="00332758">
              <w:rPr>
                <w:rFonts w:cs="Arial"/>
                <w:sz w:val="16"/>
                <w:szCs w:val="16"/>
                <w:lang w:val="es-ES_tradnl"/>
              </w:rPr>
              <w:t>6.717</w:t>
            </w:r>
          </w:p>
        </w:tc>
        <w:tc>
          <w:tcPr>
            <w:tcW w:w="1586" w:type="dxa"/>
            <w:tcBorders>
              <w:top w:val="nil"/>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sz w:val="16"/>
                <w:szCs w:val="16"/>
                <w:lang w:val="es-ES_tradnl"/>
              </w:rPr>
            </w:pPr>
            <w:r w:rsidRPr="00332758">
              <w:rPr>
                <w:rFonts w:cs="Arial"/>
                <w:sz w:val="16"/>
                <w:szCs w:val="16"/>
                <w:lang w:val="es-ES_tradnl"/>
              </w:rPr>
              <w:t>98%</w:t>
            </w:r>
          </w:p>
        </w:tc>
      </w:tr>
      <w:tr w:rsidR="0053316D" w:rsidRPr="00A34388" w:rsidTr="00AA6702">
        <w:tc>
          <w:tcPr>
            <w:tcW w:w="2709" w:type="dxa"/>
            <w:tcBorders>
              <w:top w:val="nil"/>
              <w:left w:val="single" w:sz="4" w:space="0" w:color="auto"/>
              <w:bottom w:val="single" w:sz="4" w:space="0" w:color="auto"/>
              <w:right w:val="single" w:sz="4" w:space="0" w:color="auto"/>
            </w:tcBorders>
            <w:shd w:val="clear" w:color="auto" w:fill="auto"/>
            <w:noWrap/>
            <w:vAlign w:val="center"/>
          </w:tcPr>
          <w:p w:rsidR="0053316D" w:rsidRPr="00A34388" w:rsidRDefault="0053316D" w:rsidP="00AA6702">
            <w:pPr>
              <w:spacing w:before="120" w:after="120"/>
              <w:jc w:val="right"/>
              <w:rPr>
                <w:rFonts w:cs="Arial"/>
                <w:b/>
                <w:bCs/>
                <w:color w:val="808080"/>
                <w:sz w:val="16"/>
                <w:szCs w:val="16"/>
                <w:lang w:val="es-ES_tradnl"/>
              </w:rPr>
            </w:pPr>
            <w:r w:rsidRPr="00332758">
              <w:rPr>
                <w:rFonts w:cs="Arial"/>
                <w:b/>
                <w:bCs/>
                <w:sz w:val="16"/>
                <w:szCs w:val="16"/>
                <w:lang w:val="es-ES_tradnl"/>
              </w:rPr>
              <w:t xml:space="preserve"> TOTAL </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7.675</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7.237</w:t>
            </w:r>
          </w:p>
        </w:tc>
        <w:tc>
          <w:tcPr>
            <w:tcW w:w="1692" w:type="dxa"/>
            <w:tcBorders>
              <w:top w:val="nil"/>
              <w:left w:val="nil"/>
              <w:bottom w:val="single" w:sz="4" w:space="0" w:color="auto"/>
              <w:right w:val="single" w:sz="4" w:space="0" w:color="auto"/>
            </w:tcBorders>
            <w:shd w:val="clear" w:color="auto" w:fill="auto"/>
            <w:vAlign w:val="center"/>
          </w:tcPr>
          <w:p w:rsidR="0053316D" w:rsidRPr="00A34388" w:rsidRDefault="0053316D" w:rsidP="00AA6702">
            <w:pPr>
              <w:spacing w:before="120" w:after="120"/>
              <w:jc w:val="center"/>
              <w:rPr>
                <w:rFonts w:cs="Arial"/>
                <w:b/>
                <w:bCs/>
                <w:color w:val="808080"/>
                <w:sz w:val="16"/>
                <w:szCs w:val="16"/>
                <w:lang w:val="es-ES_tradnl"/>
              </w:rPr>
            </w:pPr>
            <w:r w:rsidRPr="00332758">
              <w:rPr>
                <w:rFonts w:cs="Arial"/>
                <w:b/>
                <w:bCs/>
                <w:sz w:val="16"/>
                <w:szCs w:val="16"/>
                <w:lang w:val="es-ES_tradnl"/>
              </w:rPr>
              <w:t>7.084</w:t>
            </w:r>
          </w:p>
        </w:tc>
        <w:tc>
          <w:tcPr>
            <w:tcW w:w="1586" w:type="dxa"/>
            <w:tcBorders>
              <w:top w:val="nil"/>
              <w:left w:val="nil"/>
              <w:bottom w:val="single" w:sz="4" w:space="0" w:color="auto"/>
              <w:right w:val="single" w:sz="4" w:space="0" w:color="auto"/>
            </w:tcBorders>
            <w:shd w:val="clear" w:color="auto" w:fill="auto"/>
            <w:vAlign w:val="center"/>
          </w:tcPr>
          <w:p w:rsidR="0053316D" w:rsidRPr="00332758" w:rsidRDefault="0053316D" w:rsidP="00AA6702">
            <w:pPr>
              <w:spacing w:before="120" w:after="120"/>
              <w:jc w:val="center"/>
              <w:rPr>
                <w:rFonts w:cs="Arial"/>
                <w:b/>
                <w:bCs/>
                <w:sz w:val="16"/>
                <w:szCs w:val="16"/>
                <w:lang w:val="es-ES_tradnl"/>
              </w:rPr>
            </w:pPr>
            <w:r w:rsidRPr="00332758">
              <w:rPr>
                <w:rFonts w:cs="Arial"/>
                <w:b/>
                <w:bCs/>
                <w:sz w:val="16"/>
                <w:szCs w:val="16"/>
                <w:lang w:val="es-ES_tradnl"/>
              </w:rPr>
              <w:t>98%</w:t>
            </w:r>
          </w:p>
        </w:tc>
      </w:tr>
    </w:tbl>
    <w:p w:rsidR="0053316D" w:rsidRPr="00A34388" w:rsidRDefault="0053316D" w:rsidP="0053316D">
      <w:pPr>
        <w:rPr>
          <w:rFonts w:asciiTheme="minorHAnsi" w:eastAsiaTheme="minorHAnsi" w:hAnsiTheme="minorHAnsi" w:cstheme="minorBidi"/>
          <w:sz w:val="22"/>
          <w:szCs w:val="22"/>
          <w:lang w:val="es-ES_tradnl"/>
        </w:rPr>
      </w:pPr>
    </w:p>
    <w:p w:rsidR="0053316D" w:rsidRPr="00A34388" w:rsidRDefault="0053316D" w:rsidP="0053316D">
      <w:pPr>
        <w:keepNext/>
        <w:autoSpaceDE w:val="0"/>
        <w:autoSpaceDN w:val="0"/>
        <w:rPr>
          <w:sz w:val="16"/>
          <w:szCs w:val="16"/>
          <w:lang w:val="es-ES_tradnl"/>
        </w:rPr>
      </w:pPr>
      <w:r w:rsidRPr="00332758">
        <w:rPr>
          <w:sz w:val="16"/>
          <w:szCs w:val="16"/>
          <w:lang w:val="es-ES_tradnl"/>
        </w:rPr>
        <w:t>NOTAS:</w:t>
      </w:r>
    </w:p>
    <w:p w:rsidR="0053316D" w:rsidRPr="00A34388" w:rsidRDefault="0053316D" w:rsidP="0053316D">
      <w:pPr>
        <w:keepNext/>
        <w:autoSpaceDE w:val="0"/>
        <w:autoSpaceDN w:val="0"/>
        <w:rPr>
          <w:sz w:val="16"/>
          <w:szCs w:val="16"/>
          <w:lang w:val="es-ES_tradnl"/>
        </w:rPr>
      </w:pPr>
    </w:p>
    <w:p w:rsidR="0053316D" w:rsidRPr="00A34388" w:rsidRDefault="0053316D" w:rsidP="0053316D">
      <w:pPr>
        <w:keepNext/>
        <w:autoSpaceDE w:val="0"/>
        <w:autoSpaceDN w:val="0"/>
        <w:rPr>
          <w:sz w:val="16"/>
          <w:szCs w:val="16"/>
          <w:lang w:val="es-ES_tradnl"/>
        </w:rPr>
      </w:pPr>
      <w:r w:rsidRPr="00332758">
        <w:rPr>
          <w:sz w:val="16"/>
          <w:szCs w:val="16"/>
          <w:lang w:val="es-ES_tradnl"/>
        </w:rPr>
        <w:t>1)  El presupuesto después de las transferencias refleja el presupuesto de los programas ajustado después de las transferencias efectuadas en 2012/13 en virtud del artículo 5.5 del Reglamento Financiero.</w:t>
      </w:r>
    </w:p>
    <w:p w:rsidR="0053316D" w:rsidRPr="00A34388" w:rsidRDefault="0053316D" w:rsidP="0053316D">
      <w:pPr>
        <w:keepNext/>
        <w:autoSpaceDE w:val="0"/>
        <w:autoSpaceDN w:val="0"/>
        <w:rPr>
          <w:sz w:val="16"/>
          <w:szCs w:val="16"/>
          <w:lang w:val="es-ES_tradnl"/>
        </w:rPr>
      </w:pPr>
    </w:p>
    <w:p w:rsidR="0053316D" w:rsidRPr="00A34388" w:rsidRDefault="0053316D" w:rsidP="004C0FD5">
      <w:pPr>
        <w:keepNext/>
        <w:autoSpaceDE w:val="0"/>
        <w:autoSpaceDN w:val="0"/>
        <w:jc w:val="both"/>
        <w:rPr>
          <w:sz w:val="16"/>
          <w:szCs w:val="16"/>
          <w:lang w:val="es-ES_tradnl"/>
        </w:rPr>
      </w:pPr>
      <w:r w:rsidRPr="00A34388">
        <w:rPr>
          <w:sz w:val="16"/>
          <w:szCs w:val="16"/>
          <w:lang w:val="es-ES_tradnl"/>
        </w:rPr>
        <w:t xml:space="preserve">2)  La asignación para el personal del presupuesto de 2012/13 después de las transferencias representa los gastos reales efectuados en el bienio.  </w:t>
      </w:r>
    </w:p>
    <w:p w:rsidR="0053316D" w:rsidRPr="00A34388" w:rsidRDefault="0053316D" w:rsidP="004C0FD5">
      <w:pPr>
        <w:jc w:val="both"/>
        <w:rPr>
          <w:rFonts w:asciiTheme="minorHAnsi" w:eastAsiaTheme="minorHAnsi" w:hAnsiTheme="minorHAnsi" w:cstheme="minorBidi"/>
          <w:sz w:val="22"/>
          <w:szCs w:val="22"/>
          <w:lang w:val="es-ES_tradnl"/>
        </w:rPr>
      </w:pPr>
    </w:p>
    <w:p w:rsidR="0053316D" w:rsidRPr="00A34388" w:rsidRDefault="0053316D" w:rsidP="0053316D">
      <w:pPr>
        <w:rPr>
          <w:rFonts w:cs="Arial"/>
          <w:sz w:val="22"/>
          <w:szCs w:val="22"/>
          <w:lang w:val="es-ES_tradnl"/>
        </w:rPr>
      </w:pPr>
    </w:p>
    <w:p w:rsidR="0053316D" w:rsidRPr="00A34388" w:rsidRDefault="0053316D" w:rsidP="0053316D">
      <w:pPr>
        <w:tabs>
          <w:tab w:val="left" w:pos="709"/>
        </w:tabs>
        <w:rPr>
          <w:rFonts w:cs="Arial"/>
          <w:szCs w:val="20"/>
          <w:u w:val="single"/>
          <w:lang w:val="es-ES_tradnl"/>
        </w:rPr>
      </w:pPr>
      <w:r w:rsidRPr="00332758">
        <w:rPr>
          <w:rFonts w:cs="Arial"/>
          <w:szCs w:val="20"/>
          <w:lang w:val="es-ES_tradnl"/>
        </w:rPr>
        <w:t>A.</w:t>
      </w:r>
      <w:r w:rsidRPr="00332758">
        <w:rPr>
          <w:rFonts w:cs="Arial"/>
          <w:szCs w:val="20"/>
          <w:lang w:val="es-ES_tradnl"/>
        </w:rPr>
        <w:tab/>
      </w:r>
      <w:r w:rsidRPr="00332758">
        <w:rPr>
          <w:rFonts w:cs="Arial"/>
          <w:szCs w:val="20"/>
          <w:u w:val="single"/>
          <w:lang w:val="es-ES_tradnl"/>
        </w:rPr>
        <w:t>Presupuesto 2012/13 después de las transferencias</w:t>
      </w:r>
    </w:p>
    <w:p w:rsidR="0053316D" w:rsidRPr="00A34388" w:rsidRDefault="0053316D" w:rsidP="0053316D">
      <w:pPr>
        <w:tabs>
          <w:tab w:val="left" w:pos="709"/>
        </w:tabs>
        <w:rPr>
          <w:rFonts w:cs="Arial"/>
          <w:szCs w:val="20"/>
          <w:lang w:val="es-ES_tradnl"/>
        </w:rPr>
      </w:pPr>
    </w:p>
    <w:p w:rsidR="0053316D" w:rsidRPr="00A34388" w:rsidRDefault="0053316D" w:rsidP="0053316D">
      <w:pPr>
        <w:keepNext/>
        <w:tabs>
          <w:tab w:val="left" w:pos="709"/>
        </w:tabs>
        <w:autoSpaceDE w:val="0"/>
        <w:autoSpaceDN w:val="0"/>
        <w:jc w:val="both"/>
        <w:rPr>
          <w:szCs w:val="20"/>
          <w:lang w:val="es-ES_tradnl"/>
        </w:rPr>
      </w:pPr>
      <w:r w:rsidRPr="00332758">
        <w:rPr>
          <w:szCs w:val="20"/>
          <w:lang w:val="es-ES_tradnl"/>
        </w:rPr>
        <w:t>29.5.</w:t>
      </w:r>
      <w:r w:rsidRPr="00332758">
        <w:rPr>
          <w:szCs w:val="20"/>
          <w:lang w:val="es-ES_tradnl"/>
        </w:rPr>
        <w:tab/>
        <w:t>La asignación no relativa al personal del presupuesto de 2012/13 después de las transferencias refleja los ajustes a la baja efectuados para aumentar la eficacia en función de los costos, de conformidad con el compromiso de la Organización de reducir gastos por un importe de 10,2 millones de francos suizos en el bienio 2012/13.</w:t>
      </w:r>
    </w:p>
    <w:p w:rsidR="0053316D" w:rsidRPr="00A34388" w:rsidRDefault="0053316D" w:rsidP="0053316D">
      <w:pPr>
        <w:tabs>
          <w:tab w:val="left" w:pos="709"/>
        </w:tabs>
        <w:jc w:val="both"/>
        <w:rPr>
          <w:rFonts w:cs="Arial"/>
          <w:szCs w:val="20"/>
          <w:lang w:val="es-ES_tradnl"/>
        </w:rPr>
      </w:pPr>
    </w:p>
    <w:p w:rsidR="0053316D" w:rsidRPr="00A34388" w:rsidRDefault="0053316D" w:rsidP="0053316D">
      <w:pPr>
        <w:tabs>
          <w:tab w:val="left" w:pos="709"/>
        </w:tabs>
        <w:jc w:val="both"/>
        <w:rPr>
          <w:rFonts w:cs="Arial"/>
          <w:szCs w:val="20"/>
          <w:lang w:val="es-ES_tradnl"/>
        </w:rPr>
      </w:pPr>
      <w:r w:rsidRPr="00A34388">
        <w:rPr>
          <w:rFonts w:cs="Arial"/>
          <w:szCs w:val="20"/>
          <w:lang w:val="es-ES_tradnl"/>
        </w:rPr>
        <w:t>B.</w:t>
      </w:r>
      <w:r w:rsidRPr="00A34388">
        <w:rPr>
          <w:rFonts w:cs="Arial"/>
          <w:szCs w:val="20"/>
          <w:lang w:val="es-ES_tradnl"/>
        </w:rPr>
        <w:tab/>
      </w:r>
      <w:r w:rsidRPr="00A34388">
        <w:rPr>
          <w:rFonts w:cs="Arial"/>
          <w:szCs w:val="20"/>
          <w:u w:val="single"/>
          <w:lang w:val="es-ES_tradnl"/>
        </w:rPr>
        <w:t>Utilización del presupuesto</w:t>
      </w:r>
      <w:r w:rsidR="009344B7" w:rsidRPr="00A34388">
        <w:rPr>
          <w:u w:val="single"/>
          <w:lang w:val="es-ES_tradnl"/>
        </w:rPr>
        <w:t xml:space="preserve"> en 2012/13</w:t>
      </w:r>
      <w:r w:rsidRPr="00A34388">
        <w:rPr>
          <w:rFonts w:cs="Arial"/>
          <w:szCs w:val="20"/>
          <w:u w:val="single"/>
          <w:lang w:val="es-ES_tradnl"/>
        </w:rPr>
        <w:t xml:space="preserve"> </w:t>
      </w:r>
    </w:p>
    <w:p w:rsidR="0053316D" w:rsidRPr="00A34388" w:rsidRDefault="0053316D" w:rsidP="0053316D">
      <w:pPr>
        <w:keepNext/>
        <w:keepLines/>
        <w:tabs>
          <w:tab w:val="left" w:pos="709"/>
        </w:tabs>
        <w:jc w:val="both"/>
        <w:rPr>
          <w:rFonts w:cs="Arial"/>
          <w:szCs w:val="20"/>
          <w:lang w:val="es-ES_tradnl"/>
        </w:rPr>
      </w:pPr>
    </w:p>
    <w:p w:rsidR="00020026" w:rsidRPr="00A34388" w:rsidRDefault="0053316D" w:rsidP="0053316D">
      <w:pPr>
        <w:tabs>
          <w:tab w:val="left" w:pos="709"/>
        </w:tabs>
        <w:autoSpaceDE w:val="0"/>
        <w:autoSpaceDN w:val="0"/>
        <w:adjustRightInd w:val="0"/>
        <w:jc w:val="both"/>
        <w:rPr>
          <w:rFonts w:eastAsia="Batang" w:cs="Arial"/>
          <w:szCs w:val="20"/>
          <w:lang w:val="es-ES_tradnl" w:eastAsia="ko-KR"/>
        </w:rPr>
      </w:pPr>
      <w:r w:rsidRPr="00A34388">
        <w:rPr>
          <w:rFonts w:eastAsia="Batang" w:cs="Arial"/>
          <w:szCs w:val="20"/>
          <w:lang w:val="es-ES_tradnl" w:eastAsia="ko-KR"/>
        </w:rPr>
        <w:t>29.6.</w:t>
      </w:r>
      <w:r w:rsidRPr="00A34388">
        <w:rPr>
          <w:rFonts w:eastAsia="Batang" w:cs="Arial"/>
          <w:szCs w:val="20"/>
          <w:lang w:val="es-ES_tradnl" w:eastAsia="ko-KR"/>
        </w:rPr>
        <w:tab/>
      </w:r>
      <w:r w:rsidR="00020026" w:rsidRPr="00A34388">
        <w:rPr>
          <w:rFonts w:eastAsia="Batang" w:cs="Arial"/>
          <w:szCs w:val="20"/>
          <w:lang w:val="es-ES_tradnl" w:eastAsia="ko-KR"/>
        </w:rPr>
        <w:t xml:space="preserve">En general, durante el bienio la utilización del presupuesto </w:t>
      </w:r>
      <w:r w:rsidR="006628FD" w:rsidRPr="00A34388">
        <w:rPr>
          <w:rFonts w:eastAsia="Batang" w:cs="Arial"/>
          <w:szCs w:val="20"/>
          <w:lang w:val="es-ES_tradnl" w:eastAsia="ko-KR"/>
        </w:rPr>
        <w:t xml:space="preserve">a cargo </w:t>
      </w:r>
      <w:r w:rsidR="007C4A03" w:rsidRPr="00A34388">
        <w:rPr>
          <w:rFonts w:eastAsia="Batang" w:cs="Arial"/>
          <w:szCs w:val="20"/>
          <w:lang w:val="es-ES_tradnl" w:eastAsia="ko-KR"/>
        </w:rPr>
        <w:t xml:space="preserve">del </w:t>
      </w:r>
      <w:r w:rsidR="00020026" w:rsidRPr="00A34388">
        <w:rPr>
          <w:rFonts w:eastAsia="Batang" w:cs="Arial"/>
          <w:szCs w:val="20"/>
          <w:lang w:val="es-ES_tradnl" w:eastAsia="ko-KR"/>
        </w:rPr>
        <w:t xml:space="preserve">programa fue acorde con el presupuesto 2012/13 después de las transferencias. </w:t>
      </w:r>
    </w:p>
    <w:p w:rsidR="0053316D" w:rsidRPr="00A34388" w:rsidRDefault="0053316D" w:rsidP="0053316D">
      <w:pPr>
        <w:rPr>
          <w:lang w:val="es-ES_tradnl"/>
        </w:rPr>
      </w:pPr>
    </w:p>
    <w:p w:rsidR="0053316D" w:rsidRPr="00A34388" w:rsidRDefault="0053316D" w:rsidP="0053316D">
      <w:pPr>
        <w:tabs>
          <w:tab w:val="left" w:pos="5387"/>
        </w:tabs>
        <w:rPr>
          <w:lang w:val="es-ES_tradnl"/>
        </w:rPr>
      </w:pPr>
      <w:r w:rsidRPr="00A34388">
        <w:rPr>
          <w:lang w:val="es-ES_tradnl"/>
        </w:rPr>
        <w:tab/>
        <w:t>[Sigue el Apéndice I]</w:t>
      </w:r>
    </w:p>
    <w:p w:rsidR="0053316D" w:rsidRPr="00A34388" w:rsidRDefault="0053316D" w:rsidP="0053316D">
      <w:pPr>
        <w:rPr>
          <w:lang w:val="es-ES_tradnl"/>
        </w:rPr>
      </w:pPr>
    </w:p>
    <w:p w:rsidR="00197073" w:rsidRPr="00A34388" w:rsidRDefault="00197073" w:rsidP="00197073">
      <w:pPr>
        <w:tabs>
          <w:tab w:val="left" w:pos="709"/>
        </w:tabs>
        <w:autoSpaceDE w:val="0"/>
        <w:autoSpaceDN w:val="0"/>
        <w:adjustRightInd w:val="0"/>
        <w:jc w:val="both"/>
        <w:rPr>
          <w:rFonts w:eastAsia="Batang" w:cs="Arial"/>
          <w:szCs w:val="20"/>
          <w:lang w:val="es-ES_tradnl" w:eastAsia="ko-KR"/>
        </w:rPr>
      </w:pPr>
    </w:p>
    <w:p w:rsidR="00197073" w:rsidRPr="00A34388" w:rsidRDefault="00197073" w:rsidP="00197073">
      <w:pPr>
        <w:keepNext/>
        <w:keepLines/>
        <w:tabs>
          <w:tab w:val="left" w:pos="709"/>
        </w:tabs>
        <w:rPr>
          <w:rFonts w:cs="Arial"/>
          <w:szCs w:val="20"/>
          <w:lang w:val="es-ES_tradnl"/>
        </w:rPr>
      </w:pPr>
    </w:p>
    <w:p w:rsidR="00197073" w:rsidRPr="00A34388" w:rsidRDefault="00197073" w:rsidP="00197073">
      <w:pPr>
        <w:rPr>
          <w:rFonts w:eastAsia="SimSun"/>
          <w:color w:val="000000"/>
          <w:szCs w:val="20"/>
          <w:lang w:val="es-ES_tradnl" w:eastAsia="zh-CN"/>
        </w:rPr>
        <w:sectPr w:rsidR="00197073" w:rsidRPr="00A34388" w:rsidSect="00F5618A">
          <w:headerReference w:type="default" r:id="rId79"/>
          <w:footerReference w:type="default" r:id="rId80"/>
          <w:pgSz w:w="11907" w:h="16840" w:code="9"/>
          <w:pgMar w:top="567" w:right="1134" w:bottom="993" w:left="1418" w:header="510" w:footer="1021" w:gutter="0"/>
          <w:pgNumType w:start="1"/>
          <w:cols w:space="720"/>
          <w:docGrid w:linePitch="272"/>
        </w:sectPr>
      </w:pPr>
    </w:p>
    <w:p w:rsidR="00197073" w:rsidRPr="00A34388" w:rsidRDefault="00197073" w:rsidP="00197073">
      <w:pPr>
        <w:pStyle w:val="Heading1"/>
        <w:rPr>
          <w:lang w:val="es-ES_tradnl"/>
        </w:rPr>
      </w:pPr>
      <w:bookmarkStart w:id="110" w:name="_Toc395277648"/>
      <w:bookmarkStart w:id="111" w:name="_Toc395279691"/>
      <w:r w:rsidRPr="00A34388">
        <w:rPr>
          <w:lang w:val="es-ES_tradnl"/>
        </w:rPr>
        <w:lastRenderedPageBreak/>
        <w:t>APÉNDICES</w:t>
      </w:r>
      <w:bookmarkEnd w:id="110"/>
      <w:bookmarkEnd w:id="111"/>
    </w:p>
    <w:p w:rsidR="00CE1561" w:rsidRPr="00A34388" w:rsidRDefault="00CE1561" w:rsidP="001F2211">
      <w:pPr>
        <w:rPr>
          <w:lang w:val="es-ES_tradnl"/>
        </w:rPr>
      </w:pPr>
    </w:p>
    <w:p w:rsidR="001F2211" w:rsidRPr="003934C8" w:rsidRDefault="001F2211" w:rsidP="001F2211">
      <w:pPr>
        <w:pStyle w:val="Heading4"/>
        <w:rPr>
          <w:lang w:val="es-ES"/>
        </w:rPr>
      </w:pPr>
      <w:bookmarkStart w:id="112" w:name="_Toc392852672"/>
      <w:bookmarkStart w:id="113" w:name="_Toc395279692"/>
      <w:r w:rsidRPr="003934C8">
        <w:rPr>
          <w:lang w:val="es-ES"/>
        </w:rPr>
        <w:t>Apéndice I</w:t>
      </w:r>
      <w:r w:rsidRPr="003934C8">
        <w:rPr>
          <w:lang w:val="es-ES"/>
        </w:rPr>
        <w:br/>
      </w:r>
      <w:r w:rsidRPr="003934C8">
        <w:rPr>
          <w:lang w:val="es-ES"/>
        </w:rPr>
        <w:br/>
        <w:t>Desglose de la evaluación del rendimiento de cada program</w:t>
      </w:r>
      <w:bookmarkEnd w:id="112"/>
      <w:r w:rsidRPr="003934C8">
        <w:rPr>
          <w:lang w:val="es-ES"/>
        </w:rPr>
        <w:t>a</w:t>
      </w:r>
      <w:bookmarkEnd w:id="113"/>
      <w:r w:rsidRPr="003934C8">
        <w:rPr>
          <w:lang w:val="es-ES"/>
        </w:rPr>
        <w:t xml:space="preserve"> </w:t>
      </w:r>
    </w:p>
    <w:p w:rsidR="00CE1561" w:rsidRPr="001F2211" w:rsidRDefault="00CE1561" w:rsidP="00CE1561">
      <w:pPr>
        <w:jc w:val="both"/>
        <w:rPr>
          <w:lang w:val="es-ES"/>
        </w:rPr>
      </w:pPr>
    </w:p>
    <w:p w:rsidR="00CE1561" w:rsidRPr="00332758" w:rsidRDefault="00CE1561" w:rsidP="00CE1561">
      <w:pPr>
        <w:jc w:val="both"/>
        <w:rPr>
          <w:lang w:val="es-ES_tradnl"/>
        </w:rPr>
      </w:pPr>
      <w:r w:rsidRPr="00332758">
        <w:rPr>
          <w:lang w:val="es-ES_tradnl"/>
        </w:rPr>
        <w:t>La evaluación del rendimiento de cada uno de los programas que se incluyen en el informe PPR 2012/13 comprende las siguientes secciones:</w:t>
      </w:r>
    </w:p>
    <w:p w:rsidR="00CE1561" w:rsidRPr="00A34388" w:rsidRDefault="00CE1561" w:rsidP="00CE1561">
      <w:pPr>
        <w:jc w:val="both"/>
        <w:rPr>
          <w:i/>
          <w:iCs/>
          <w:lang w:val="es-ES_tradnl"/>
        </w:rPr>
      </w:pPr>
    </w:p>
    <w:p w:rsidR="00CE1561" w:rsidRPr="00A34388" w:rsidRDefault="00CE1561" w:rsidP="00CE1561">
      <w:pPr>
        <w:jc w:val="both"/>
        <w:rPr>
          <w:bCs/>
          <w:i/>
          <w:iCs/>
          <w:szCs w:val="22"/>
          <w:lang w:val="es-ES_tradnl"/>
        </w:rPr>
      </w:pPr>
      <w:r w:rsidRPr="00A34388">
        <w:rPr>
          <w:i/>
          <w:iCs/>
          <w:lang w:val="es-ES_tradnl"/>
        </w:rPr>
        <w:t>Sección I:  Reseña de los a</w:t>
      </w:r>
      <w:r w:rsidRPr="00A34388">
        <w:rPr>
          <w:bCs/>
          <w:i/>
          <w:iCs/>
          <w:lang w:val="es-ES_tradnl"/>
        </w:rPr>
        <w:t>vances logrados en el bienio 2012/13</w:t>
      </w:r>
    </w:p>
    <w:p w:rsidR="00CE1561" w:rsidRPr="00A34388" w:rsidRDefault="00CE1561" w:rsidP="00CE1561">
      <w:pPr>
        <w:jc w:val="both"/>
        <w:rPr>
          <w:lang w:val="es-ES_tradnl"/>
        </w:rPr>
      </w:pPr>
    </w:p>
    <w:p w:rsidR="00CE1561" w:rsidRPr="00A34388" w:rsidRDefault="00CE1561" w:rsidP="00CE1561">
      <w:pPr>
        <w:jc w:val="both"/>
        <w:rPr>
          <w:lang w:val="es-ES_tradnl"/>
        </w:rPr>
      </w:pPr>
      <w:r w:rsidRPr="00A34388">
        <w:rPr>
          <w:lang w:val="es-ES_tradnl"/>
        </w:rPr>
        <w:t>Esta sección ofrece un resumen analítico de los resultados logrados por programa en el bienio 2010-2011 y las dificultades experimentadas durante el período examinado.</w:t>
      </w:r>
    </w:p>
    <w:p w:rsidR="00CE1561" w:rsidRPr="00332758" w:rsidRDefault="00CE1561" w:rsidP="00CE1561">
      <w:pPr>
        <w:jc w:val="both"/>
        <w:rPr>
          <w:i/>
          <w:iCs/>
          <w:lang w:val="es-ES_tradnl"/>
        </w:rPr>
      </w:pPr>
    </w:p>
    <w:p w:rsidR="00CE1561" w:rsidRPr="00332758" w:rsidRDefault="00CE1561" w:rsidP="00CE1561">
      <w:pPr>
        <w:jc w:val="both"/>
        <w:rPr>
          <w:i/>
          <w:iCs/>
          <w:lang w:val="es-ES_tradnl"/>
        </w:rPr>
      </w:pPr>
      <w:r w:rsidRPr="00332758">
        <w:rPr>
          <w:i/>
          <w:iCs/>
          <w:lang w:val="es-ES_tradnl"/>
        </w:rPr>
        <w:t>Sección II:  Aplicación de la Agenda para el Desarrollo</w:t>
      </w:r>
    </w:p>
    <w:p w:rsidR="00CE1561" w:rsidRPr="00332758" w:rsidRDefault="00CE1561" w:rsidP="00CE1561">
      <w:pPr>
        <w:jc w:val="both"/>
        <w:rPr>
          <w:lang w:val="es-ES_tradnl"/>
        </w:rPr>
      </w:pPr>
    </w:p>
    <w:p w:rsidR="00CE1561" w:rsidRPr="00A34388" w:rsidRDefault="00CE1561" w:rsidP="00CE1561">
      <w:pPr>
        <w:autoSpaceDE w:val="0"/>
        <w:autoSpaceDN w:val="0"/>
        <w:adjustRightInd w:val="0"/>
        <w:jc w:val="both"/>
        <w:rPr>
          <w:rFonts w:ascii="ArialMT" w:hAnsi="ArialMT" w:cs="ArialMT"/>
          <w:lang w:val="es-ES_tradnl" w:bidi="th-TH"/>
        </w:rPr>
      </w:pPr>
      <w:r w:rsidRPr="00332758">
        <w:rPr>
          <w:lang w:val="es-ES_tradnl"/>
        </w:rPr>
        <w:t>En esta sección se aborda el papel del programa y su contribución a la aplicación de la Agenda para el Desarrollo (A.D.).</w:t>
      </w:r>
      <w:r w:rsidRPr="00A34388">
        <w:rPr>
          <w:lang w:val="es-ES_tradnl"/>
        </w:rPr>
        <w:t xml:space="preserve">  </w:t>
      </w:r>
      <w:r w:rsidRPr="00332758">
        <w:rPr>
          <w:lang w:val="es-ES_tradnl"/>
        </w:rPr>
        <w:t>En consonancia con el proceso presupuestario aplicado a los proyectos propuestos por el Comité de Desarrollo y Propiedad Intelectual (CDIP) para dar aplicación a las recomendaciones de la A.D., aprobado por las Asambleas de la OMPI en 2010</w:t>
      </w:r>
      <w:r w:rsidRPr="00A34388">
        <w:rPr>
          <w:rStyle w:val="FootnoteReference"/>
          <w:rFonts w:ascii="ArialMT" w:hAnsi="ArialMT" w:cs="ArialMT"/>
          <w:lang w:val="es-ES_tradnl" w:bidi="th-TH"/>
        </w:rPr>
        <w:footnoteReference w:id="47"/>
      </w:r>
      <w:r w:rsidRPr="00332758">
        <w:rPr>
          <w:lang w:val="es-ES_tradnl"/>
        </w:rPr>
        <w:t>, en la información relativa a la A.D. se incluyen datos detallados tanto sobre la ejecución de los proyectos de la A.D. como sobre sus recomendaciones.</w:t>
      </w:r>
    </w:p>
    <w:p w:rsidR="00CE1561" w:rsidRPr="00332758" w:rsidRDefault="00CE1561" w:rsidP="00CE1561">
      <w:pPr>
        <w:jc w:val="both"/>
        <w:rPr>
          <w:i/>
          <w:iCs/>
          <w:lang w:val="es-ES_tradnl"/>
        </w:rPr>
      </w:pPr>
    </w:p>
    <w:p w:rsidR="00CE1561" w:rsidRPr="00332758" w:rsidRDefault="00CE1561" w:rsidP="00CE1561">
      <w:pPr>
        <w:jc w:val="both"/>
        <w:rPr>
          <w:i/>
          <w:iCs/>
          <w:lang w:val="es-ES_tradnl"/>
        </w:rPr>
      </w:pPr>
      <w:r w:rsidRPr="00332758">
        <w:rPr>
          <w:i/>
          <w:iCs/>
          <w:lang w:val="es-ES_tradnl"/>
        </w:rPr>
        <w:t>Sección III:  Datos sobre el rendimiento</w:t>
      </w:r>
    </w:p>
    <w:p w:rsidR="00CE1561" w:rsidRPr="00A34388" w:rsidRDefault="00CE1561" w:rsidP="00CE1561">
      <w:pPr>
        <w:jc w:val="both"/>
        <w:rPr>
          <w:lang w:val="es-ES_tradnl"/>
        </w:rPr>
      </w:pPr>
    </w:p>
    <w:p w:rsidR="00CE1561" w:rsidRPr="00A34388" w:rsidRDefault="00CE1561" w:rsidP="00CE1561">
      <w:pPr>
        <w:jc w:val="both"/>
        <w:rPr>
          <w:lang w:val="es-ES_tradnl"/>
        </w:rPr>
      </w:pPr>
      <w:r w:rsidRPr="00332758">
        <w:rPr>
          <w:lang w:val="es-ES_tradnl"/>
        </w:rPr>
        <w:t xml:space="preserve">En el cuadro que se incluye en esta sección se resumen los resultados previstos a cuya consecución contribuye el programa así como los indicadores de rendimiento aprobados por los Estados miembros en el presupuesto por programas del bienio 2012/13.  Se han actualizado, según corresponda, las referencias con el fin de reflejar la situación existente a finales de 2011.  </w:t>
      </w:r>
      <w:r w:rsidRPr="00A34388">
        <w:rPr>
          <w:lang w:val="es-ES_tradnl"/>
        </w:rPr>
        <w:t>Conforme a las peticiones de los</w:t>
      </w:r>
      <w:r w:rsidRPr="00332758">
        <w:rPr>
          <w:lang w:val="es-ES_tradnl"/>
        </w:rPr>
        <w:t xml:space="preserve"> </w:t>
      </w:r>
      <w:r w:rsidRPr="00A34388">
        <w:rPr>
          <w:lang w:val="es-ES_tradnl"/>
        </w:rPr>
        <w:t xml:space="preserve">Estados miembros, en 2012/13 se mejoraron los cuadros de los datos de rendimiento a fin de reflejar las referencias originales (de acuerdo con el presupuesto por programas del bienio 2012/13), las referencias actualizadas (con datos de finales de 2011), y los objetivos (de acuerdo con el presupuesto por programas del bienio 2012/13) a efectos comparativos en relación con los datos y evaluaciones de rendimiento.  </w:t>
      </w:r>
      <w:r w:rsidRPr="00332758">
        <w:rPr>
          <w:lang w:val="es-ES_tradnl"/>
        </w:rPr>
        <w:t>En la cuarta columna se presentan los datos sobre el rendimiento en 2012/13 correspondientes a cada indicador.  En la quinta columna se evalúa el rendimiento mediante la "clave de los colores".</w:t>
      </w:r>
      <w:r w:rsidRPr="00A34388">
        <w:rPr>
          <w:lang w:val="es-ES_tradnl"/>
        </w:rPr>
        <w:t xml:space="preserve">  </w:t>
      </w:r>
    </w:p>
    <w:p w:rsidR="00CE1561" w:rsidRPr="00A34388" w:rsidRDefault="00CE1561" w:rsidP="00CE1561">
      <w:pPr>
        <w:jc w:val="both"/>
        <w:rPr>
          <w:i/>
          <w:iCs/>
          <w:lang w:val="es-ES_tradnl"/>
        </w:rPr>
      </w:pPr>
    </w:p>
    <w:p w:rsidR="00CE1561" w:rsidRPr="00332758" w:rsidRDefault="00CE1561" w:rsidP="00CE1561">
      <w:pPr>
        <w:jc w:val="both"/>
        <w:rPr>
          <w:i/>
          <w:iCs/>
          <w:lang w:val="es-ES_tradnl"/>
        </w:rPr>
      </w:pPr>
      <w:r w:rsidRPr="00332758">
        <w:rPr>
          <w:i/>
          <w:iCs/>
          <w:lang w:val="es-ES_tradnl"/>
        </w:rPr>
        <w:t>Sección IV:  Presupuesto y gastos reales en 2012</w:t>
      </w:r>
    </w:p>
    <w:p w:rsidR="00CE1561" w:rsidRPr="00A34388" w:rsidRDefault="00CE1561" w:rsidP="00CE1561">
      <w:pPr>
        <w:jc w:val="both"/>
        <w:rPr>
          <w:lang w:val="es-ES_tradnl"/>
        </w:rPr>
      </w:pPr>
    </w:p>
    <w:p w:rsidR="00CE1561" w:rsidRPr="00A34388" w:rsidRDefault="00CE1561" w:rsidP="00CE1561">
      <w:pPr>
        <w:tabs>
          <w:tab w:val="left" w:pos="851"/>
        </w:tabs>
        <w:jc w:val="both"/>
        <w:rPr>
          <w:lang w:val="es-ES_tradnl"/>
        </w:rPr>
      </w:pPr>
      <w:r w:rsidRPr="00332758">
        <w:rPr>
          <w:lang w:val="es-ES_tradnl"/>
        </w:rPr>
        <w:t xml:space="preserve">En la última sección se ofrece información sobre el presupuesto aprobado para el bienio 2012/13, el presupuesto después de las transferencias en 2012/13, los gastos reales y la utilización del presupuesto en el bienio.  </w:t>
      </w:r>
      <w:r w:rsidRPr="00A34388">
        <w:rPr>
          <w:lang w:val="es-ES_tradnl"/>
        </w:rPr>
        <w:t>La información que se proporciona en esta sección ha sido mejorada para el bienio 2012/13 e incluye dos cuadros:</w:t>
      </w:r>
    </w:p>
    <w:p w:rsidR="00CE1561" w:rsidRPr="00A34388" w:rsidRDefault="00CE1561" w:rsidP="00CE1561">
      <w:pPr>
        <w:jc w:val="both"/>
        <w:rPr>
          <w:lang w:val="es-ES_tradnl"/>
        </w:rPr>
      </w:pPr>
    </w:p>
    <w:p w:rsidR="00CE1561" w:rsidRPr="00332758" w:rsidRDefault="00CE1561" w:rsidP="00CE1561">
      <w:pPr>
        <w:jc w:val="both"/>
        <w:rPr>
          <w:lang w:val="es-ES_tradnl"/>
        </w:rPr>
      </w:pPr>
      <w:r w:rsidRPr="00332758">
        <w:rPr>
          <w:lang w:val="es-ES_tradnl"/>
        </w:rPr>
        <w:t xml:space="preserve">En el cuadro denominado </w:t>
      </w:r>
      <w:r w:rsidRPr="00332758">
        <w:rPr>
          <w:i/>
          <w:lang w:val="es-ES_tradnl"/>
        </w:rPr>
        <w:t>Presupuesto y gastos reales (por resultado)</w:t>
      </w:r>
      <w:r w:rsidRPr="00332758">
        <w:rPr>
          <w:lang w:val="es-ES_tradnl"/>
        </w:rPr>
        <w:t xml:space="preserve"> se ofrece por primera vez información sobre el presupuesto aprobado para el bienio 2012/13, el presupuesto después de las transferencias en 2012/13 y los gastos reales respecto de cada resultado en el bienio.</w:t>
      </w:r>
    </w:p>
    <w:p w:rsidR="00CE1561" w:rsidRPr="00A34388" w:rsidRDefault="00CE1561" w:rsidP="00CE1561">
      <w:pPr>
        <w:jc w:val="both"/>
        <w:rPr>
          <w:lang w:val="es-ES_tradnl"/>
        </w:rPr>
      </w:pPr>
    </w:p>
    <w:p w:rsidR="00CE1561" w:rsidRPr="00A34388" w:rsidRDefault="00CE1561" w:rsidP="00CE1561">
      <w:pPr>
        <w:jc w:val="both"/>
        <w:rPr>
          <w:lang w:val="es-ES_tradnl"/>
        </w:rPr>
      </w:pPr>
      <w:r w:rsidRPr="00332758">
        <w:rPr>
          <w:lang w:val="es-ES_tradnl"/>
        </w:rPr>
        <w:t xml:space="preserve">En el cuadro </w:t>
      </w:r>
      <w:r w:rsidRPr="00332758">
        <w:rPr>
          <w:i/>
          <w:lang w:val="es-ES_tradnl"/>
        </w:rPr>
        <w:t xml:space="preserve">Gastos reales </w:t>
      </w:r>
      <w:r w:rsidR="00CB0549">
        <w:rPr>
          <w:i/>
          <w:lang w:val="es-ES_tradnl"/>
        </w:rPr>
        <w:t>(de personal y no relativos al personal)</w:t>
      </w:r>
      <w:r w:rsidRPr="00332758">
        <w:rPr>
          <w:i/>
          <w:lang w:val="es-ES_tradnl"/>
        </w:rPr>
        <w:t xml:space="preserve"> </w:t>
      </w:r>
      <w:r w:rsidRPr="00332758">
        <w:rPr>
          <w:lang w:val="es-ES_tradnl"/>
        </w:rPr>
        <w:t>se ofrece información acerca del presupuesto aprobado para el bienio 2012/13, el presupuesto después de las transferencias en 2012/13 y los gastos reales (de personal y no relat</w:t>
      </w:r>
      <w:r w:rsidR="00400B0C">
        <w:rPr>
          <w:lang w:val="es-ES_tradnl"/>
        </w:rPr>
        <w:t>ivos al personal) realizados en </w:t>
      </w:r>
      <w:r w:rsidRPr="00332758">
        <w:rPr>
          <w:lang w:val="es-ES_tradnl"/>
        </w:rPr>
        <w:t>2012/13.</w:t>
      </w:r>
      <w:r w:rsidRPr="00A34388">
        <w:rPr>
          <w:lang w:val="es-ES_tradnl"/>
        </w:rPr>
        <w:t xml:space="preserve">  Se incluyen explicaciones de las diferencias entre el presupuesto aprobado y el presupuesto después de las trasferencias, así como de la utilización del presupuesto, teniendo en cuenta tanto una perspectiva de resultados como una perspectiva del tipo de gastos (de personal y no relativos al personal).</w:t>
      </w:r>
    </w:p>
    <w:p w:rsidR="00CE1561" w:rsidRPr="00A34388" w:rsidRDefault="00CE1561" w:rsidP="00CE1561">
      <w:pPr>
        <w:jc w:val="both"/>
        <w:rPr>
          <w:lang w:val="es-ES_tradnl"/>
        </w:rPr>
      </w:pPr>
    </w:p>
    <w:p w:rsidR="00197073" w:rsidRPr="00A34388" w:rsidRDefault="00CE1561" w:rsidP="00CE1561">
      <w:pPr>
        <w:autoSpaceDE w:val="0"/>
        <w:autoSpaceDN w:val="0"/>
        <w:adjustRightInd w:val="0"/>
        <w:jc w:val="right"/>
        <w:rPr>
          <w:rFonts w:eastAsiaTheme="minorHAnsi" w:cs="Arial"/>
          <w:sz w:val="16"/>
          <w:szCs w:val="16"/>
          <w:lang w:val="es-ES_tradnl"/>
        </w:rPr>
      </w:pPr>
      <w:r w:rsidRPr="00A34388">
        <w:rPr>
          <w:lang w:val="es-ES_tradnl"/>
        </w:rPr>
        <w:t>[Sigue el Apéndice II]</w:t>
      </w:r>
      <w:r w:rsidR="00197073" w:rsidRPr="00A34388">
        <w:rPr>
          <w:lang w:val="es-ES_tradnl"/>
        </w:rPr>
        <w:br w:type="page"/>
      </w:r>
    </w:p>
    <w:p w:rsidR="001F2211" w:rsidRPr="003934C8" w:rsidRDefault="001F2211" w:rsidP="001F2211">
      <w:pPr>
        <w:pStyle w:val="Heading4"/>
        <w:rPr>
          <w:lang w:val="es-ES"/>
        </w:rPr>
      </w:pPr>
      <w:bookmarkStart w:id="114" w:name="_Toc392852673"/>
      <w:bookmarkStart w:id="115" w:name="_Toc395279693"/>
      <w:r w:rsidRPr="003934C8">
        <w:rPr>
          <w:lang w:val="es-ES"/>
        </w:rPr>
        <w:lastRenderedPageBreak/>
        <w:t>Apéndice II</w:t>
      </w:r>
      <w:r w:rsidRPr="003934C8">
        <w:rPr>
          <w:lang w:val="es-ES"/>
        </w:rPr>
        <w:br/>
      </w:r>
      <w:r w:rsidRPr="003934C8">
        <w:rPr>
          <w:lang w:val="es-ES"/>
        </w:rPr>
        <w:br/>
        <w:t>Actividades realizadas con cargo a los fondos fiduciarios en 2013</w:t>
      </w:r>
      <w:bookmarkEnd w:id="114"/>
      <w:bookmarkEnd w:id="115"/>
    </w:p>
    <w:p w:rsidR="00C10073" w:rsidRPr="001F2211" w:rsidRDefault="00C10073" w:rsidP="00C10073">
      <w:pPr>
        <w:jc w:val="center"/>
        <w:rPr>
          <w:rFonts w:cs="Arial"/>
          <w:lang w:val="es-ES"/>
        </w:rPr>
      </w:pPr>
    </w:p>
    <w:p w:rsidR="00C10073" w:rsidRPr="00A34388" w:rsidRDefault="00C10073" w:rsidP="00C10073">
      <w:pPr>
        <w:jc w:val="both"/>
        <w:rPr>
          <w:szCs w:val="20"/>
          <w:lang w:val="es-ES_tradnl"/>
        </w:rPr>
      </w:pPr>
      <w:r w:rsidRPr="00332758">
        <w:rPr>
          <w:szCs w:val="20"/>
          <w:lang w:val="es-ES_tradnl"/>
        </w:rPr>
        <w:t>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w:t>
      </w:r>
      <w:r w:rsidRPr="00A34388">
        <w:rPr>
          <w:szCs w:val="20"/>
          <w:lang w:val="es-ES_tradnl"/>
        </w:rPr>
        <w:t xml:space="preserve"> </w:t>
      </w:r>
      <w:r w:rsidRPr="00332758">
        <w:rPr>
          <w:szCs w:val="20"/>
          <w:lang w:val="es-ES_tradnl"/>
        </w:rPr>
        <w:t xml:space="preserve">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2013.</w:t>
      </w:r>
      <w:r w:rsidRPr="00A34388">
        <w:rPr>
          <w:szCs w:val="20"/>
          <w:lang w:val="es-ES_tradnl"/>
        </w:rPr>
        <w:t xml:space="preserve">  El próximo informe anual sobre los fondos fiduciarios se incluirá en el Informe PPR semestral de 2014.  En este Apéndice se informa sobre los fondos fiduciarios enumerados en el siguiente cuadro y se excluyen los fondos fiduciarios para funcionarios subalternos del cuadro orgánico.</w:t>
      </w:r>
    </w:p>
    <w:p w:rsidR="00C10073" w:rsidRPr="00A34388" w:rsidRDefault="00C10073" w:rsidP="00C10073">
      <w:pPr>
        <w:jc w:val="center"/>
        <w:rPr>
          <w:rFonts w:cs="Arial"/>
          <w:lang w:val="es-ES_tradnl"/>
        </w:rPr>
      </w:pPr>
    </w:p>
    <w:p w:rsidR="00C10073" w:rsidRPr="00A34388" w:rsidRDefault="00C10073" w:rsidP="00C10073">
      <w:pPr>
        <w:jc w:val="center"/>
        <w:rPr>
          <w:rFonts w:cs="Arial"/>
          <w:lang w:val="es-ES_tradnl"/>
        </w:rPr>
      </w:pPr>
    </w:p>
    <w:tbl>
      <w:tblPr>
        <w:tblpPr w:leftFromText="180" w:rightFromText="180" w:vertAnchor="page" w:horzAnchor="margin" w:tblpY="5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061"/>
      </w:tblGrid>
      <w:tr w:rsidR="00C10073" w:rsidRPr="00A34388" w:rsidTr="00AA6702">
        <w:tc>
          <w:tcPr>
            <w:tcW w:w="4068" w:type="dxa"/>
            <w:shd w:val="clear" w:color="auto" w:fill="CCFFFF"/>
            <w:tcMar>
              <w:top w:w="57" w:type="dxa"/>
              <w:left w:w="57" w:type="dxa"/>
              <w:bottom w:w="57" w:type="dxa"/>
              <w:right w:w="57" w:type="dxa"/>
            </w:tcMar>
          </w:tcPr>
          <w:p w:rsidR="00C10073" w:rsidRPr="00A34388" w:rsidRDefault="00C10073" w:rsidP="00AA6702">
            <w:pPr>
              <w:jc w:val="center"/>
              <w:rPr>
                <w:rFonts w:cs="Arial"/>
                <w:b/>
                <w:bCs/>
                <w:sz w:val="18"/>
                <w:szCs w:val="18"/>
                <w:lang w:val="es-ES_tradnl"/>
              </w:rPr>
            </w:pPr>
            <w:r w:rsidRPr="00A34388">
              <w:rPr>
                <w:rFonts w:cs="Arial"/>
                <w:b/>
                <w:bCs/>
                <w:color w:val="000000"/>
                <w:sz w:val="18"/>
                <w:szCs w:val="18"/>
                <w:lang w:val="es-ES_tradnl"/>
              </w:rPr>
              <w:t>FONDO FIDUCIARIO</w:t>
            </w:r>
          </w:p>
        </w:tc>
        <w:tc>
          <w:tcPr>
            <w:tcW w:w="5061" w:type="dxa"/>
            <w:shd w:val="clear" w:color="auto" w:fill="CCFFFF"/>
            <w:tcMar>
              <w:top w:w="57" w:type="dxa"/>
              <w:left w:w="57" w:type="dxa"/>
              <w:bottom w:w="57" w:type="dxa"/>
              <w:right w:w="57" w:type="dxa"/>
            </w:tcMar>
          </w:tcPr>
          <w:p w:rsidR="00C10073" w:rsidRPr="00A34388" w:rsidRDefault="00C10073" w:rsidP="00AA6702">
            <w:pPr>
              <w:jc w:val="center"/>
              <w:rPr>
                <w:rFonts w:cs="Arial"/>
                <w:b/>
                <w:bCs/>
                <w:sz w:val="18"/>
                <w:szCs w:val="18"/>
                <w:lang w:val="es-ES_tradnl"/>
              </w:rPr>
            </w:pPr>
            <w:r w:rsidRPr="00A34388">
              <w:rPr>
                <w:rFonts w:cs="Arial"/>
                <w:b/>
                <w:bCs/>
                <w:color w:val="000000"/>
                <w:sz w:val="18"/>
                <w:szCs w:val="18"/>
                <w:lang w:val="es-ES_tradnl"/>
              </w:rPr>
              <w:t>SECTOR DE APLICACIÓN</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Australia</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Oficina del Director General</w:t>
            </w:r>
          </w:p>
        </w:tc>
      </w:tr>
      <w:tr w:rsidR="00C10073" w:rsidRPr="00A9508D"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Brasil</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la Infraestructura Mundial</w:t>
            </w:r>
          </w:p>
        </w:tc>
      </w:tr>
      <w:tr w:rsidR="00C10073" w:rsidRPr="00A34388" w:rsidTr="00AA6702">
        <w:tc>
          <w:tcPr>
            <w:tcW w:w="4068" w:type="dxa"/>
            <w:tcMar>
              <w:top w:w="57" w:type="dxa"/>
              <w:left w:w="57" w:type="dxa"/>
              <w:bottom w:w="57" w:type="dxa"/>
              <w:right w:w="57" w:type="dxa"/>
            </w:tcMar>
            <w:vAlign w:val="center"/>
          </w:tcPr>
          <w:p w:rsidR="00C10073" w:rsidRPr="00A34388" w:rsidRDefault="00C10073" w:rsidP="00AA6702">
            <w:pPr>
              <w:rPr>
                <w:rFonts w:cs="Arial"/>
                <w:sz w:val="18"/>
                <w:szCs w:val="18"/>
                <w:lang w:val="es-ES_tradnl"/>
              </w:rPr>
            </w:pPr>
            <w:r w:rsidRPr="00332758">
              <w:rPr>
                <w:rFonts w:cs="Arial"/>
                <w:sz w:val="18"/>
                <w:szCs w:val="18"/>
                <w:lang w:val="es-ES_tradnl"/>
              </w:rPr>
              <w:t>UE/Pakistán</w:t>
            </w:r>
          </w:p>
        </w:tc>
        <w:tc>
          <w:tcPr>
            <w:tcW w:w="5061" w:type="dxa"/>
            <w:tcMar>
              <w:top w:w="57" w:type="dxa"/>
              <w:left w:w="57" w:type="dxa"/>
              <w:bottom w:w="57" w:type="dxa"/>
              <w:right w:w="57" w:type="dxa"/>
            </w:tcMar>
            <w:vAlign w:val="cente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9508D"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Finlandia – Derecho de autor III</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Cultura e Industrias Creativas</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Francia – P.I.</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Programa Iberoamericano de propiedad industrial</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Italia</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9508D"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Japón – Derecho de autor</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Cultura e Industrias Creativas</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Japón – P.I.</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Japón – P.I./África</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9508D"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República de Corea – Derecho de autor</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Cultura e Industrias Creativas</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República de Corea – Educación</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República de Corea – P.I.</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34388"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España</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Desarrollo</w:t>
            </w:r>
          </w:p>
        </w:tc>
      </w:tr>
      <w:tr w:rsidR="00C10073" w:rsidRPr="00A9508D" w:rsidTr="00AA6702">
        <w:tc>
          <w:tcPr>
            <w:tcW w:w="4068"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Estados Unidos – Derecho de autor</w:t>
            </w:r>
          </w:p>
        </w:tc>
        <w:tc>
          <w:tcPr>
            <w:tcW w:w="5061" w:type="dxa"/>
            <w:tcMar>
              <w:top w:w="57" w:type="dxa"/>
              <w:left w:w="57" w:type="dxa"/>
              <w:bottom w:w="57" w:type="dxa"/>
              <w:right w:w="57" w:type="dxa"/>
            </w:tcMar>
          </w:tcPr>
          <w:p w:rsidR="00C10073" w:rsidRPr="00A34388" w:rsidRDefault="00C10073" w:rsidP="00AA6702">
            <w:pPr>
              <w:rPr>
                <w:rFonts w:cs="Arial"/>
                <w:sz w:val="18"/>
                <w:szCs w:val="18"/>
                <w:lang w:val="es-ES_tradnl"/>
              </w:rPr>
            </w:pPr>
            <w:r w:rsidRPr="00332758">
              <w:rPr>
                <w:rFonts w:cs="Arial"/>
                <w:sz w:val="18"/>
                <w:szCs w:val="18"/>
                <w:lang w:val="es-ES_tradnl"/>
              </w:rPr>
              <w:t>Sector de Cultura e Industrias Creativas</w:t>
            </w:r>
          </w:p>
        </w:tc>
      </w:tr>
    </w:tbl>
    <w:p w:rsidR="00C10073" w:rsidRPr="00A34388" w:rsidRDefault="00C10073" w:rsidP="00C10073">
      <w:pPr>
        <w:tabs>
          <w:tab w:val="left" w:pos="0"/>
          <w:tab w:val="left" w:pos="9071"/>
        </w:tabs>
        <w:rPr>
          <w:rFonts w:cs="Arial"/>
          <w:b/>
          <w:szCs w:val="20"/>
          <w:lang w:val="es-ES_tradnl"/>
        </w:rPr>
        <w:sectPr w:rsidR="00C10073" w:rsidRPr="00A34388" w:rsidSect="00AA6702">
          <w:headerReference w:type="default" r:id="rId81"/>
          <w:pgSz w:w="11907" w:h="16840" w:code="9"/>
          <w:pgMar w:top="851" w:right="1418" w:bottom="1276" w:left="1418" w:header="510" w:footer="1021" w:gutter="0"/>
          <w:cols w:space="720"/>
        </w:sectPr>
      </w:pPr>
    </w:p>
    <w:p w:rsidR="00C10073" w:rsidRPr="00A34388" w:rsidRDefault="00C10073" w:rsidP="00C10073">
      <w:pPr>
        <w:rPr>
          <w:rFonts w:cs="Arial"/>
          <w:b/>
          <w:szCs w:val="20"/>
          <w:lang w:val="es-ES_tradnl"/>
        </w:rPr>
      </w:pPr>
      <w:r w:rsidRPr="00A34388">
        <w:rPr>
          <w:rFonts w:cs="Arial"/>
          <w:b/>
          <w:color w:val="000000"/>
          <w:szCs w:val="20"/>
          <w:lang w:val="es-ES_tradnl"/>
        </w:rPr>
        <w:lastRenderedPageBreak/>
        <w:t>AUSTRALIA</w:t>
      </w:r>
    </w:p>
    <w:p w:rsidR="00C10073" w:rsidRPr="00A34388" w:rsidRDefault="00C10073" w:rsidP="00C10073">
      <w:pPr>
        <w:rPr>
          <w:rFonts w:cs="Arial"/>
          <w:b/>
          <w:szCs w:val="20"/>
          <w:lang w:val="es-ES_tradnl"/>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110"/>
      </w:tblGrid>
      <w:tr w:rsidR="00C10073" w:rsidRPr="00A9508D" w:rsidTr="00AA6702">
        <w:trPr>
          <w:cantSplit/>
        </w:trPr>
        <w:tc>
          <w:tcPr>
            <w:tcW w:w="9072" w:type="dxa"/>
            <w:gridSpan w:val="4"/>
            <w:tcBorders>
              <w:top w:val="single" w:sz="4" w:space="0" w:color="000000"/>
              <w:bottom w:val="single" w:sz="4" w:space="0" w:color="000000"/>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Políticas nacionales, estrategias y planes de desarrollo de innovación y de P.I. claramente definidos y coherentes que estén en sintonía con las metas y los objetivos nacionales de desarrollo.</w:t>
            </w:r>
          </w:p>
        </w:tc>
      </w:tr>
      <w:tr w:rsidR="00C10073" w:rsidRPr="00A34388" w:rsidTr="00AA6702">
        <w:trPr>
          <w:cantSplit/>
        </w:trPr>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AA6702">
        <w:trPr>
          <w:cantSplit/>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Misiones sobre estrategia en materia de P.I.</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Enero a abril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Camboya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Ayudar a Camboya a formular una estrategia nacional en materia de P.I. a fin de aprovechar las capacidades nacionales en este ámbito para alcanzar sus metas y políticas de desarrollo.</w:t>
            </w:r>
          </w:p>
        </w:tc>
      </w:tr>
      <w:tr w:rsidR="00C10073" w:rsidRPr="00A9508D" w:rsidTr="00AA6702">
        <w:trPr>
          <w:cantSplit/>
          <w:trHeight w:val="530"/>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Misión de inventario y evaluación de necesidades</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 a 5 de abril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Islas Salomón</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Elaborar un informe sobre “La propiedad intelectual en las Islas Salomón” en el que se evalúe la actual situación del país en materia de P.I. y que sirva igualmente como base para el desarrollo de la estrategia en el ámbito de la P.I. </w:t>
            </w:r>
          </w:p>
        </w:tc>
      </w:tr>
      <w:tr w:rsidR="00C10073" w:rsidRPr="00A9508D" w:rsidTr="00AA6702">
        <w:trPr>
          <w:cantSplit/>
          <w:trHeight w:val="552"/>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Misión de evaluación de necesidades y de elaboración de estrategia en materia de P.I.</w:t>
            </w:r>
          </w:p>
        </w:tc>
        <w:tc>
          <w:tcPr>
            <w:tcW w:w="1134" w:type="dxa"/>
          </w:tcPr>
          <w:p w:rsidR="00C10073" w:rsidRPr="00A34388" w:rsidRDefault="00675CDF" w:rsidP="00675CDF">
            <w:pPr>
              <w:autoSpaceDE w:val="0"/>
              <w:autoSpaceDN w:val="0"/>
              <w:adjustRightInd w:val="0"/>
              <w:spacing w:before="120" w:after="120"/>
              <w:rPr>
                <w:rFonts w:cs="Arial"/>
                <w:color w:val="000000"/>
                <w:sz w:val="16"/>
                <w:szCs w:val="16"/>
                <w:lang w:val="es-ES_tradnl"/>
              </w:rPr>
            </w:pPr>
            <w:r>
              <w:rPr>
                <w:rFonts w:cs="Arial"/>
                <w:sz w:val="16"/>
                <w:szCs w:val="16"/>
                <w:lang w:val="es-ES_tradnl"/>
              </w:rPr>
              <w:t xml:space="preserve">13 </w:t>
            </w:r>
            <w:r w:rsidR="00C10073" w:rsidRPr="00A34388">
              <w:rPr>
                <w:rFonts w:cs="Arial"/>
                <w:sz w:val="16"/>
                <w:szCs w:val="16"/>
                <w:lang w:val="es-ES_tradnl"/>
              </w:rPr>
              <w:t xml:space="preserve">a </w:t>
            </w:r>
            <w:r>
              <w:rPr>
                <w:rFonts w:cs="Arial"/>
                <w:sz w:val="16"/>
                <w:szCs w:val="16"/>
                <w:lang w:val="es-ES_tradnl"/>
              </w:rPr>
              <w:t>16</w:t>
            </w:r>
            <w:r w:rsidR="00C10073" w:rsidRPr="00A34388">
              <w:rPr>
                <w:rFonts w:cs="Arial"/>
                <w:sz w:val="16"/>
                <w:szCs w:val="16"/>
                <w:lang w:val="es-ES_tradnl"/>
              </w:rPr>
              <w:t xml:space="preserve"> de mayo de 2012</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Vanuatu</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Elaborar una evaluación completa sobre la modernización del sistema nacional de P.I. y redactar un primer proyecto de estrategia nacional en materia de P.I. con objeto de permitir el empleo efectivo del sistema nacional de P.I. para el desarrollo económico </w:t>
            </w:r>
          </w:p>
        </w:tc>
      </w:tr>
      <w:tr w:rsidR="00C10073" w:rsidRPr="00A9508D" w:rsidTr="00AA6702">
        <w:trPr>
          <w:cantSplit/>
          <w:trHeight w:val="552"/>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Misión de evaluación de necesidades y de elaboración de estrategia en materia de P.I.</w:t>
            </w:r>
          </w:p>
        </w:tc>
        <w:tc>
          <w:tcPr>
            <w:tcW w:w="1134" w:type="dxa"/>
            <w:tcBorders>
              <w:bottom w:val="single" w:sz="4" w:space="0" w:color="000000"/>
            </w:tcBorders>
          </w:tcPr>
          <w:p w:rsidR="00C10073" w:rsidRPr="00A34388" w:rsidRDefault="00C10073" w:rsidP="00675CDF">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2</w:t>
            </w:r>
            <w:r w:rsidR="00675CDF">
              <w:rPr>
                <w:rFonts w:cs="Arial"/>
                <w:sz w:val="16"/>
                <w:szCs w:val="16"/>
                <w:lang w:val="es-ES_tradnl"/>
              </w:rPr>
              <w:t>0</w:t>
            </w:r>
            <w:r w:rsidRPr="00A34388">
              <w:rPr>
                <w:rFonts w:cs="Arial"/>
                <w:sz w:val="16"/>
                <w:szCs w:val="16"/>
                <w:lang w:val="es-ES_tradnl"/>
              </w:rPr>
              <w:t xml:space="preserve"> a </w:t>
            </w:r>
            <w:r w:rsidR="00675CDF">
              <w:rPr>
                <w:rFonts w:cs="Arial"/>
                <w:sz w:val="16"/>
                <w:szCs w:val="16"/>
                <w:lang w:val="es-ES_tradnl"/>
              </w:rPr>
              <w:t>23</w:t>
            </w:r>
            <w:r w:rsidRPr="00A34388">
              <w:rPr>
                <w:rFonts w:cs="Arial"/>
                <w:sz w:val="16"/>
                <w:szCs w:val="16"/>
                <w:lang w:val="es-ES_tradnl"/>
              </w:rPr>
              <w:t xml:space="preserve"> de mayo de 2012</w:t>
            </w: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Tonga</w:t>
            </w:r>
          </w:p>
        </w:tc>
        <w:tc>
          <w:tcPr>
            <w:tcW w:w="4110"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Elaborar una evaluación completa sobre la modernización del sistema nacional de P.I. y redactar un primer proyecto de estrategia nacional en materia de P.I. con objeto de permitir el empleo efectivo del sistema nacional de P.I. para el desarrollo económico</w:t>
            </w:r>
          </w:p>
        </w:tc>
      </w:tr>
      <w:tr w:rsidR="00C10073" w:rsidRPr="00A9508D" w:rsidTr="00AA6702">
        <w:trPr>
          <w:cantSplit/>
        </w:trPr>
        <w:tc>
          <w:tcPr>
            <w:tcW w:w="9072" w:type="dxa"/>
            <w:gridSpan w:val="4"/>
            <w:tcBorders>
              <w:top w:val="single" w:sz="4" w:space="0" w:color="000000"/>
              <w:bottom w:val="single" w:sz="4" w:space="0" w:color="000000"/>
            </w:tcBorders>
            <w:shd w:val="clear" w:color="auto" w:fill="CCFFFF"/>
            <w:vAlign w:val="center"/>
          </w:tcPr>
          <w:p w:rsidR="00C10073" w:rsidRPr="00A34388" w:rsidRDefault="00C10073" w:rsidP="00AA6702">
            <w:pPr>
              <w:keepNext/>
              <w:keepLines/>
              <w:tabs>
                <w:tab w:val="left" w:pos="1740"/>
              </w:tabs>
              <w:spacing w:before="120" w:after="120"/>
              <w:ind w:left="1740" w:hanging="1740"/>
              <w:rPr>
                <w:rFonts w:cs="Arial"/>
                <w:b/>
                <w:bCs/>
                <w:sz w:val="16"/>
                <w:szCs w:val="16"/>
                <w:lang w:val="es-ES_tradnl"/>
              </w:rPr>
            </w:pPr>
            <w:r w:rsidRPr="00A34388">
              <w:rPr>
                <w:rFonts w:cs="Arial"/>
                <w:b/>
                <w:bCs/>
                <w:color w:val="000000"/>
                <w:sz w:val="16"/>
                <w:szCs w:val="16"/>
                <w:lang w:val="es-ES_tradnl"/>
              </w:rPr>
              <w:t>RESULTADO</w:t>
            </w:r>
            <w:r w:rsidRPr="00A34388">
              <w:rPr>
                <w:rFonts w:cs="Arial"/>
                <w:b/>
                <w:bCs/>
                <w:sz w:val="16"/>
                <w:szCs w:val="16"/>
                <w:lang w:val="es-ES_tradnl"/>
              </w:rPr>
              <w:t>:</w:t>
            </w:r>
            <w:r w:rsidRPr="00A34388">
              <w:rPr>
                <w:rFonts w:cs="Arial"/>
                <w:b/>
                <w:bCs/>
                <w:sz w:val="16"/>
                <w:szCs w:val="16"/>
                <w:lang w:val="es-ES_tradnl"/>
              </w:rPr>
              <w:tab/>
            </w:r>
            <w:r w:rsidRPr="00A34388">
              <w:rPr>
                <w:rFonts w:cs="Arial"/>
                <w:bCs/>
                <w:sz w:val="16"/>
                <w:szCs w:val="16"/>
                <w:lang w:val="es-ES_tradnl"/>
              </w:rPr>
              <w:t xml:space="preserve">Las oficinas de P.I. tienen un conocimiento más profundo y una mayor confianza en los requisitos de adhesión y los procedimientos necesarios para aplicar el PCT en su país </w:t>
            </w:r>
          </w:p>
        </w:tc>
      </w:tr>
      <w:tr w:rsidR="00C10073" w:rsidRPr="00A34388" w:rsidTr="00AA6702">
        <w:trPr>
          <w:cantSplit/>
        </w:trPr>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AA6702">
        <w:trPr>
          <w:cantSplit/>
          <w:trHeight w:val="520"/>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Seminario subregional sobre el PCT</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19 y 20 de febrero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Sudáfrica/Rwanda, Uganda y la República Unida de Tanzanía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Exponer una visión general del PCT y formas de mejorar los sistemas nacionales de patentes en el contexto del sistema internacional ante los jefes de oficina recientemente nombrados de varios países africanos </w:t>
            </w:r>
          </w:p>
        </w:tc>
      </w:tr>
      <w:tr w:rsidR="00C10073" w:rsidRPr="00A9508D" w:rsidTr="00AA6702">
        <w:trPr>
          <w:cantSplit/>
          <w:trHeight w:val="520"/>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subregional sobre el PCT para países de Asia y el Pacífico</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15 a 17 de abril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Singapur/Camboya, República Dem</w:t>
            </w:r>
            <w:r w:rsidR="00290A67" w:rsidRPr="00A34388">
              <w:rPr>
                <w:rFonts w:cs="Arial"/>
                <w:color w:val="000000"/>
                <w:sz w:val="16"/>
                <w:szCs w:val="16"/>
                <w:lang w:val="es-ES_tradnl"/>
              </w:rPr>
              <w:t>ocrática Popular Lao, Myanmar y</w:t>
            </w:r>
            <w:r w:rsidRPr="00A34388">
              <w:rPr>
                <w:rFonts w:cs="Arial"/>
                <w:color w:val="000000"/>
                <w:sz w:val="16"/>
                <w:szCs w:val="16"/>
                <w:lang w:val="es-ES_tradnl"/>
              </w:rPr>
              <w:t xml:space="preserve"> Filipinas (organizada por la oficina de la OMPI en Singapur)</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Presentar, a través de una actividad formativa sobre el sistema del PCT, el funcionamiento y las ventajas de dicho sistema para los países en desarrollo de la región de Asia y el Pacífico.  Proporcionar asesoramiento sobre la adhesión al PCT y sus efectos </w:t>
            </w:r>
          </w:p>
        </w:tc>
      </w:tr>
      <w:tr w:rsidR="00C10073" w:rsidRPr="00A9508D" w:rsidTr="00AA6702">
        <w:trPr>
          <w:cantSplit/>
          <w:trHeight w:val="528"/>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Formación sobre examen de patentes </w:t>
            </w:r>
          </w:p>
        </w:tc>
        <w:tc>
          <w:tcPr>
            <w:tcW w:w="1134"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17 a 21 de junio de 2013</w:t>
            </w: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Australia/ Egipto </w:t>
            </w:r>
          </w:p>
        </w:tc>
        <w:tc>
          <w:tcPr>
            <w:tcW w:w="4110"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Proporcionar formación sustancial y específica en examen de patentes para examinadores de la Oficina de Patentes de Egipto sobre procedimientos y prácticas de búsqueda internacional y examen preliminar.  Esta formación fue impartida por la P.I. de Australia y se centró en dotar a los examinadores de las capacidades necesarias para actuar como Autoridad Internacional en el ámbito del PCT y poder llevar a cabo los procesos necesarios conforme al Tratado </w:t>
            </w:r>
          </w:p>
        </w:tc>
      </w:tr>
      <w:tr w:rsidR="00C10073" w:rsidRPr="00A9508D" w:rsidTr="00AA6702">
        <w:trPr>
          <w:cantSplit/>
        </w:trPr>
        <w:tc>
          <w:tcPr>
            <w:tcW w:w="9072" w:type="dxa"/>
            <w:gridSpan w:val="4"/>
            <w:tcBorders>
              <w:top w:val="single" w:sz="4" w:space="0" w:color="000000"/>
              <w:bottom w:val="single" w:sz="4" w:space="0" w:color="000000"/>
            </w:tcBorders>
            <w:shd w:val="clear" w:color="auto" w:fill="CCFFFF"/>
            <w:vAlign w:val="center"/>
          </w:tcPr>
          <w:p w:rsidR="00C10073" w:rsidRPr="00A34388" w:rsidRDefault="00C10073" w:rsidP="00AA6702">
            <w:pPr>
              <w:keepNext/>
              <w:keepLines/>
              <w:tabs>
                <w:tab w:val="left" w:pos="1740"/>
              </w:tabs>
              <w:spacing w:before="120" w:after="120"/>
              <w:ind w:left="1740" w:hanging="1740"/>
              <w:rPr>
                <w:rFonts w:cs="Arial"/>
                <w:b/>
                <w:bCs/>
                <w:sz w:val="16"/>
                <w:szCs w:val="16"/>
                <w:lang w:val="es-ES_tradnl"/>
              </w:rPr>
            </w:pPr>
            <w:r w:rsidRPr="00A34388">
              <w:rPr>
                <w:rFonts w:cs="Arial"/>
                <w:b/>
                <w:bCs/>
                <w:color w:val="000000"/>
                <w:sz w:val="16"/>
                <w:szCs w:val="16"/>
                <w:lang w:val="es-ES_tradnl"/>
              </w:rPr>
              <w:t>RESULTADO</w:t>
            </w:r>
            <w:r w:rsidRPr="00A34388">
              <w:rPr>
                <w:rFonts w:cs="Arial"/>
                <w:b/>
                <w:bCs/>
                <w:sz w:val="16"/>
                <w:szCs w:val="16"/>
                <w:lang w:val="es-ES_tradnl"/>
              </w:rPr>
              <w:t>:</w:t>
            </w:r>
            <w:r w:rsidRPr="00A34388">
              <w:rPr>
                <w:rFonts w:cs="Arial"/>
                <w:b/>
                <w:bCs/>
                <w:sz w:val="16"/>
                <w:szCs w:val="16"/>
                <w:lang w:val="es-ES_tradnl"/>
              </w:rPr>
              <w:tab/>
            </w:r>
            <w:r w:rsidRPr="00A34388">
              <w:rPr>
                <w:rFonts w:cs="Arial"/>
                <w:bCs/>
                <w:sz w:val="16"/>
                <w:szCs w:val="16"/>
                <w:lang w:val="es-ES_tradnl"/>
              </w:rPr>
              <w:t xml:space="preserve">Las oficinas de P.I. tienen un conocimiento más profundo y una mayor confianza en los requisitos de adhesión y los procedimientos necesarios para aplicar el protocolo de Madrid en su país </w:t>
            </w:r>
          </w:p>
        </w:tc>
      </w:tr>
      <w:tr w:rsidR="00C10073" w:rsidRPr="00A34388" w:rsidTr="00AA6702">
        <w:trPr>
          <w:cantSplit/>
        </w:trPr>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4C0FD5">
        <w:trPr>
          <w:cantSplit/>
          <w:trHeight w:val="473"/>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w:t>
            </w:r>
            <w:r w:rsidRPr="00A34388">
              <w:rPr>
                <w:rFonts w:cs="Arial"/>
                <w:i/>
                <w:color w:val="000000"/>
                <w:sz w:val="16"/>
                <w:szCs w:val="16"/>
                <w:lang w:val="es-ES_tradnl"/>
              </w:rPr>
              <w:t>No se registró actividad en 2013</w:t>
            </w:r>
            <w:r w:rsidRPr="00A34388">
              <w:rPr>
                <w:rFonts w:cs="Arial"/>
                <w:color w:val="000000"/>
                <w:sz w:val="16"/>
                <w:szCs w:val="16"/>
                <w:lang w:val="es-ES_tradnl"/>
              </w:rPr>
              <w:t>]</w:t>
            </w:r>
          </w:p>
        </w:tc>
        <w:tc>
          <w:tcPr>
            <w:tcW w:w="4110" w:type="dxa"/>
            <w:tcBorders>
              <w:bottom w:val="single" w:sz="4" w:space="0" w:color="000000"/>
            </w:tcBorders>
          </w:tcPr>
          <w:p w:rsidR="00C10073" w:rsidRPr="00A34388" w:rsidRDefault="00C10073" w:rsidP="00AA6702">
            <w:pPr>
              <w:autoSpaceDE w:val="0"/>
              <w:autoSpaceDN w:val="0"/>
              <w:adjustRightInd w:val="0"/>
              <w:spacing w:before="120"/>
              <w:rPr>
                <w:rFonts w:cs="Arial"/>
                <w:color w:val="000000"/>
                <w:sz w:val="16"/>
                <w:szCs w:val="16"/>
                <w:lang w:val="es-ES_tradnl"/>
              </w:rPr>
            </w:pPr>
          </w:p>
        </w:tc>
      </w:tr>
      <w:tr w:rsidR="00C10073" w:rsidRPr="00A9508D" w:rsidTr="00AA6702">
        <w:trPr>
          <w:cantSplit/>
          <w:trHeight w:val="315"/>
        </w:trPr>
        <w:tc>
          <w:tcPr>
            <w:tcW w:w="9072" w:type="dxa"/>
            <w:gridSpan w:val="4"/>
            <w:tcBorders>
              <w:top w:val="single" w:sz="4" w:space="0" w:color="000000"/>
              <w:bottom w:val="single" w:sz="4" w:space="0" w:color="000000"/>
            </w:tcBorders>
            <w:shd w:val="clear" w:color="auto" w:fill="CCFFFF"/>
          </w:tcPr>
          <w:p w:rsidR="00C10073" w:rsidRPr="00332758" w:rsidRDefault="00C10073" w:rsidP="00AA6702">
            <w:pPr>
              <w:keepNext/>
              <w:keepLines/>
              <w:tabs>
                <w:tab w:val="left" w:pos="1740"/>
              </w:tabs>
              <w:spacing w:before="120" w:after="120"/>
              <w:ind w:left="1740" w:hanging="1740"/>
              <w:rPr>
                <w:rFonts w:cs="Arial"/>
                <w:sz w:val="16"/>
                <w:szCs w:val="16"/>
                <w:lang w:val="es-ES_tradnl"/>
              </w:rPr>
            </w:pPr>
            <w:r w:rsidRPr="00332758">
              <w:rPr>
                <w:rFonts w:cs="Arial"/>
                <w:b/>
                <w:sz w:val="16"/>
                <w:szCs w:val="16"/>
                <w:lang w:val="es-ES_tradnl"/>
              </w:rPr>
              <w:lastRenderedPageBreak/>
              <w:t>RESULTADO</w:t>
            </w:r>
            <w:r w:rsidRPr="00332758">
              <w:rPr>
                <w:rFonts w:cs="Arial"/>
                <w:sz w:val="16"/>
                <w:szCs w:val="16"/>
                <w:lang w:val="es-ES_tradnl"/>
              </w:rPr>
              <w:t>:</w:t>
            </w:r>
            <w:r w:rsidRPr="00332758">
              <w:rPr>
                <w:rFonts w:cs="Arial"/>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C10073" w:rsidRPr="00A34388" w:rsidTr="00AA6702">
        <w:trPr>
          <w:cantSplit/>
          <w:trHeight w:val="402"/>
        </w:trPr>
        <w:tc>
          <w:tcPr>
            <w:tcW w:w="1843" w:type="dxa"/>
            <w:tcBorders>
              <w:top w:val="single" w:sz="4" w:space="0" w:color="000000"/>
            </w:tcBorders>
            <w:vAlign w:val="center"/>
          </w:tcPr>
          <w:p w:rsidR="00C10073" w:rsidRPr="00A34388" w:rsidRDefault="00C10073" w:rsidP="00AA6702">
            <w:pPr>
              <w:keepNext/>
              <w:keepLines/>
              <w:spacing w:before="120" w:after="120"/>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vAlign w:val="center"/>
          </w:tcPr>
          <w:p w:rsidR="00C10073" w:rsidRPr="00A34388" w:rsidRDefault="00C10073" w:rsidP="00AA6702">
            <w:pPr>
              <w:keepNext/>
              <w:keepLines/>
              <w:spacing w:before="120" w:after="120"/>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vAlign w:val="center"/>
          </w:tcPr>
          <w:p w:rsidR="00C10073" w:rsidRPr="00A34388" w:rsidRDefault="00C10073" w:rsidP="00AA6702">
            <w:pPr>
              <w:keepNext/>
              <w:keepLines/>
              <w:spacing w:before="120" w:after="120"/>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000000"/>
            </w:tcBorders>
            <w:vAlign w:val="center"/>
          </w:tcPr>
          <w:p w:rsidR="00C10073" w:rsidRPr="00332758" w:rsidRDefault="00C10073" w:rsidP="00AA6702">
            <w:pPr>
              <w:keepNext/>
              <w:keepLines/>
              <w:spacing w:before="120" w:after="120"/>
              <w:rPr>
                <w:rFonts w:cs="Arial"/>
                <w:sz w:val="16"/>
                <w:szCs w:val="16"/>
                <w:lang w:val="es-ES_tradnl"/>
              </w:rPr>
            </w:pPr>
            <w:r w:rsidRPr="00332758">
              <w:rPr>
                <w:rFonts w:cs="Arial"/>
                <w:b/>
                <w:sz w:val="16"/>
                <w:szCs w:val="16"/>
                <w:lang w:val="es-ES_tradnl"/>
              </w:rPr>
              <w:t>Propósito(s)/Descripción</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Seminario nacional sobre derecho de autor y reunión de consulta con el gobierno de Tonga </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14 a 17 de enero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Tonga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Aumentar las capacidades y concienciación sobre el derecho de autor y derechos conexos entre funcionarios gubernamentales y partes interesadas relacionadas.  El seminario se centró en la pertinencia e importancia del derecho de autor para fomentar el desarrollo cultural y económico </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Visita de estudio sobre derecho de autor</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15 y 16 de abril;  18 y 19 de abril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Samoa, Islas Salomón y Tonga (los representantes de estos países se alojaron en Australia)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Aumentar el conocimiento y potenciar la comprensión sobre el derecho de autor, así como mejorar la capacidad de los jefes de las oficinas de derecho de autor y otros altos funcionarios para gestionar las políticas y estrategias en materia de derechos de autor </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Misión de experto a cargo de un funcionario de P.I. de Australia </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10 a 14 de junio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Camboya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Introducir las mejores prácticas de examen en el sistema de marcas en el contexto de la legislación revisada de marcas de Camboya</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Misión de experto a cargo de un funcionario de P.I. de Australia </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8 a 12 de julio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Democrática Popular Lao</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Impartir formación sobre el trabajo de los examinadores de marcas a fin de mejorar sus conocimientos y capacidades de examen utilizando tanto motivos absolutos como relativos</w:t>
            </w:r>
          </w:p>
        </w:tc>
      </w:tr>
      <w:tr w:rsidR="00C10073" w:rsidRPr="00A9508D" w:rsidTr="00AA6702">
        <w:trPr>
          <w:cantSplit/>
          <w:trHeight w:val="315"/>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Proporcionar un orador para un foro internacional sobre evaluación de la propiedad intelectual</w:t>
            </w:r>
          </w:p>
        </w:tc>
        <w:tc>
          <w:tcPr>
            <w:tcW w:w="1134"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6 y 7 de noviembre de 2013</w:t>
            </w: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Malasia organizó el foro, y el orador del ámbito internacional vino del Brasil/ 400 participantes de China (1), la Unión Europea (1), Francia (1), el Japón (5), Malasia (anfitrión - 381), Filipinas(1), Singapur (2), Tailandia (3), el Reino Unido (1), los Estados Unidos de América (2) y Viet Nam (1) </w:t>
            </w:r>
          </w:p>
        </w:tc>
        <w:tc>
          <w:tcPr>
            <w:tcW w:w="4110"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Proporcionar conocimientos especializados sobre la evaluación de la propiedad intelectual, financiación de la P.I. y desarrollo de un ecosistema sostenible de P.I.</w:t>
            </w:r>
          </w:p>
        </w:tc>
      </w:tr>
      <w:tr w:rsidR="00C10073" w:rsidRPr="00A9508D" w:rsidTr="00AA6702">
        <w:trPr>
          <w:cantSplit/>
          <w:trHeight w:val="315"/>
        </w:trPr>
        <w:tc>
          <w:tcPr>
            <w:tcW w:w="9072" w:type="dxa"/>
            <w:gridSpan w:val="4"/>
            <w:tcBorders>
              <w:top w:val="single" w:sz="4" w:space="0" w:color="000000"/>
              <w:bottom w:val="single" w:sz="4" w:space="0" w:color="000000"/>
            </w:tcBorders>
            <w:shd w:val="clear" w:color="auto" w:fill="CCFFFF"/>
          </w:tcPr>
          <w:p w:rsidR="00C10073" w:rsidRPr="00332758" w:rsidRDefault="00C10073" w:rsidP="00AA6702">
            <w:pPr>
              <w:keepNext/>
              <w:keepLines/>
              <w:tabs>
                <w:tab w:val="left" w:pos="1740"/>
              </w:tabs>
              <w:spacing w:before="120" w:after="120"/>
              <w:ind w:left="1740" w:hanging="1740"/>
              <w:rPr>
                <w:rFonts w:cs="Arial"/>
                <w:sz w:val="16"/>
                <w:szCs w:val="16"/>
                <w:lang w:val="es-ES_tradnl"/>
              </w:rPr>
            </w:pPr>
            <w:r w:rsidRPr="00332758">
              <w:rPr>
                <w:rFonts w:cs="Arial"/>
                <w:b/>
                <w:sz w:val="16"/>
                <w:szCs w:val="16"/>
                <w:lang w:val="es-ES_tradnl"/>
              </w:rPr>
              <w:t>RESULTADO:</w:t>
            </w:r>
            <w:r w:rsidRPr="00332758">
              <w:rPr>
                <w:rFonts w:cs="Arial"/>
                <w:sz w:val="16"/>
                <w:szCs w:val="16"/>
                <w:lang w:val="es-ES_tradnl"/>
              </w:rPr>
              <w:tab/>
              <w:t>Las herramientas de P.I. se utilizan para la transferencia de tecnología por parte de países desarrollados a países en desarrollo, especialmente los países menos adelantados, para responder a los desafíos mundiales.</w:t>
            </w:r>
          </w:p>
        </w:tc>
      </w:tr>
      <w:tr w:rsidR="00C10073" w:rsidRPr="00A34388" w:rsidTr="00AA6702">
        <w:trPr>
          <w:cantSplit/>
          <w:trHeight w:val="429"/>
        </w:trPr>
        <w:tc>
          <w:tcPr>
            <w:tcW w:w="1843" w:type="dxa"/>
            <w:tcBorders>
              <w:top w:val="single" w:sz="4" w:space="0" w:color="000000"/>
            </w:tcBorders>
            <w:vAlign w:val="center"/>
          </w:tcPr>
          <w:p w:rsidR="00C10073" w:rsidRPr="00A34388" w:rsidRDefault="00C10073" w:rsidP="00AA6702">
            <w:pPr>
              <w:keepNext/>
              <w:keepLines/>
              <w:spacing w:before="120" w:after="120"/>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vAlign w:val="center"/>
          </w:tcPr>
          <w:p w:rsidR="00C10073" w:rsidRPr="00A34388" w:rsidRDefault="00C10073" w:rsidP="00AA6702">
            <w:pPr>
              <w:keepNext/>
              <w:keepLines/>
              <w:spacing w:before="120" w:after="120"/>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vAlign w:val="center"/>
          </w:tcPr>
          <w:p w:rsidR="00C10073" w:rsidRPr="00A34388" w:rsidRDefault="00C10073" w:rsidP="00AA6702">
            <w:pPr>
              <w:keepNext/>
              <w:keepLines/>
              <w:spacing w:before="120" w:after="120"/>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000000"/>
            </w:tcBorders>
            <w:vAlign w:val="center"/>
          </w:tcPr>
          <w:p w:rsidR="00C10073" w:rsidRPr="00332758" w:rsidRDefault="00C10073" w:rsidP="00AA6702">
            <w:pPr>
              <w:keepNext/>
              <w:keepLines/>
              <w:spacing w:before="120" w:after="120"/>
              <w:rPr>
                <w:rFonts w:cs="Arial"/>
                <w:sz w:val="16"/>
                <w:szCs w:val="16"/>
                <w:lang w:val="es-ES_tradnl"/>
              </w:rPr>
            </w:pPr>
            <w:r w:rsidRPr="00332758">
              <w:rPr>
                <w:rFonts w:cs="Arial"/>
                <w:b/>
                <w:sz w:val="16"/>
                <w:szCs w:val="16"/>
                <w:lang w:val="es-ES_tradnl"/>
              </w:rPr>
              <w:t>Propósito(s)/Descripción</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Organización de estancias de científicos africanos especialistas en biomedicina en organizaciones de investigación fuera de África</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Camerún, Egipto, Ghana, Nigeria y Sudáfrica (las entidades de acogida se encuentran en la India, Suiza y los Estados Unidos de América)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La finalidad de la organización de estas estancias es:  i) fomentar el uso efectivo de la P.I. para abordar un problema sanitario a nivel mundial (las enfermedades tropicales olvidadas) que afecta a muchos PMA;  y ii) fomentar la transferencia de conocimientos entre los científicos, en especial entre los procedentes de PMA.  Se desarrollaron programas de investigación personalizados para asegurar que los participantes actualizan sus capacidades de investigación y pueden hacer una aportación importante a sus países en investigación sobre enfermedades tropicales olvidadas</w:t>
            </w:r>
          </w:p>
        </w:tc>
      </w:tr>
      <w:tr w:rsidR="00C10073" w:rsidRPr="00A9508D" w:rsidTr="00AA6702">
        <w:trPr>
          <w:cantSplit/>
          <w:trHeight w:val="315"/>
        </w:trPr>
        <w:tc>
          <w:tcPr>
            <w:tcW w:w="1843" w:type="dxa"/>
          </w:tcPr>
          <w:p w:rsidR="00C10073" w:rsidRPr="00A34388" w:rsidRDefault="00C10073" w:rsidP="00AA6702">
            <w:pPr>
              <w:spacing w:before="120" w:after="120"/>
              <w:rPr>
                <w:rFonts w:cs="Arial"/>
                <w:color w:val="000000"/>
                <w:sz w:val="16"/>
                <w:szCs w:val="16"/>
                <w:lang w:val="es-ES_tradnl"/>
              </w:rPr>
            </w:pPr>
            <w:r w:rsidRPr="00A34388">
              <w:rPr>
                <w:rFonts w:cs="Arial"/>
                <w:sz w:val="16"/>
                <w:szCs w:val="16"/>
                <w:lang w:val="es-ES_tradnl"/>
              </w:rPr>
              <w:lastRenderedPageBreak/>
              <w:t>Taller nacional sobre gestión de la propiedad intelectual y la tecnología para universidades y entidades dedicadas a la investigación y el desarrollo (I+D)</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20 a 23 de mayo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Indonesia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Desarrollar capacidades en la gestión de derechos de propiedad intelectual y en transferencia de tecnología entre profesionales nacionales de universidades públicas y entidades dedicadas a la investigación y el  desarrollo (I+D)</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 xml:space="preserve">Formación nacional sobre transferencia de tecnología </w:t>
            </w:r>
          </w:p>
        </w:tc>
        <w:tc>
          <w:tcPr>
            <w:tcW w:w="1134" w:type="dxa"/>
          </w:tcPr>
          <w:p w:rsidR="00C10073" w:rsidRPr="00A34388" w:rsidRDefault="00C10073" w:rsidP="00AA6702">
            <w:pPr>
              <w:spacing w:before="120" w:after="120"/>
              <w:rPr>
                <w:rFonts w:cs="Arial"/>
                <w:color w:val="000000"/>
                <w:sz w:val="16"/>
                <w:szCs w:val="16"/>
                <w:lang w:val="es-ES_tradnl"/>
              </w:rPr>
            </w:pPr>
            <w:r w:rsidRPr="00A34388">
              <w:rPr>
                <w:rFonts w:cs="Arial"/>
                <w:sz w:val="16"/>
                <w:szCs w:val="16"/>
                <w:lang w:val="es-ES_tradnl"/>
              </w:rPr>
              <w:t>28 a 31 de mayo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Tailandia</w:t>
            </w:r>
          </w:p>
        </w:tc>
        <w:tc>
          <w:tcPr>
            <w:tcW w:w="4110"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sz w:val="16"/>
                <w:szCs w:val="16"/>
                <w:lang w:val="es-ES_tradnl"/>
              </w:rPr>
              <w:t xml:space="preserve">Ayudar a Tailandia a desarrollar capital humano con las competencias necesarias en los ámbitos pertinentes para la transferencia de tecnología, como el uso de acuerdos de licencia como instrumento para la transferencia de tecnología </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Taller nacional sobre evaluación de la propiedad intelectual</w:t>
            </w:r>
          </w:p>
        </w:tc>
        <w:tc>
          <w:tcPr>
            <w:tcW w:w="1134" w:type="dxa"/>
          </w:tcPr>
          <w:p w:rsidR="00C10073" w:rsidRPr="00A34388" w:rsidRDefault="00C10073" w:rsidP="00AA6702">
            <w:pPr>
              <w:spacing w:before="120" w:after="120"/>
              <w:rPr>
                <w:rFonts w:cs="Arial"/>
                <w:sz w:val="16"/>
                <w:szCs w:val="16"/>
                <w:lang w:val="es-ES_tradnl"/>
              </w:rPr>
            </w:pPr>
            <w:r w:rsidRPr="00332758">
              <w:rPr>
                <w:rFonts w:cs="Arial"/>
                <w:sz w:val="16"/>
                <w:szCs w:val="16"/>
                <w:lang w:val="es-ES_tradnl"/>
              </w:rPr>
              <w:t>5 a 7 de junio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Viet Nam (Hanoi)</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Ayudar a Viet Nam a desarrollar una masa crítica de gestión de tecnología y profesionales de P.I. con las capacidades necesarias en el ámbito de la evaluación de la propiedad intelectual</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Taller nacional sobre evaluación de la propiedad intelectual</w:t>
            </w:r>
          </w:p>
        </w:tc>
        <w:tc>
          <w:tcPr>
            <w:tcW w:w="1134" w:type="dxa"/>
          </w:tcPr>
          <w:p w:rsidR="00C10073" w:rsidRPr="00A34388" w:rsidRDefault="00C10073"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10 a 12 de junio de 2013</w:t>
            </w:r>
          </w:p>
        </w:tc>
        <w:tc>
          <w:tcPr>
            <w:tcW w:w="1985" w:type="dxa"/>
          </w:tcPr>
          <w:p w:rsidR="00C10073" w:rsidRPr="001018EC" w:rsidRDefault="00C10073" w:rsidP="00AA6702">
            <w:pPr>
              <w:autoSpaceDE w:val="0"/>
              <w:autoSpaceDN w:val="0"/>
              <w:adjustRightInd w:val="0"/>
              <w:spacing w:before="120" w:after="120"/>
              <w:rPr>
                <w:rFonts w:cs="Arial"/>
                <w:color w:val="000000"/>
                <w:sz w:val="16"/>
                <w:szCs w:val="16"/>
              </w:rPr>
            </w:pPr>
            <w:r w:rsidRPr="001018EC">
              <w:rPr>
                <w:rFonts w:cs="Arial"/>
                <w:color w:val="000000"/>
                <w:sz w:val="16"/>
                <w:szCs w:val="16"/>
              </w:rPr>
              <w:t xml:space="preserve">Viet Nam </w:t>
            </w:r>
            <w:r w:rsidRPr="001018EC">
              <w:rPr>
                <w:rFonts w:cs="Arial"/>
                <w:color w:val="000000"/>
                <w:sz w:val="16"/>
                <w:szCs w:val="16"/>
              </w:rPr>
              <w:br/>
              <w:t>(Ciudad Ho Chi Minh)</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Ayudar a Viet Nam a desarrollar una masa crítica de gestión de tecnología y profesionales de P.I. con las capacidades necesarias en el ámbito de la evaluación de la propiedad intelectual</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color w:val="000000"/>
                <w:sz w:val="16"/>
                <w:szCs w:val="16"/>
                <w:lang w:val="es-ES_tradnl"/>
              </w:rPr>
              <w:t xml:space="preserve">Traducción al vietnamita del Manual de Redacción de Solicitudes de Patente de la OMPI </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Septiembre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Viet Nam</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color w:val="000000"/>
                <w:sz w:val="16"/>
                <w:szCs w:val="16"/>
                <w:lang w:val="es-ES_tradnl"/>
              </w:rPr>
              <w:t xml:space="preserve">Propiciar una mayor divulgación de conocimientos mediante el uso del Manual en la formación proporcionada por los participantes en el curso sobre fondos fiduciarios de la OMPI (véase más adelante) en su entorno de trabajo </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 xml:space="preserve">Taller nacional de redacción de solicitudes de patentes </w:t>
            </w:r>
          </w:p>
        </w:tc>
        <w:tc>
          <w:tcPr>
            <w:tcW w:w="1134" w:type="dxa"/>
          </w:tcPr>
          <w:p w:rsidR="00C10073" w:rsidRPr="00A34388" w:rsidRDefault="00C10073" w:rsidP="00AA6702">
            <w:pPr>
              <w:spacing w:before="120" w:after="120"/>
              <w:rPr>
                <w:rFonts w:cs="Arial"/>
                <w:sz w:val="16"/>
                <w:szCs w:val="16"/>
                <w:lang w:val="es-ES_tradnl"/>
              </w:rPr>
            </w:pPr>
            <w:r w:rsidRPr="00332758">
              <w:rPr>
                <w:rFonts w:cs="Arial"/>
                <w:sz w:val="16"/>
                <w:szCs w:val="16"/>
                <w:lang w:val="es-ES_tradnl"/>
              </w:rPr>
              <w:t>9 a 13 de septiembre de 2013</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Viet Nam</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Proporcionar conocimientos estratégicos sobre el sistema de patentes y formación práctica sobre la redacción de solicitudes de patentes, en particular sobre las diferentes estrategias del diseño de reivindicaciones</w:t>
            </w:r>
          </w:p>
        </w:tc>
      </w:tr>
      <w:tr w:rsidR="00C10073" w:rsidRPr="00A9508D" w:rsidTr="00AA6702">
        <w:trPr>
          <w:cantSplit/>
          <w:trHeight w:val="315"/>
        </w:trPr>
        <w:tc>
          <w:tcPr>
            <w:tcW w:w="1843"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color w:val="000000"/>
                <w:sz w:val="16"/>
                <w:szCs w:val="16"/>
                <w:lang w:val="es-ES_tradnl"/>
              </w:rPr>
              <w:t>“Caja de herramientas”</w:t>
            </w:r>
          </w:p>
        </w:tc>
        <w:tc>
          <w:tcPr>
            <w:tcW w:w="1134" w:type="dxa"/>
          </w:tcPr>
          <w:p w:rsidR="00C10073" w:rsidRPr="00A34388" w:rsidRDefault="00C10073" w:rsidP="00AA6702">
            <w:pPr>
              <w:spacing w:before="120" w:after="120"/>
              <w:rPr>
                <w:rFonts w:cs="Arial"/>
                <w:sz w:val="16"/>
                <w:szCs w:val="16"/>
                <w:lang w:val="es-ES_tradnl"/>
              </w:rPr>
            </w:pPr>
            <w:r w:rsidRPr="00A34388">
              <w:rPr>
                <w:rFonts w:cs="Arial"/>
                <w:color w:val="000000"/>
                <w:sz w:val="16"/>
                <w:szCs w:val="16"/>
                <w:lang w:val="es-ES_tradnl"/>
              </w:rPr>
              <w:t>Octubre de 2013 a abril de 2014</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Todos los países beneficiarios de los fondos fiduciarios</w:t>
            </w:r>
          </w:p>
        </w:tc>
        <w:tc>
          <w:tcPr>
            <w:tcW w:w="4110" w:type="dxa"/>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Desarrollar modelos de acuerdos basados en la P.I. que faciliten una colaboración entre instituciones académicas de la región de Asia y el Pacífico, en los contextos comerciales y de investigación, con otras entidades dedicadas a la I+D, consorcios e industrias</w:t>
            </w:r>
          </w:p>
        </w:tc>
      </w:tr>
      <w:tr w:rsidR="00C10073" w:rsidRPr="00A9508D" w:rsidTr="00AA6702">
        <w:trPr>
          <w:cantSplit/>
          <w:trHeight w:val="315"/>
        </w:trPr>
        <w:tc>
          <w:tcPr>
            <w:tcW w:w="1843" w:type="dxa"/>
            <w:tcBorders>
              <w:bottom w:val="single" w:sz="4" w:space="0" w:color="000000"/>
            </w:tcBorders>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 xml:space="preserve">Programa nacional de formación avanzada sobre negociación de licencias tecnológicas </w:t>
            </w:r>
          </w:p>
        </w:tc>
        <w:tc>
          <w:tcPr>
            <w:tcW w:w="1134" w:type="dxa"/>
            <w:tcBorders>
              <w:bottom w:val="single" w:sz="4" w:space="0" w:color="000000"/>
            </w:tcBorders>
          </w:tcPr>
          <w:p w:rsidR="00C10073" w:rsidRPr="00A34388" w:rsidRDefault="00C10073" w:rsidP="00AA6702">
            <w:pPr>
              <w:spacing w:before="120" w:after="120"/>
              <w:rPr>
                <w:rFonts w:cs="Arial"/>
                <w:sz w:val="16"/>
                <w:szCs w:val="16"/>
                <w:lang w:val="es-ES_tradnl"/>
              </w:rPr>
            </w:pPr>
            <w:r w:rsidRPr="00332758">
              <w:rPr>
                <w:rFonts w:cs="Arial"/>
                <w:sz w:val="16"/>
                <w:szCs w:val="16"/>
                <w:lang w:val="es-ES_tradnl"/>
              </w:rPr>
              <w:t>4 a 7 de noviembre de 2013</w:t>
            </w:r>
          </w:p>
        </w:tc>
        <w:tc>
          <w:tcPr>
            <w:tcW w:w="1985" w:type="dxa"/>
            <w:tcBorders>
              <w:bottom w:val="single" w:sz="4" w:space="0" w:color="000000"/>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Tailandia</w:t>
            </w:r>
          </w:p>
        </w:tc>
        <w:tc>
          <w:tcPr>
            <w:tcW w:w="4110" w:type="dxa"/>
            <w:tcBorders>
              <w:bottom w:val="single" w:sz="4" w:space="0" w:color="000000"/>
            </w:tcBorders>
          </w:tcPr>
          <w:p w:rsidR="00C10073" w:rsidRPr="00A34388" w:rsidRDefault="00C10073" w:rsidP="00AA6702">
            <w:pPr>
              <w:autoSpaceDE w:val="0"/>
              <w:autoSpaceDN w:val="0"/>
              <w:adjustRightInd w:val="0"/>
              <w:spacing w:before="120" w:after="120"/>
              <w:rPr>
                <w:rFonts w:cs="Arial"/>
                <w:sz w:val="16"/>
                <w:szCs w:val="16"/>
                <w:lang w:val="es-ES_tradnl"/>
              </w:rPr>
            </w:pPr>
            <w:r w:rsidRPr="00A34388">
              <w:rPr>
                <w:rFonts w:cs="Arial"/>
                <w:sz w:val="16"/>
                <w:szCs w:val="16"/>
                <w:lang w:val="es-ES_tradnl"/>
              </w:rPr>
              <w:t>Actualizar los conocimientos y capacidades de los profesionales nacionales en los ámbitos de las licencias, en especial en la aplicación de los métodos de evaluación de la propiedad intelectual en el contexto de la negociación de licencias y la redacción de contratos de licencia</w:t>
            </w:r>
          </w:p>
        </w:tc>
      </w:tr>
      <w:tr w:rsidR="00C10073" w:rsidRPr="00A9508D" w:rsidTr="00AA6702">
        <w:trPr>
          <w:cantSplit/>
          <w:trHeight w:val="315"/>
        </w:trPr>
        <w:tc>
          <w:tcPr>
            <w:tcW w:w="9072" w:type="dxa"/>
            <w:gridSpan w:val="4"/>
            <w:tcBorders>
              <w:top w:val="single" w:sz="4" w:space="0" w:color="000000"/>
              <w:bottom w:val="single" w:sz="4" w:space="0" w:color="000000"/>
            </w:tcBorders>
            <w:shd w:val="clear" w:color="auto" w:fill="CCFFFF"/>
          </w:tcPr>
          <w:p w:rsidR="00C10073" w:rsidRPr="00C82E3B" w:rsidRDefault="00C10073" w:rsidP="00AA6702">
            <w:pPr>
              <w:keepNext/>
              <w:keepLines/>
              <w:tabs>
                <w:tab w:val="left" w:pos="1740"/>
              </w:tabs>
              <w:spacing w:before="120" w:after="120"/>
              <w:ind w:left="1740" w:hanging="1740"/>
              <w:rPr>
                <w:sz w:val="16"/>
                <w:szCs w:val="16"/>
                <w:lang w:val="es-ES_tradnl"/>
              </w:rPr>
            </w:pPr>
            <w:r w:rsidRPr="00C82E3B">
              <w:rPr>
                <w:b/>
                <w:sz w:val="16"/>
                <w:szCs w:val="16"/>
                <w:lang w:val="es-ES_tradnl"/>
              </w:rPr>
              <w:t>RESULTADO:</w:t>
            </w:r>
            <w:r w:rsidRPr="00C82E3B">
              <w:rPr>
                <w:sz w:val="16"/>
                <w:szCs w:val="16"/>
                <w:lang w:val="es-ES_tradnl"/>
              </w:rPr>
              <w:t xml:space="preserve"> </w:t>
            </w:r>
            <w:r w:rsidRPr="00C82E3B">
              <w:rPr>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C10073" w:rsidRPr="00A34388" w:rsidTr="00AA6702">
        <w:trPr>
          <w:cantSplit/>
          <w:trHeight w:val="487"/>
        </w:trPr>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000000"/>
            </w:tcBorders>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AA6702">
        <w:trPr>
          <w:cantSplit/>
          <w:trHeight w:val="315"/>
        </w:trPr>
        <w:tc>
          <w:tcPr>
            <w:tcW w:w="1843" w:type="dxa"/>
          </w:tcPr>
          <w:p w:rsidR="00C10073" w:rsidRPr="00A34388" w:rsidRDefault="00C10073" w:rsidP="00AA6702">
            <w:pPr>
              <w:spacing w:before="120" w:after="120"/>
              <w:rPr>
                <w:rFonts w:cs="Arial"/>
                <w:color w:val="000000"/>
                <w:sz w:val="16"/>
                <w:szCs w:val="16"/>
                <w:lang w:val="es-ES_tradnl"/>
              </w:rPr>
            </w:pPr>
            <w:r w:rsidRPr="00A34388">
              <w:rPr>
                <w:rFonts w:eastAsia="Calibri" w:cs="Arial"/>
                <w:sz w:val="16"/>
                <w:szCs w:val="16"/>
                <w:lang w:val="es-ES_tradnl"/>
              </w:rPr>
              <w:t>Misión a cargo de asesores de la OMPI en Namibia, Bangladesh y Sri Lanka</w:t>
            </w:r>
          </w:p>
        </w:tc>
        <w:tc>
          <w:tcPr>
            <w:tcW w:w="1134" w:type="dxa"/>
          </w:tcPr>
          <w:p w:rsidR="00C10073" w:rsidRPr="00A34388" w:rsidRDefault="00C10073" w:rsidP="00AA6702">
            <w:pPr>
              <w:spacing w:before="120" w:after="120"/>
              <w:rPr>
                <w:rFonts w:cs="Arial"/>
                <w:color w:val="000000"/>
                <w:sz w:val="16"/>
                <w:szCs w:val="16"/>
                <w:lang w:val="es-ES_tradnl"/>
              </w:rPr>
            </w:pPr>
            <w:r w:rsidRPr="00A34388">
              <w:rPr>
                <w:rFonts w:eastAsia="Calibri" w:cs="Arial"/>
                <w:sz w:val="16"/>
                <w:szCs w:val="16"/>
                <w:lang w:val="es-ES_tradnl"/>
              </w:rPr>
              <w:t>Febrero de 2013 (Namibia)</w:t>
            </w:r>
            <w:r w:rsidRPr="00A34388">
              <w:rPr>
                <w:rFonts w:eastAsia="Calibri" w:cs="Arial"/>
                <w:sz w:val="16"/>
                <w:szCs w:val="16"/>
                <w:lang w:val="es-ES_tradnl"/>
              </w:rPr>
              <w:br/>
              <w:t xml:space="preserve">Abril de 2013 </w:t>
            </w:r>
            <w:r w:rsidRPr="00A34388">
              <w:rPr>
                <w:rFonts w:eastAsia="Calibri" w:cs="Arial"/>
                <w:spacing w:val="-4"/>
                <w:sz w:val="16"/>
                <w:szCs w:val="16"/>
                <w:lang w:val="es-ES_tradnl"/>
              </w:rPr>
              <w:t>(Bangladesh)</w:t>
            </w:r>
            <w:r w:rsidRPr="00A34388">
              <w:rPr>
                <w:rFonts w:eastAsia="Calibri" w:cs="Arial"/>
                <w:sz w:val="16"/>
                <w:szCs w:val="16"/>
                <w:lang w:val="es-ES_tradnl"/>
              </w:rPr>
              <w:t>Diciembre de 2013 (Sri Lanka)</w:t>
            </w:r>
          </w:p>
        </w:tc>
        <w:tc>
          <w:tcPr>
            <w:tcW w:w="1985"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Bangladesh, Namibia y Sri Lanka</w:t>
            </w:r>
          </w:p>
        </w:tc>
        <w:tc>
          <w:tcPr>
            <w:tcW w:w="4110" w:type="dxa"/>
          </w:tcPr>
          <w:p w:rsidR="00C10073" w:rsidRPr="00A34388" w:rsidRDefault="00C10073" w:rsidP="00987449">
            <w:pPr>
              <w:spacing w:before="120" w:after="120"/>
              <w:rPr>
                <w:rFonts w:cs="Arial"/>
                <w:color w:val="000000"/>
                <w:sz w:val="16"/>
                <w:szCs w:val="16"/>
                <w:lang w:val="es-ES_tradnl"/>
              </w:rPr>
            </w:pPr>
            <w:r w:rsidRPr="00A34388">
              <w:rPr>
                <w:rFonts w:eastAsia="Calibri" w:cs="Arial"/>
                <w:sz w:val="16"/>
                <w:szCs w:val="16"/>
                <w:lang w:val="es-ES_tradnl"/>
              </w:rPr>
              <w:t>Explorar la posibilidad de suscribir un memor</w:t>
            </w:r>
            <w:r w:rsidR="00987449" w:rsidRPr="00A34388">
              <w:rPr>
                <w:rFonts w:eastAsia="Calibri" w:cs="Arial"/>
                <w:sz w:val="16"/>
                <w:szCs w:val="16"/>
                <w:lang w:val="es-ES_tradnl"/>
              </w:rPr>
              <w:t xml:space="preserve">ando </w:t>
            </w:r>
            <w:r w:rsidRPr="00A34388">
              <w:rPr>
                <w:rFonts w:eastAsia="Calibri" w:cs="Arial"/>
                <w:sz w:val="16"/>
                <w:szCs w:val="16"/>
                <w:lang w:val="es-ES_tradnl"/>
              </w:rPr>
              <w:t>de entendimiento con una ONG local con el fin de fortalecer su capacidad para prestar asistencia a personas con discapacidad visual, así como generar en el sector editorial nacional y en los servicios públicos la capacidad de producir o convertir y distribuir versiones de libros en formatos accesibles (braille, audio o impresos en grandes caracteres)</w:t>
            </w:r>
          </w:p>
        </w:tc>
      </w:tr>
    </w:tbl>
    <w:p w:rsidR="00C10073" w:rsidRPr="00A34388" w:rsidRDefault="00C10073" w:rsidP="00C10073">
      <w:pPr>
        <w:rPr>
          <w:lang w:val="es-ES_tradnl"/>
        </w:rPr>
      </w:pPr>
    </w:p>
    <w:p w:rsidR="00C10073" w:rsidRPr="00A34388" w:rsidRDefault="00C10073" w:rsidP="00C10073">
      <w:pPr>
        <w:tabs>
          <w:tab w:val="left" w:pos="0"/>
          <w:tab w:val="left" w:pos="9071"/>
        </w:tabs>
        <w:rPr>
          <w:rFonts w:cs="Arial"/>
          <w:b/>
          <w:sz w:val="18"/>
          <w:szCs w:val="18"/>
          <w:lang w:val="es-ES_tradnl"/>
        </w:rPr>
      </w:pPr>
    </w:p>
    <w:p w:rsidR="00A72F35" w:rsidRPr="00332758" w:rsidRDefault="00A72F35">
      <w:pPr>
        <w:rPr>
          <w:rFonts w:cs="Arial"/>
          <w:b/>
          <w:sz w:val="18"/>
          <w:szCs w:val="18"/>
          <w:lang w:val="es-ES_tradnl"/>
        </w:rPr>
      </w:pPr>
      <w:r w:rsidRPr="00332758">
        <w:rPr>
          <w:rFonts w:cs="Arial"/>
          <w:b/>
          <w:sz w:val="18"/>
          <w:szCs w:val="18"/>
          <w:lang w:val="es-ES_tradnl"/>
        </w:rPr>
        <w:br w:type="page"/>
      </w:r>
    </w:p>
    <w:p w:rsidR="00C10073" w:rsidRPr="00332758" w:rsidRDefault="00C10073" w:rsidP="00C10073">
      <w:pPr>
        <w:tabs>
          <w:tab w:val="left" w:pos="0"/>
          <w:tab w:val="left" w:pos="9071"/>
        </w:tabs>
        <w:rPr>
          <w:rFonts w:cs="Arial"/>
          <w:b/>
          <w:sz w:val="18"/>
          <w:szCs w:val="18"/>
          <w:lang w:val="es-ES_tradnl"/>
        </w:rPr>
      </w:pPr>
      <w:r w:rsidRPr="00332758">
        <w:rPr>
          <w:rFonts w:cs="Arial"/>
          <w:b/>
          <w:sz w:val="18"/>
          <w:szCs w:val="18"/>
          <w:lang w:val="es-ES_tradnl"/>
        </w:rPr>
        <w:lastRenderedPageBreak/>
        <w:t>AUSTRALIA – Contribuciones de donantes y gastos de 2013</w:t>
      </w:r>
      <w:r w:rsidRPr="00332758">
        <w:rPr>
          <w:rFonts w:cs="Arial"/>
          <w:b/>
          <w:sz w:val="18"/>
          <w:szCs w:val="18"/>
          <w:vertAlign w:val="superscript"/>
          <w:lang w:val="es-ES_tradnl"/>
        </w:rPr>
        <w:t>1</w:t>
      </w:r>
    </w:p>
    <w:p w:rsidR="00C10073" w:rsidRPr="00A34388" w:rsidRDefault="00C10073" w:rsidP="00C10073">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40"/>
        <w:gridCol w:w="1870"/>
        <w:gridCol w:w="1650"/>
        <w:gridCol w:w="2200"/>
      </w:tblGrid>
      <w:tr w:rsidR="00C10073" w:rsidRPr="00A34388" w:rsidTr="00AA6702">
        <w:trPr>
          <w:trHeight w:val="437"/>
        </w:trPr>
        <w:tc>
          <w:tcPr>
            <w:tcW w:w="1870"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540"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70"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50"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2200"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70"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1.841.407</w:t>
            </w:r>
          </w:p>
        </w:tc>
        <w:tc>
          <w:tcPr>
            <w:tcW w:w="1540" w:type="dxa"/>
            <w:shd w:val="clear" w:color="auto" w:fill="auto"/>
            <w:vAlign w:val="center"/>
          </w:tcPr>
          <w:p w:rsidR="00C10073" w:rsidRPr="00A34388" w:rsidRDefault="00C10073" w:rsidP="00AA6702">
            <w:pPr>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-13.623</w:t>
            </w:r>
          </w:p>
        </w:tc>
        <w:tc>
          <w:tcPr>
            <w:tcW w:w="1870"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694.474</w:t>
            </w:r>
          </w:p>
        </w:tc>
        <w:tc>
          <w:tcPr>
            <w:tcW w:w="1650"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w:t>
            </w:r>
          </w:p>
        </w:tc>
        <w:tc>
          <w:tcPr>
            <w:tcW w:w="2200"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1.333.310</w:t>
            </w:r>
          </w:p>
        </w:tc>
      </w:tr>
    </w:tbl>
    <w:p w:rsidR="00C10073" w:rsidRPr="00FF0BCA" w:rsidRDefault="00C10073" w:rsidP="00C10073">
      <w:pPr>
        <w:spacing w:before="120"/>
        <w:rPr>
          <w:sz w:val="18"/>
          <w:szCs w:val="18"/>
          <w:lang w:val="es-ES_tradnl"/>
        </w:rPr>
      </w:pPr>
      <w:r w:rsidRPr="00332758">
        <w:rPr>
          <w:i/>
          <w:sz w:val="18"/>
          <w:szCs w:val="18"/>
          <w:vertAlign w:val="superscript"/>
          <w:lang w:val="es-ES_tradnl"/>
        </w:rPr>
        <w:t xml:space="preserve">1 </w:t>
      </w:r>
      <w:r w:rsidRPr="00FF0BCA">
        <w:rPr>
          <w:i/>
          <w:sz w:val="18"/>
          <w:szCs w:val="18"/>
          <w:lang w:val="es-ES_tradnl"/>
        </w:rPr>
        <w:t>Estados financieros de la OMPI de 2013 (Anexo III)</w:t>
      </w:r>
    </w:p>
    <w:p w:rsidR="00C10073" w:rsidRPr="00A34388" w:rsidRDefault="00C10073" w:rsidP="00C10073">
      <w:pPr>
        <w:rPr>
          <w:rFonts w:cs="Arial"/>
          <w:b/>
          <w:color w:val="000000"/>
          <w:szCs w:val="20"/>
          <w:lang w:val="es-ES_tradnl"/>
        </w:rPr>
      </w:pPr>
    </w:p>
    <w:p w:rsidR="00C10073" w:rsidRPr="00A34388" w:rsidRDefault="00C10073" w:rsidP="00C10073">
      <w:pPr>
        <w:rPr>
          <w:rFonts w:cs="Arial"/>
          <w:b/>
          <w:szCs w:val="20"/>
          <w:lang w:val="es-ES_tradnl"/>
        </w:rPr>
      </w:pPr>
      <w:r w:rsidRPr="00A34388">
        <w:rPr>
          <w:rFonts w:cs="Arial"/>
          <w:b/>
          <w:color w:val="000000"/>
          <w:szCs w:val="20"/>
          <w:lang w:val="es-ES_tradnl"/>
        </w:rPr>
        <w:t>BRASIL</w:t>
      </w:r>
    </w:p>
    <w:p w:rsidR="00C10073" w:rsidRPr="00A34388" w:rsidRDefault="00C10073" w:rsidP="00C10073">
      <w:pPr>
        <w:rPr>
          <w:rFonts w:cs="Arial"/>
          <w:b/>
          <w:szCs w:val="20"/>
          <w:lang w:val="es-ES_tradnl"/>
        </w:rPr>
      </w:pPr>
    </w:p>
    <w:tbl>
      <w:tblPr>
        <w:tblW w:w="915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43"/>
        <w:gridCol w:w="3835"/>
      </w:tblGrid>
      <w:tr w:rsidR="00C10073" w:rsidRPr="00A9508D" w:rsidTr="00FF0BCA">
        <w:tc>
          <w:tcPr>
            <w:tcW w:w="9155" w:type="dxa"/>
            <w:gridSpan w:val="4"/>
            <w:tcBorders>
              <w:top w:val="single" w:sz="4" w:space="0" w:color="000000"/>
              <w:bottom w:val="single" w:sz="4" w:space="0" w:color="000000"/>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 xml:space="preserve"> </w:t>
            </w:r>
            <w:r w:rsidRPr="00332758">
              <w:rPr>
                <w:rFonts w:cs="Arial"/>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C10073" w:rsidRPr="00A34388" w:rsidTr="00FF0BCA">
        <w:tc>
          <w:tcPr>
            <w:tcW w:w="1843"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2343"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3835"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Puesta en marcha del Centro de Mediación del INPI, con inclusión de un taller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12 a 14 de marzo de 2013</w:t>
            </w:r>
          </w:p>
        </w:tc>
        <w:tc>
          <w:tcPr>
            <w:tcW w:w="2343"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835" w:type="dxa"/>
          </w:tcPr>
          <w:p w:rsidR="00C10073" w:rsidRPr="00A34388" w:rsidRDefault="00C10073" w:rsidP="00AA6702">
            <w:pPr>
              <w:spacing w:after="1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El Centro de Mediación del INPI fue puesto en marcha oficialmente con motivo de una ceremonia y un taller posterior en la Escuela Regional Federal de la Judicatura (EMARF), los días 12 y 13 de marzo de 2013.  La OOB participó en la ceremonia inaugural, en la que destacó la colaboración entre la OMPI y el INPI en el establecimiento del nuevo centro de este último.  Además, el Centro de Arbitraje y Mediación de la OMPI informó de las recientes actividades de fortalecimiento de capacidades que organizaron el INPI y la OMPI para resaltar la importancia de la formación y suscitar interés en la mediación y los mecanismos alternativos de resolución de controversias.</w:t>
            </w:r>
          </w:p>
        </w:tc>
      </w:tr>
      <w:tr w:rsidR="00C10073" w:rsidRPr="00A9508D" w:rsidTr="00FF0BCA">
        <w:trPr>
          <w:trHeight w:val="371"/>
        </w:trPr>
        <w:tc>
          <w:tcPr>
            <w:tcW w:w="1843" w:type="dxa"/>
          </w:tcPr>
          <w:p w:rsidR="00C10073" w:rsidRPr="00A34388" w:rsidRDefault="00C10073" w:rsidP="00AA6702">
            <w:pPr>
              <w:spacing w:after="120"/>
              <w:rPr>
                <w:rFonts w:eastAsia="SimSun"/>
                <w:sz w:val="16"/>
                <w:szCs w:val="16"/>
                <w:lang w:val="es-ES_tradnl" w:eastAsia="zh-CN"/>
              </w:rPr>
            </w:pPr>
            <w:r w:rsidRPr="00A34388">
              <w:rPr>
                <w:rFonts w:eastAsia="SimSun"/>
                <w:sz w:val="16"/>
                <w:szCs w:val="16"/>
                <w:lang w:val="es-ES_tradnl" w:eastAsia="zh-CN"/>
              </w:rPr>
              <w:t>Reunión de los países del PROSUR con el BID, la Oficina de Patentes de los Estados Unidos (USPTO) y Oficina Canadiense de Propiedad Intelectual (CIPO).</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2 a 4 de abril de 2013</w:t>
            </w:r>
          </w:p>
        </w:tc>
        <w:tc>
          <w:tcPr>
            <w:tcW w:w="2343" w:type="dxa"/>
          </w:tcPr>
          <w:p w:rsidR="00C10073" w:rsidRPr="00A34388" w:rsidRDefault="00C10073" w:rsidP="00FF0BCA">
            <w:pPr>
              <w:autoSpaceDE w:val="0"/>
              <w:autoSpaceDN w:val="0"/>
              <w:adjustRightInd w:val="0"/>
              <w:spacing w:after="120"/>
              <w:rPr>
                <w:rFonts w:cs="Arial"/>
                <w:sz w:val="16"/>
                <w:szCs w:val="16"/>
                <w:lang w:val="es-ES_tradnl"/>
              </w:rPr>
            </w:pPr>
            <w:r w:rsidRPr="00A34388">
              <w:rPr>
                <w:rFonts w:cs="Arial"/>
                <w:color w:val="000000"/>
                <w:sz w:val="16"/>
                <w:szCs w:val="16"/>
                <w:lang w:val="es-ES_tradnl" w:eastAsia="pt-BR"/>
              </w:rPr>
              <w:t>Estados Unidos de América</w:t>
            </w:r>
            <w:r w:rsidR="005D2004" w:rsidRPr="00A34388">
              <w:rPr>
                <w:rFonts w:cs="Arial"/>
                <w:color w:val="000000"/>
                <w:sz w:val="16"/>
                <w:szCs w:val="16"/>
                <w:lang w:val="es-ES_tradnl" w:eastAsia="pt-BR"/>
              </w:rPr>
              <w:t xml:space="preserve">, </w:t>
            </w:r>
            <w:r w:rsidRPr="00A34388">
              <w:rPr>
                <w:rFonts w:cs="Arial"/>
                <w:color w:val="000000"/>
                <w:sz w:val="16"/>
                <w:szCs w:val="16"/>
                <w:lang w:val="es-ES_tradnl" w:eastAsia="pt-BR"/>
              </w:rPr>
              <w:t>Argentina, Brasil, Chile, Colombia, Ecuador, Paraguay, Perú, Suriname, Uruguay</w:t>
            </w:r>
          </w:p>
        </w:tc>
        <w:tc>
          <w:tcPr>
            <w:tcW w:w="3835" w:type="dxa"/>
          </w:tcPr>
          <w:p w:rsidR="00C10073" w:rsidRPr="00A34388" w:rsidRDefault="00C10073" w:rsidP="00AA6702">
            <w:pPr>
              <w:spacing w:after="220"/>
              <w:rPr>
                <w:rFonts w:eastAsia="SimSun" w:cs="Arial"/>
                <w:color w:val="000000"/>
                <w:sz w:val="16"/>
                <w:szCs w:val="16"/>
                <w:shd w:val="clear" w:color="auto" w:fill="FFFFFF"/>
                <w:lang w:val="es-ES_tradnl" w:eastAsia="zh-CN"/>
              </w:rPr>
            </w:pPr>
            <w:r w:rsidRPr="00A34388">
              <w:rPr>
                <w:rFonts w:eastAsia="SimSun"/>
                <w:sz w:val="16"/>
                <w:szCs w:val="16"/>
                <w:lang w:val="es-ES_tradnl" w:eastAsia="zh-CN"/>
              </w:rPr>
              <w:t>Reunión para debatir las futuras estrategias del proyecto de la plataforma PROSUR.</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XXXI seminario de funcionarios de oficinas de P.I. de países de América Latina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15 a 19 de abril de 2013</w:t>
            </w:r>
          </w:p>
        </w:tc>
        <w:tc>
          <w:tcPr>
            <w:tcW w:w="2343" w:type="dxa"/>
          </w:tcPr>
          <w:p w:rsidR="00C10073" w:rsidRPr="00A34388" w:rsidRDefault="00C10073" w:rsidP="00FF0BCA">
            <w:pPr>
              <w:autoSpaceDE w:val="0"/>
              <w:autoSpaceDN w:val="0"/>
              <w:adjustRightInd w:val="0"/>
              <w:spacing w:after="120"/>
              <w:rPr>
                <w:rFonts w:cs="Arial"/>
                <w:sz w:val="16"/>
                <w:szCs w:val="16"/>
                <w:lang w:val="es-ES_tradnl"/>
              </w:rPr>
            </w:pPr>
            <w:r w:rsidRPr="00A34388">
              <w:rPr>
                <w:rFonts w:cs="Arial"/>
                <w:sz w:val="16"/>
                <w:szCs w:val="16"/>
                <w:lang w:val="es-ES_tradnl"/>
              </w:rPr>
              <w:t>Brasil/Argentina, Brasil, Bolivia, Chile, Colombia, Costa Rica, Cuba, República Dominicana, Ecuador, El Salvador, Guatemala, Honduras, México, Nicaragua, Panamá, Paraguay, Perú, Uruguay</w:t>
            </w:r>
          </w:p>
        </w:tc>
        <w:tc>
          <w:tcPr>
            <w:tcW w:w="3835" w:type="dxa"/>
          </w:tcPr>
          <w:p w:rsidR="00C10073" w:rsidRPr="00A34388" w:rsidRDefault="00C10073" w:rsidP="00AA6702">
            <w:pPr>
              <w:spacing w:after="2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 xml:space="preserve">Crear un foro para representantes de las oficinas de P.I. de América Latina para intensificar el intercambio de experiencias y la colaboración en materia de P.I. con el fin de reforzar el uso de activos intangibles </w:t>
            </w:r>
          </w:p>
        </w:tc>
      </w:tr>
      <w:tr w:rsidR="00C10073" w:rsidRPr="00A9508D" w:rsidTr="00FF0BCA">
        <w:trPr>
          <w:trHeight w:val="371"/>
        </w:trPr>
        <w:tc>
          <w:tcPr>
            <w:tcW w:w="1843" w:type="dxa"/>
          </w:tcPr>
          <w:p w:rsidR="00C10073" w:rsidRPr="00A34388" w:rsidRDefault="00C10073" w:rsidP="00380F05">
            <w:pPr>
              <w:spacing w:after="220"/>
              <w:rPr>
                <w:rFonts w:eastAsia="SimSun"/>
                <w:sz w:val="16"/>
                <w:szCs w:val="16"/>
                <w:lang w:val="es-ES_tradnl" w:eastAsia="zh-CN"/>
              </w:rPr>
            </w:pPr>
            <w:r w:rsidRPr="00A34388">
              <w:rPr>
                <w:rFonts w:eastAsia="SimSun"/>
                <w:sz w:val="16"/>
                <w:szCs w:val="16"/>
                <w:lang w:val="es-ES_tradnl" w:eastAsia="zh-CN"/>
              </w:rPr>
              <w:t>“PI em questão”</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8 de abril de 2013</w:t>
            </w:r>
          </w:p>
        </w:tc>
        <w:tc>
          <w:tcPr>
            <w:tcW w:w="2343" w:type="dxa"/>
          </w:tcPr>
          <w:p w:rsidR="00C10073" w:rsidRPr="00A34388" w:rsidRDefault="00C10073" w:rsidP="00AA6702">
            <w:pPr>
              <w:autoSpaceDE w:val="0"/>
              <w:autoSpaceDN w:val="0"/>
              <w:adjustRightInd w:val="0"/>
              <w:spacing w:after="120"/>
              <w:rPr>
                <w:rFonts w:cs="Arial"/>
                <w:color w:val="000000"/>
                <w:sz w:val="16"/>
                <w:szCs w:val="16"/>
                <w:lang w:val="es-ES_tradnl" w:eastAsia="pt-BR"/>
              </w:rPr>
            </w:pPr>
            <w:r w:rsidRPr="00332758">
              <w:rPr>
                <w:rFonts w:cs="Arial"/>
                <w:sz w:val="16"/>
                <w:szCs w:val="16"/>
                <w:lang w:val="es-ES_tradnl" w:eastAsia="pt-BR"/>
              </w:rPr>
              <w:t>Brasil</w:t>
            </w:r>
          </w:p>
        </w:tc>
        <w:tc>
          <w:tcPr>
            <w:tcW w:w="3835" w:type="dxa"/>
          </w:tcPr>
          <w:p w:rsidR="00C10073" w:rsidRPr="00A34388" w:rsidRDefault="00C10073" w:rsidP="00AA6702">
            <w:pPr>
              <w:spacing w:after="120"/>
              <w:rPr>
                <w:rFonts w:eastAsia="SimSun"/>
                <w:sz w:val="16"/>
                <w:szCs w:val="16"/>
                <w:lang w:val="es-ES_tradnl" w:eastAsia="zh-CN"/>
              </w:rPr>
            </w:pPr>
            <w:r w:rsidRPr="00A34388">
              <w:rPr>
                <w:rFonts w:eastAsia="SimSun"/>
                <w:sz w:val="16"/>
                <w:szCs w:val="16"/>
                <w:lang w:val="es-ES_tradnl" w:eastAsia="zh-CN"/>
              </w:rPr>
              <w:t xml:space="preserve">Conferencia sobre </w:t>
            </w:r>
            <w:r w:rsidRPr="00A34388">
              <w:rPr>
                <w:rFonts w:eastAsia="SimSun"/>
                <w:i/>
                <w:sz w:val="16"/>
                <w:szCs w:val="16"/>
                <w:lang w:val="es-ES_tradnl" w:eastAsia="zh-CN"/>
              </w:rPr>
              <w:t xml:space="preserve">Aspectos relacionados con el desarrollo de proyectos de investigación sobre la economía de la P.I. </w:t>
            </w:r>
            <w:r w:rsidRPr="00A34388">
              <w:rPr>
                <w:rFonts w:eastAsia="SimSun"/>
                <w:sz w:val="16"/>
                <w:szCs w:val="16"/>
                <w:lang w:val="es-ES_tradnl" w:eastAsia="zh-CN"/>
              </w:rPr>
              <w:t>dirigida a estudiantes del Máster sobre P.I., Innovación y Desarrollo, así como a un grupo de investigadores brasileños</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Programa de formación sobre la comercialización de la P.I.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13 a 14 de mayo de 2013</w:t>
            </w:r>
          </w:p>
        </w:tc>
        <w:tc>
          <w:tcPr>
            <w:tcW w:w="2343" w:type="dxa"/>
          </w:tcPr>
          <w:p w:rsidR="00C10073" w:rsidRPr="00A34388" w:rsidRDefault="00C10073" w:rsidP="00AA6702">
            <w:pPr>
              <w:autoSpaceDE w:val="0"/>
              <w:autoSpaceDN w:val="0"/>
              <w:adjustRightInd w:val="0"/>
              <w:spacing w:after="120"/>
              <w:rPr>
                <w:rFonts w:cs="Arial"/>
                <w:color w:val="000000"/>
                <w:sz w:val="16"/>
                <w:szCs w:val="16"/>
                <w:lang w:val="es-ES_tradnl" w:eastAsia="pt-BR"/>
              </w:rPr>
            </w:pPr>
            <w:r w:rsidRPr="00332758">
              <w:rPr>
                <w:rFonts w:cs="Arial"/>
                <w:sz w:val="16"/>
                <w:szCs w:val="16"/>
                <w:lang w:val="es-ES_tradnl" w:eastAsia="pt-BR"/>
              </w:rPr>
              <w:t>Brasil</w:t>
            </w:r>
          </w:p>
        </w:tc>
        <w:tc>
          <w:tcPr>
            <w:tcW w:w="3835" w:type="dxa"/>
          </w:tcPr>
          <w:p w:rsidR="00C10073" w:rsidRPr="00A34388" w:rsidRDefault="00C10073" w:rsidP="00AA6702">
            <w:pPr>
              <w:spacing w:after="120"/>
              <w:rPr>
                <w:rFonts w:eastAsia="SimSun"/>
                <w:sz w:val="16"/>
                <w:szCs w:val="16"/>
                <w:lang w:val="es-ES_tradnl" w:eastAsia="zh-CN"/>
              </w:rPr>
            </w:pPr>
            <w:r w:rsidRPr="00A34388">
              <w:rPr>
                <w:rFonts w:eastAsia="SimSun"/>
                <w:sz w:val="16"/>
                <w:szCs w:val="16"/>
                <w:lang w:val="es-ES_tradnl" w:eastAsia="zh-CN"/>
              </w:rPr>
              <w:t xml:space="preserve">Fortalecer la capacidad del sector privado y de las instituciones dedicadas a la investigación en relación con la gestión de los activos intangibles </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Reunión sobre P.I. del Consejo de la Agenda Global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11 a 12 de junio de 2013</w:t>
            </w:r>
          </w:p>
        </w:tc>
        <w:tc>
          <w:tcPr>
            <w:tcW w:w="2343" w:type="dxa"/>
          </w:tcPr>
          <w:p w:rsidR="00C10073" w:rsidRPr="00A34388" w:rsidRDefault="00C10073" w:rsidP="00FF0BCA">
            <w:pPr>
              <w:autoSpaceDE w:val="0"/>
              <w:autoSpaceDN w:val="0"/>
              <w:adjustRightInd w:val="0"/>
              <w:spacing w:after="120"/>
              <w:rPr>
                <w:rFonts w:cs="Arial"/>
                <w:color w:val="000000"/>
                <w:sz w:val="16"/>
                <w:szCs w:val="16"/>
                <w:lang w:val="es-ES_tradnl" w:eastAsia="pt-BR"/>
              </w:rPr>
            </w:pPr>
            <w:r w:rsidRPr="00A34388">
              <w:rPr>
                <w:rFonts w:cs="Arial"/>
                <w:color w:val="000000"/>
                <w:sz w:val="16"/>
                <w:szCs w:val="16"/>
                <w:lang w:val="es-ES_tradnl" w:eastAsia="pt-BR"/>
              </w:rPr>
              <w:t>Brasil/ Colombia, Perú y Uruguay</w:t>
            </w:r>
          </w:p>
        </w:tc>
        <w:tc>
          <w:tcPr>
            <w:tcW w:w="3835" w:type="dxa"/>
          </w:tcPr>
          <w:p w:rsidR="00C10073" w:rsidRPr="00A34388" w:rsidRDefault="00C10073" w:rsidP="00AA6702">
            <w:pPr>
              <w:spacing w:after="220"/>
              <w:rPr>
                <w:rFonts w:eastAsia="SimSun"/>
                <w:sz w:val="16"/>
                <w:szCs w:val="16"/>
                <w:lang w:val="es-ES_tradnl" w:eastAsia="zh-CN"/>
              </w:rPr>
            </w:pPr>
            <w:r w:rsidRPr="00A34388">
              <w:rPr>
                <w:rFonts w:eastAsia="SimSun" w:cs="Arial"/>
                <w:color w:val="000000"/>
                <w:sz w:val="16"/>
                <w:szCs w:val="16"/>
                <w:shd w:val="clear" w:color="auto" w:fill="FFFFFF"/>
                <w:lang w:val="es-ES_tradnl" w:eastAsia="zh-CN"/>
              </w:rPr>
              <w:t xml:space="preserve">Crear un foro de debate sobre el futuro del sistema de P.I. centrado en el desarrollo, en especial en el contexto de la Red de Consejos Temáticos del Foro Económico Mundial, dirigido a más de 1.500 líderes comprometidos a abordar cuestiones urgentes y a aportar nuevas ideas y soluciones para un desarrollo económico sostenible </w:t>
            </w:r>
          </w:p>
        </w:tc>
      </w:tr>
      <w:tr w:rsidR="00C10073" w:rsidRPr="00A9508D" w:rsidTr="00FF0BCA">
        <w:trPr>
          <w:trHeight w:val="371"/>
        </w:trPr>
        <w:tc>
          <w:tcPr>
            <w:tcW w:w="1843"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A34388">
              <w:rPr>
                <w:rFonts w:cs="Arial"/>
                <w:sz w:val="16"/>
                <w:szCs w:val="16"/>
                <w:lang w:val="es-ES_tradnl"/>
              </w:rPr>
              <w:lastRenderedPageBreak/>
              <w:t>II Foro Interregional para jefes de las Oficinas de la Propiedad Industrial de los países árabes y de Sudamérica</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25 a 27 de junio de 2013</w:t>
            </w:r>
          </w:p>
        </w:tc>
        <w:tc>
          <w:tcPr>
            <w:tcW w:w="2343" w:type="dxa"/>
          </w:tcPr>
          <w:p w:rsidR="00C10073" w:rsidRPr="00A34388" w:rsidRDefault="00C10073" w:rsidP="00FF0BCA">
            <w:pPr>
              <w:rPr>
                <w:bCs/>
                <w:color w:val="000000"/>
                <w:sz w:val="16"/>
                <w:szCs w:val="16"/>
                <w:lang w:val="es-ES_tradnl"/>
              </w:rPr>
            </w:pPr>
            <w:r w:rsidRPr="00A34388">
              <w:rPr>
                <w:sz w:val="16"/>
                <w:szCs w:val="16"/>
                <w:lang w:val="es-ES_tradnl"/>
              </w:rPr>
              <w:t xml:space="preserve">Brasil/Argentina, Chile, Colombia, Ecuador, Paraguay, Perú y Uruguay (participantes financiados por el fondo fiduciario del Brasil);  </w:t>
            </w:r>
            <w:r w:rsidRPr="00A34388">
              <w:rPr>
                <w:color w:val="000000"/>
                <w:sz w:val="16"/>
                <w:szCs w:val="16"/>
                <w:lang w:val="es-ES_tradnl"/>
              </w:rPr>
              <w:t xml:space="preserve">Egipto, </w:t>
            </w:r>
            <w:r w:rsidRPr="00A34388">
              <w:rPr>
                <w:bCs/>
                <w:color w:val="000000"/>
                <w:sz w:val="16"/>
                <w:szCs w:val="16"/>
                <w:lang w:val="es-ES_tradnl"/>
              </w:rPr>
              <w:t xml:space="preserve">Libia, Marruecos, Omán, </w:t>
            </w:r>
            <w:r w:rsidR="00246125" w:rsidRPr="00A34388">
              <w:rPr>
                <w:bCs/>
                <w:color w:val="000000"/>
                <w:sz w:val="16"/>
                <w:szCs w:val="16"/>
                <w:lang w:val="es-ES_tradnl"/>
              </w:rPr>
              <w:t xml:space="preserve">Estado de </w:t>
            </w:r>
            <w:r w:rsidRPr="00A34388">
              <w:rPr>
                <w:bCs/>
                <w:color w:val="000000"/>
                <w:sz w:val="16"/>
                <w:szCs w:val="16"/>
                <w:lang w:val="es-ES_tradnl"/>
              </w:rPr>
              <w:t xml:space="preserve">Palestina, </w:t>
            </w:r>
            <w:r w:rsidRPr="00A34388">
              <w:rPr>
                <w:color w:val="000000"/>
                <w:sz w:val="16"/>
                <w:szCs w:val="16"/>
                <w:lang w:val="es-ES_tradnl"/>
              </w:rPr>
              <w:t xml:space="preserve">Qatar, </w:t>
            </w:r>
            <w:r w:rsidRPr="00A34388">
              <w:rPr>
                <w:bCs/>
                <w:color w:val="000000"/>
                <w:sz w:val="16"/>
                <w:szCs w:val="16"/>
                <w:lang w:val="es-ES_tradnl"/>
              </w:rPr>
              <w:t>Arabia Saudita, Sudán, Túnez</w:t>
            </w:r>
            <w:r w:rsidRPr="00A34388">
              <w:rPr>
                <w:color w:val="000000"/>
                <w:sz w:val="16"/>
                <w:szCs w:val="16"/>
                <w:lang w:val="es-ES_tradnl"/>
              </w:rPr>
              <w:t xml:space="preserve"> y Yemen (financiado por el programa 30)</w:t>
            </w:r>
          </w:p>
        </w:tc>
        <w:tc>
          <w:tcPr>
            <w:tcW w:w="3835" w:type="dxa"/>
          </w:tcPr>
          <w:p w:rsidR="00C10073" w:rsidRPr="00A34388" w:rsidRDefault="00C10073" w:rsidP="00AA6702">
            <w:pPr>
              <w:spacing w:after="220"/>
              <w:rPr>
                <w:rFonts w:eastAsia="SimSun"/>
                <w:sz w:val="16"/>
                <w:szCs w:val="16"/>
                <w:lang w:val="es-ES_tradnl" w:eastAsia="zh-CN"/>
              </w:rPr>
            </w:pPr>
            <w:r w:rsidRPr="00A34388">
              <w:rPr>
                <w:rFonts w:cs="Arial"/>
                <w:color w:val="000000"/>
                <w:sz w:val="16"/>
                <w:szCs w:val="16"/>
                <w:shd w:val="clear" w:color="auto" w:fill="FFFFFF"/>
                <w:lang w:val="es-ES_tradnl"/>
              </w:rPr>
              <w:t xml:space="preserve">i) Debatir sobre la creciente importancia de las estrategias de innovación para la competitividad económica y el desarrollo social;  ii) reforzar la cooperación entre las dos regiones;  y iii) facilitar el intercambio de experiencias y problemas similares sobre cuestiones de P.I. </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Dos talleres sobre P.I. y transferencia de tecnología, organizados por la Universidad Católica de Río de Janeiro (PUC-Rio) y por la Universidad Católica de Río Grande do Sul PUC-RS)</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Ginebra, 1 a 4 de julio de 2013</w:t>
            </w:r>
          </w:p>
        </w:tc>
        <w:tc>
          <w:tcPr>
            <w:tcW w:w="2343" w:type="dxa"/>
          </w:tcPr>
          <w:p w:rsidR="00C10073" w:rsidRPr="00A34388" w:rsidRDefault="00C10073" w:rsidP="00380F05">
            <w:pPr>
              <w:autoSpaceDE w:val="0"/>
              <w:autoSpaceDN w:val="0"/>
              <w:adjustRightInd w:val="0"/>
              <w:spacing w:after="120"/>
              <w:rPr>
                <w:rFonts w:cs="Arial"/>
                <w:color w:val="000000"/>
                <w:sz w:val="16"/>
                <w:szCs w:val="16"/>
                <w:lang w:val="es-ES_tradnl" w:eastAsia="pt-BR"/>
              </w:rPr>
            </w:pPr>
            <w:r w:rsidRPr="00A34388">
              <w:rPr>
                <w:rFonts w:cs="Arial"/>
                <w:color w:val="000000"/>
                <w:sz w:val="16"/>
                <w:szCs w:val="16"/>
                <w:lang w:val="es-ES_tradnl" w:eastAsia="pt-BR"/>
              </w:rPr>
              <w:t>Brasil (R</w:t>
            </w:r>
            <w:r w:rsidR="00380F05" w:rsidRPr="00A34388">
              <w:rPr>
                <w:rFonts w:cs="Arial"/>
                <w:color w:val="000000"/>
                <w:sz w:val="16"/>
                <w:szCs w:val="16"/>
                <w:lang w:val="es-ES_tradnl" w:eastAsia="pt-BR"/>
              </w:rPr>
              <w:t>í</w:t>
            </w:r>
            <w:r w:rsidRPr="00A34388">
              <w:rPr>
                <w:rFonts w:cs="Arial"/>
                <w:color w:val="000000"/>
                <w:sz w:val="16"/>
                <w:szCs w:val="16"/>
                <w:lang w:val="es-ES_tradnl" w:eastAsia="pt-BR"/>
              </w:rPr>
              <w:t>o de Janeiro y Porto Alegre)/ Brasil</w:t>
            </w:r>
          </w:p>
        </w:tc>
        <w:tc>
          <w:tcPr>
            <w:tcW w:w="3835"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Debatir aspectos relacionados con las políticas públicas sobre innovación y P.I. en la medida en que están relacionados con los retos de la transferencia de conocimientos a los que se enfrentan las oficinas de transferencia de tecnología de las universidades e instituciones dedicadas a la investigación </w:t>
            </w:r>
          </w:p>
        </w:tc>
      </w:tr>
      <w:tr w:rsidR="00C10073" w:rsidRPr="00A9508D" w:rsidTr="00FF0BCA">
        <w:trPr>
          <w:trHeight w:val="371"/>
        </w:trPr>
        <w:tc>
          <w:tcPr>
            <w:tcW w:w="1843" w:type="dxa"/>
          </w:tcPr>
          <w:p w:rsidR="00C10073" w:rsidRPr="00A34388" w:rsidRDefault="00C10073" w:rsidP="00AA6702">
            <w:pPr>
              <w:spacing w:before="120" w:after="220"/>
              <w:rPr>
                <w:rFonts w:eastAsia="SimSun"/>
                <w:sz w:val="16"/>
                <w:szCs w:val="16"/>
                <w:lang w:val="es-ES_tradnl" w:eastAsia="zh-CN"/>
              </w:rPr>
            </w:pPr>
            <w:r w:rsidRPr="00A34388">
              <w:rPr>
                <w:rFonts w:eastAsia="SimSun"/>
                <w:sz w:val="16"/>
                <w:szCs w:val="16"/>
                <w:lang w:val="es-ES_tradnl" w:eastAsia="zh-CN"/>
              </w:rPr>
              <w:t xml:space="preserve">Conferencia sobre el uso estratégico de la propiedad intelectual por la industria deportiva </w:t>
            </w:r>
          </w:p>
        </w:tc>
        <w:tc>
          <w:tcPr>
            <w:tcW w:w="1134" w:type="dxa"/>
          </w:tcPr>
          <w:p w:rsidR="00C10073" w:rsidRPr="00A34388" w:rsidRDefault="00C10073"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30 y 31 de julio de 2013</w:t>
            </w:r>
          </w:p>
        </w:tc>
        <w:tc>
          <w:tcPr>
            <w:tcW w:w="2343" w:type="dxa"/>
          </w:tcPr>
          <w:p w:rsidR="00C10073" w:rsidRPr="00A34388" w:rsidRDefault="00C10073" w:rsidP="00AA6702">
            <w:pPr>
              <w:autoSpaceDE w:val="0"/>
              <w:autoSpaceDN w:val="0"/>
              <w:adjustRightInd w:val="0"/>
              <w:spacing w:before="120" w:after="120"/>
              <w:rPr>
                <w:rFonts w:cs="Arial"/>
                <w:color w:val="000000"/>
                <w:sz w:val="16"/>
                <w:szCs w:val="16"/>
                <w:lang w:val="es-ES_tradnl" w:eastAsia="pt-BR"/>
              </w:rPr>
            </w:pPr>
            <w:r w:rsidRPr="00332758">
              <w:rPr>
                <w:rFonts w:cs="Arial"/>
                <w:sz w:val="16"/>
                <w:szCs w:val="16"/>
                <w:lang w:val="es-ES_tradnl" w:eastAsia="pt-BR"/>
              </w:rPr>
              <w:t>Brasil</w:t>
            </w:r>
          </w:p>
        </w:tc>
        <w:tc>
          <w:tcPr>
            <w:tcW w:w="3835" w:type="dxa"/>
          </w:tcPr>
          <w:p w:rsidR="00C10073" w:rsidRPr="00A34388" w:rsidRDefault="00C10073" w:rsidP="00AA6702">
            <w:pPr>
              <w:spacing w:before="120" w:after="1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Reforzar la comprensión de la importancia de:  i) un enfoque estratégico para crear un patrimonio de P.I. tras la celebración de acontecimientos deportivos importantes;  ii) un uso informado de las marcas y patentes para asegurar el éxito de operaciones comerciales realizadas en el contexto de acontecimientos deportivos importantes.</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VI Congreso Internacional de Software Libre y Gobierno Electrónico (CONSEGUI)</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13 a 15 de agosto de 2013</w:t>
            </w:r>
          </w:p>
        </w:tc>
        <w:tc>
          <w:tcPr>
            <w:tcW w:w="2343"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835" w:type="dxa"/>
          </w:tcPr>
          <w:p w:rsidR="00C10073" w:rsidRPr="00A34388" w:rsidRDefault="00C10073" w:rsidP="00AA6702">
            <w:pPr>
              <w:spacing w:after="120"/>
              <w:rPr>
                <w:rFonts w:eastAsia="SimSun"/>
                <w:sz w:val="16"/>
                <w:szCs w:val="16"/>
                <w:lang w:val="es-ES_tradnl" w:eastAsia="zh-CN"/>
              </w:rPr>
            </w:pPr>
            <w:r w:rsidRPr="00A34388">
              <w:rPr>
                <w:rFonts w:eastAsia="SimSun"/>
                <w:sz w:val="16"/>
                <w:szCs w:val="16"/>
                <w:lang w:val="es-ES_tradnl" w:eastAsia="zh-CN"/>
              </w:rPr>
              <w:t>Promover un foro para el debate entre representantes del gobierno del Brasil y la sociedad civil sobre proyectos e iniciativas relacionados con el intercambio de conocimientos, la adopción de estándares de fuente abierta y la promoción de las soluciones de software libre a fin de contribuir a la mejora de las políticas públicas sobre las tecnologías de la información y la comunicación</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Taller Interregional de la OMPI sobre Análisis de Patentes</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26 a 28 de agosto de 2013</w:t>
            </w:r>
          </w:p>
        </w:tc>
        <w:tc>
          <w:tcPr>
            <w:tcW w:w="2343" w:type="dxa"/>
          </w:tcPr>
          <w:p w:rsidR="00C10073" w:rsidRPr="00A34388" w:rsidRDefault="00C10073" w:rsidP="00AA6702">
            <w:pPr>
              <w:autoSpaceDE w:val="0"/>
              <w:autoSpaceDN w:val="0"/>
              <w:adjustRightInd w:val="0"/>
              <w:spacing w:after="120"/>
              <w:rPr>
                <w:rFonts w:cs="Arial"/>
                <w:color w:val="000000"/>
                <w:sz w:val="16"/>
                <w:szCs w:val="16"/>
                <w:lang w:val="es-ES_tradnl" w:eastAsia="pt-BR"/>
              </w:rPr>
            </w:pPr>
            <w:r w:rsidRPr="00A34388">
              <w:rPr>
                <w:rFonts w:cs="Arial"/>
                <w:sz w:val="16"/>
                <w:szCs w:val="16"/>
                <w:lang w:val="es-ES_tradnl"/>
              </w:rPr>
              <w:t>Brasil/ Chile, Colombia, Cuba, México y Filipinas</w:t>
            </w:r>
          </w:p>
        </w:tc>
        <w:tc>
          <w:tcPr>
            <w:tcW w:w="3835"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 xml:space="preserve">i) Debatir sobre los retos a que se enfrenta la actividad de patentamiento;  ii) compartir las mejores prácticas;  iii) detectar oportunidades de mejora de la cooperación en el uso de la información sobre patentes;  y iv) establecer una plataforma para el debate y el intercambio de opiniones de cara al proyecto de directrices de la OMPI para la elaboración de informes sobre la actividad de patentamiento </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cs="Arial"/>
                <w:color w:val="000000"/>
                <w:sz w:val="16"/>
                <w:szCs w:val="16"/>
                <w:lang w:val="es-ES_tradnl"/>
              </w:rPr>
              <w:t xml:space="preserve">Asesoramiento al PROSUR </w:t>
            </w:r>
          </w:p>
        </w:tc>
        <w:tc>
          <w:tcPr>
            <w:tcW w:w="1134" w:type="dxa"/>
          </w:tcPr>
          <w:p w:rsidR="00C10073" w:rsidRPr="00A34388" w:rsidRDefault="00C10073" w:rsidP="00AA6702">
            <w:pPr>
              <w:autoSpaceDE w:val="0"/>
              <w:autoSpaceDN w:val="0"/>
              <w:adjustRightInd w:val="0"/>
              <w:spacing w:after="120"/>
              <w:rPr>
                <w:rFonts w:cs="Arial"/>
                <w:color w:val="808080"/>
                <w:sz w:val="16"/>
                <w:szCs w:val="16"/>
                <w:lang w:val="es-ES_tradnl"/>
              </w:rPr>
            </w:pPr>
            <w:r w:rsidRPr="00332758">
              <w:rPr>
                <w:rFonts w:cs="Arial"/>
                <w:sz w:val="16"/>
                <w:szCs w:val="16"/>
                <w:lang w:val="es-ES_tradnl"/>
              </w:rPr>
              <w:t>Ginebra, 3 de septiembre a 3 de octubre de 2013</w:t>
            </w:r>
          </w:p>
        </w:tc>
        <w:tc>
          <w:tcPr>
            <w:tcW w:w="2343" w:type="dxa"/>
          </w:tcPr>
          <w:p w:rsidR="00C10073" w:rsidRPr="00332758" w:rsidRDefault="00C10073" w:rsidP="00FF0BCA">
            <w:pPr>
              <w:autoSpaceDE w:val="0"/>
              <w:autoSpaceDN w:val="0"/>
              <w:adjustRightInd w:val="0"/>
              <w:spacing w:after="120"/>
              <w:rPr>
                <w:rFonts w:cs="Arial"/>
                <w:sz w:val="16"/>
                <w:szCs w:val="16"/>
                <w:lang w:val="es-ES_tradnl"/>
              </w:rPr>
            </w:pPr>
            <w:r w:rsidRPr="00332758">
              <w:rPr>
                <w:rFonts w:cs="Arial"/>
                <w:sz w:val="16"/>
                <w:szCs w:val="16"/>
                <w:lang w:val="es-ES_tradnl"/>
              </w:rPr>
              <w:t>Argentina, Brasil, Colombia,</w:t>
            </w:r>
            <w:r w:rsidR="005D2004" w:rsidRPr="00332758">
              <w:rPr>
                <w:rFonts w:cs="Arial"/>
                <w:sz w:val="16"/>
                <w:szCs w:val="16"/>
                <w:lang w:val="es-ES_tradnl"/>
              </w:rPr>
              <w:t xml:space="preserve"> </w:t>
            </w:r>
            <w:r w:rsidRPr="00332758">
              <w:rPr>
                <w:rFonts w:cs="Arial"/>
                <w:sz w:val="16"/>
                <w:szCs w:val="16"/>
                <w:lang w:val="es-ES_tradnl"/>
              </w:rPr>
              <w:t>Ecuador, Paraguay, Perú, Suriname y Uruguay</w:t>
            </w:r>
          </w:p>
        </w:tc>
        <w:tc>
          <w:tcPr>
            <w:tcW w:w="3835" w:type="dxa"/>
          </w:tcPr>
          <w:p w:rsidR="00C10073" w:rsidRPr="00A34388" w:rsidRDefault="00C10073" w:rsidP="00AA6702">
            <w:pPr>
              <w:spacing w:after="200"/>
              <w:rPr>
                <w:rFonts w:cs="Arial"/>
                <w:color w:val="000000"/>
                <w:sz w:val="16"/>
                <w:szCs w:val="16"/>
                <w:lang w:val="es-ES_tradnl" w:eastAsia="pt-BR"/>
              </w:rPr>
            </w:pPr>
            <w:r w:rsidRPr="00A34388">
              <w:rPr>
                <w:rFonts w:cs="Arial"/>
                <w:color w:val="000000"/>
                <w:sz w:val="16"/>
                <w:szCs w:val="16"/>
                <w:lang w:val="es-ES_tradnl" w:eastAsia="pt-BR"/>
              </w:rPr>
              <w:t xml:space="preserve">Elaborar un estudio de evaluación sobre la institucionalización de la plataforma PROSUR (Sistema de Cooperación Regional sobre P.I.) </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Taller sobre el uso estratégico de la P.I. para las Pymes</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 xml:space="preserve">10 y 11 de septiembre de 2013 </w:t>
            </w:r>
          </w:p>
        </w:tc>
        <w:tc>
          <w:tcPr>
            <w:tcW w:w="2343"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p w:rsidR="00C10073" w:rsidRPr="00A34388" w:rsidRDefault="00C10073" w:rsidP="00AA6702">
            <w:pPr>
              <w:autoSpaceDE w:val="0"/>
              <w:autoSpaceDN w:val="0"/>
              <w:adjustRightInd w:val="0"/>
              <w:spacing w:after="120"/>
              <w:rPr>
                <w:rFonts w:cs="Arial"/>
                <w:sz w:val="16"/>
                <w:szCs w:val="16"/>
                <w:lang w:val="es-ES_tradnl"/>
              </w:rPr>
            </w:pPr>
          </w:p>
        </w:tc>
        <w:tc>
          <w:tcPr>
            <w:tcW w:w="3835" w:type="dxa"/>
          </w:tcPr>
          <w:p w:rsidR="00C10073" w:rsidRPr="00A34388" w:rsidRDefault="00C10073" w:rsidP="00AA6702">
            <w:pPr>
              <w:spacing w:after="220"/>
              <w:rPr>
                <w:rFonts w:eastAsia="SimSun" w:cs="Arial"/>
                <w:sz w:val="16"/>
                <w:szCs w:val="16"/>
                <w:lang w:val="es-ES_tradnl" w:eastAsia="zh-CN"/>
              </w:rPr>
            </w:pPr>
            <w:r w:rsidRPr="00A34388">
              <w:rPr>
                <w:rFonts w:eastAsia="SimSun" w:cs="Arial"/>
                <w:sz w:val="16"/>
                <w:szCs w:val="16"/>
                <w:lang w:val="es-ES_tradnl" w:eastAsia="zh-CN"/>
              </w:rPr>
              <w:t>Promover una mejor comprensión y uso del sistema de P.I. por las Pymes</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Reunión anual de la Red de P.I. de Río de Janeiro (REPICT)</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12 y 13 de septiembre de 2013</w:t>
            </w:r>
          </w:p>
        </w:tc>
        <w:tc>
          <w:tcPr>
            <w:tcW w:w="2343"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835" w:type="dxa"/>
          </w:tcPr>
          <w:p w:rsidR="00C10073" w:rsidRPr="00A34388" w:rsidRDefault="00C10073" w:rsidP="00AA6702">
            <w:pPr>
              <w:tabs>
                <w:tab w:val="left" w:pos="567"/>
                <w:tab w:val="left" w:pos="1134"/>
                <w:tab w:val="left" w:pos="1701"/>
                <w:tab w:val="left" w:pos="5670"/>
              </w:tabs>
              <w:suppressAutoHyphens/>
              <w:rPr>
                <w:rFonts w:eastAsia="SimSun" w:cs="Arial"/>
                <w:sz w:val="16"/>
                <w:szCs w:val="16"/>
                <w:lang w:val="es-ES_tradnl" w:eastAsia="zh-CN"/>
              </w:rPr>
            </w:pPr>
            <w:r w:rsidRPr="00A34388">
              <w:rPr>
                <w:rFonts w:eastAsia="SimSun" w:cs="Arial"/>
                <w:sz w:val="16"/>
                <w:szCs w:val="16"/>
                <w:lang w:val="es-ES_tradnl" w:eastAsia="zh-CN"/>
              </w:rPr>
              <w:t xml:space="preserve">La REPICT ha servido como modelo para optimizar la prestación de servicios de P.I., así como para contribuir a un debate más integrador en el seno de la comunidad científica y tecnológica del Brasil sobre cuestiones como el derecho de la innovación, los incentivos a las inversiones en I+D y a la protección de la P.I., la innovación y los modelos de comercialización. </w:t>
            </w:r>
          </w:p>
          <w:p w:rsidR="00C10073" w:rsidRPr="00A34388" w:rsidRDefault="00C10073" w:rsidP="00AA6702">
            <w:pPr>
              <w:spacing w:after="220"/>
              <w:rPr>
                <w:rFonts w:eastAsia="SimSun" w:cs="Arial"/>
                <w:sz w:val="16"/>
                <w:szCs w:val="16"/>
                <w:lang w:val="es-ES_tradnl" w:eastAsia="zh-CN"/>
              </w:rPr>
            </w:pPr>
            <w:r w:rsidRPr="00A34388">
              <w:rPr>
                <w:rFonts w:eastAsia="SimSun" w:cs="Arial"/>
                <w:sz w:val="16"/>
                <w:szCs w:val="16"/>
                <w:lang w:val="es-ES_tradnl" w:eastAsia="zh-CN"/>
              </w:rPr>
              <w:t>Se trata de la 16ª edición de la reunión anual de la REPICT, que es uno de los eventos periódicos más importantes sobre P.I. y transferencia de tecnología del Brasil</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lastRenderedPageBreak/>
              <w:t>Taller sobre P.I. y transferencia de tecnología en el contexto de las tecnologías sostenibles</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22 a 24 de octubre de 2013</w:t>
            </w:r>
          </w:p>
        </w:tc>
        <w:tc>
          <w:tcPr>
            <w:tcW w:w="2343"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835" w:type="dxa"/>
          </w:tcPr>
          <w:p w:rsidR="00C10073" w:rsidRPr="00A34388" w:rsidRDefault="00C10073" w:rsidP="00AA6702">
            <w:pPr>
              <w:spacing w:after="2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i) Debatir mecanismos de acceso a tecnologías sostenibles en el contexto de la plataforma WIPO GREEN y los retos relacionados con la negociación de la transferencia de tecnologías sostenibles;  y ii) exponer casos concretos de negocios de éxito en los que la gestión de la P.I. ha sido fundamental para el desarrollo de tecnologías limpias y sostenibles</w:t>
            </w:r>
          </w:p>
        </w:tc>
      </w:tr>
      <w:tr w:rsidR="00C10073" w:rsidRPr="00A9508D" w:rsidTr="00FF0BCA">
        <w:trPr>
          <w:trHeight w:val="371"/>
        </w:trPr>
        <w:tc>
          <w:tcPr>
            <w:tcW w:w="1843" w:type="dxa"/>
          </w:tcPr>
          <w:p w:rsidR="00C10073" w:rsidRPr="00A34388" w:rsidRDefault="00C10073" w:rsidP="00AA6702">
            <w:pPr>
              <w:spacing w:after="220"/>
              <w:rPr>
                <w:rFonts w:eastAsia="SimSun"/>
                <w:sz w:val="16"/>
                <w:szCs w:val="16"/>
                <w:lang w:val="es-ES_tradnl" w:eastAsia="zh-CN"/>
              </w:rPr>
            </w:pPr>
            <w:r w:rsidRPr="00A34388">
              <w:rPr>
                <w:rFonts w:eastAsia="SimSun"/>
                <w:sz w:val="16"/>
                <w:szCs w:val="16"/>
                <w:lang w:val="es-ES_tradnl" w:eastAsia="zh-CN"/>
              </w:rPr>
              <w:t>Conferencia sobre el uso de estadísticas de patentes para los encargados de la adopción de decisiones, 2013 (PSDBM)</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11 a 13 de noviembre de 2013</w:t>
            </w:r>
          </w:p>
        </w:tc>
        <w:tc>
          <w:tcPr>
            <w:tcW w:w="2343" w:type="dxa"/>
          </w:tcPr>
          <w:p w:rsidR="00C10073" w:rsidRPr="00A34388" w:rsidRDefault="00C10073" w:rsidP="00AA6702">
            <w:pPr>
              <w:autoSpaceDE w:val="0"/>
              <w:autoSpaceDN w:val="0"/>
              <w:adjustRightInd w:val="0"/>
              <w:spacing w:after="120"/>
              <w:rPr>
                <w:rFonts w:cs="Arial"/>
                <w:sz w:val="16"/>
                <w:szCs w:val="16"/>
                <w:lang w:val="es-ES_tradnl"/>
              </w:rPr>
            </w:pPr>
            <w:r w:rsidRPr="00332758">
              <w:rPr>
                <w:rFonts w:cs="Arial"/>
                <w:sz w:val="16"/>
                <w:szCs w:val="16"/>
                <w:lang w:val="es-ES_tradnl"/>
              </w:rPr>
              <w:t>Brasil</w:t>
            </w:r>
          </w:p>
        </w:tc>
        <w:tc>
          <w:tcPr>
            <w:tcW w:w="3835" w:type="dxa"/>
          </w:tcPr>
          <w:p w:rsidR="00C10073" w:rsidRPr="00A34388" w:rsidRDefault="00C10073" w:rsidP="00AA6702">
            <w:pPr>
              <w:spacing w:after="2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La PSDBM 2013 fue organizada por la Organización para la Cooperación y el Desarrollo Económico (OCDE), la Oficina Europea de Patentes (OEP), el Instituto Nacional de la Propiedad Industrial (INPI) del Brasil y la OMPI.  La conferencia abordó, entre otras cuestiones, la gestión de las solicitudes de patentes por parte de las oficinas de P.I., las relaciones entre la P.I. y la movilidad a nivel internacional del capital humano, y la geografía de la innovación y el cambio tecnológico.</w:t>
            </w:r>
            <w:r w:rsidR="00537926" w:rsidRPr="00A34388">
              <w:rPr>
                <w:rFonts w:eastAsia="SimSun" w:cs="Arial"/>
                <w:color w:val="000000"/>
                <w:sz w:val="16"/>
                <w:szCs w:val="16"/>
                <w:shd w:val="clear" w:color="auto" w:fill="FFFFFF"/>
                <w:lang w:val="es-ES_tradnl" w:eastAsia="zh-CN"/>
              </w:rPr>
              <w:t xml:space="preserve"> </w:t>
            </w:r>
            <w:r w:rsidRPr="00A34388">
              <w:rPr>
                <w:rFonts w:eastAsia="SimSun" w:cs="Arial"/>
                <w:color w:val="000000"/>
                <w:sz w:val="16"/>
                <w:szCs w:val="16"/>
                <w:shd w:val="clear" w:color="auto" w:fill="FFFFFF"/>
                <w:lang w:val="es-ES_tradnl" w:eastAsia="zh-CN"/>
              </w:rPr>
              <w:t xml:space="preserve"> Asimismo, la conferencia brindó la oportunidad de ampliar los conocimientos sobre las estadísticas en materia de patentes y sobre la forma de utilizarlas como herramienta para la elaboración de políticas.</w:t>
            </w:r>
          </w:p>
        </w:tc>
      </w:tr>
      <w:tr w:rsidR="00C10073" w:rsidRPr="00A9508D" w:rsidTr="00FF0BCA">
        <w:trPr>
          <w:trHeight w:val="371"/>
        </w:trPr>
        <w:tc>
          <w:tcPr>
            <w:tcW w:w="1843" w:type="dxa"/>
          </w:tcPr>
          <w:p w:rsidR="00C10073" w:rsidRPr="00A34388" w:rsidRDefault="00C10073" w:rsidP="00AA6702">
            <w:pPr>
              <w:spacing w:before="120" w:after="220"/>
              <w:rPr>
                <w:rFonts w:eastAsia="SimSun"/>
                <w:sz w:val="16"/>
                <w:szCs w:val="16"/>
                <w:lang w:val="es-ES_tradnl" w:eastAsia="zh-CN"/>
              </w:rPr>
            </w:pPr>
            <w:r w:rsidRPr="00A34388">
              <w:rPr>
                <w:rFonts w:eastAsia="SimSun"/>
                <w:sz w:val="16"/>
                <w:szCs w:val="16"/>
                <w:lang w:val="es-ES_tradnl" w:eastAsia="zh-CN"/>
              </w:rPr>
              <w:t>VI ENAPID (Encuentro académico de propiedad intelectual, innovación y desarrollo)</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a 28 de noviembre de 2013</w:t>
            </w:r>
          </w:p>
        </w:tc>
        <w:tc>
          <w:tcPr>
            <w:tcW w:w="2343" w:type="dxa"/>
          </w:tcPr>
          <w:p w:rsidR="00C10073" w:rsidRPr="00A34388" w:rsidRDefault="00C10073"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Brasil</w:t>
            </w:r>
          </w:p>
        </w:tc>
        <w:tc>
          <w:tcPr>
            <w:tcW w:w="3835" w:type="dxa"/>
          </w:tcPr>
          <w:p w:rsidR="00C10073" w:rsidRPr="00A34388" w:rsidRDefault="00C10073" w:rsidP="00AA6702">
            <w:pPr>
              <w:spacing w:before="120" w:after="220"/>
              <w:rPr>
                <w:rFonts w:eastAsia="SimSun" w:cs="Arial"/>
                <w:sz w:val="16"/>
                <w:szCs w:val="16"/>
                <w:lang w:val="es-ES_tradnl" w:eastAsia="zh-CN"/>
              </w:rPr>
            </w:pPr>
            <w:r w:rsidRPr="00A34388">
              <w:rPr>
                <w:rFonts w:eastAsia="SimSun" w:cs="Arial"/>
                <w:color w:val="000000"/>
                <w:sz w:val="16"/>
                <w:szCs w:val="16"/>
                <w:shd w:val="clear" w:color="auto" w:fill="FFFFFF"/>
                <w:lang w:val="es-ES_tradnl" w:eastAsia="zh-CN"/>
              </w:rPr>
              <w:t>Constituir un foro para el debate académico sobre indicaciones geográficas, patentes sostenibles, oficinas de transferencia de tecnología (TTO), estrategias de negoci</w:t>
            </w:r>
            <w:r w:rsidR="00A45ECF" w:rsidRPr="00A34388">
              <w:rPr>
                <w:rFonts w:eastAsia="SimSun" w:cs="Arial"/>
                <w:color w:val="000000"/>
                <w:sz w:val="16"/>
                <w:szCs w:val="16"/>
                <w:shd w:val="clear" w:color="auto" w:fill="FFFFFF"/>
                <w:lang w:val="es-ES_tradnl" w:eastAsia="zh-CN"/>
              </w:rPr>
              <w:t>o y formación en materia de P.I</w:t>
            </w:r>
            <w:r w:rsidRPr="00A34388">
              <w:rPr>
                <w:rFonts w:eastAsia="SimSun" w:cs="Arial"/>
                <w:color w:val="000000"/>
                <w:sz w:val="16"/>
                <w:szCs w:val="16"/>
                <w:shd w:val="clear" w:color="auto" w:fill="FFFFFF"/>
                <w:lang w:val="es-ES_tradnl" w:eastAsia="zh-CN"/>
              </w:rPr>
              <w:t xml:space="preserve">. </w:t>
            </w:r>
            <w:r w:rsidR="00537926" w:rsidRPr="00A34388">
              <w:rPr>
                <w:rFonts w:eastAsia="SimSun" w:cs="Arial"/>
                <w:color w:val="000000"/>
                <w:sz w:val="16"/>
                <w:szCs w:val="16"/>
                <w:shd w:val="clear" w:color="auto" w:fill="FFFFFF"/>
                <w:lang w:val="es-ES_tradnl" w:eastAsia="zh-CN"/>
              </w:rPr>
              <w:t xml:space="preserve"> </w:t>
            </w:r>
            <w:r w:rsidRPr="00A34388">
              <w:rPr>
                <w:rFonts w:eastAsia="SimSun" w:cs="Arial"/>
                <w:color w:val="000000"/>
                <w:sz w:val="16"/>
                <w:szCs w:val="16"/>
                <w:shd w:val="clear" w:color="auto" w:fill="FFFFFF"/>
                <w:lang w:val="es-ES_tradnl" w:eastAsia="zh-CN"/>
              </w:rPr>
              <w:t>En la reunión, participaron tres expertos internacionales, procedentes de Colombia, México y el Uruguay.  Expusieron diferentes experiencias en cuanto a la gestión de redes de P.I., y también debatieron sobre los beneficios económicos derivados de la protección de las indicaciones geográficas.</w:t>
            </w:r>
          </w:p>
        </w:tc>
      </w:tr>
      <w:tr w:rsidR="00C10073" w:rsidRPr="00A9508D" w:rsidTr="00FF0BCA">
        <w:trPr>
          <w:trHeight w:val="371"/>
        </w:trPr>
        <w:tc>
          <w:tcPr>
            <w:tcW w:w="1843" w:type="dxa"/>
          </w:tcPr>
          <w:p w:rsidR="00C10073" w:rsidRPr="00A34388" w:rsidRDefault="00C10073" w:rsidP="00AA6702">
            <w:pPr>
              <w:spacing w:after="220"/>
              <w:rPr>
                <w:rFonts w:eastAsia="SimSun" w:cs="Arial"/>
                <w:sz w:val="16"/>
                <w:szCs w:val="16"/>
                <w:lang w:val="es-ES_tradnl" w:eastAsia="zh-CN"/>
              </w:rPr>
            </w:pPr>
            <w:r w:rsidRPr="00A34388">
              <w:rPr>
                <w:rFonts w:cs="Arial"/>
                <w:color w:val="000000"/>
                <w:sz w:val="16"/>
                <w:szCs w:val="16"/>
                <w:lang w:val="es-ES_tradnl"/>
              </w:rPr>
              <w:t xml:space="preserve">Curso intermedio de clasificación, investigación y examen en el área de la industria química y farmacéutica </w:t>
            </w:r>
          </w:p>
        </w:tc>
        <w:tc>
          <w:tcPr>
            <w:tcW w:w="1134" w:type="dxa"/>
          </w:tcPr>
          <w:p w:rsidR="00C10073" w:rsidRPr="00A34388" w:rsidRDefault="00C10073"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25 de noviembre a 5 de diciembre de 2013</w:t>
            </w:r>
          </w:p>
        </w:tc>
        <w:tc>
          <w:tcPr>
            <w:tcW w:w="2343" w:type="dxa"/>
          </w:tcPr>
          <w:p w:rsidR="00C10073" w:rsidRPr="00A34388" w:rsidRDefault="00C10073" w:rsidP="00FF0BCA">
            <w:pPr>
              <w:autoSpaceDE w:val="0"/>
              <w:autoSpaceDN w:val="0"/>
              <w:adjustRightInd w:val="0"/>
              <w:spacing w:after="120"/>
              <w:rPr>
                <w:rFonts w:cs="Arial"/>
                <w:sz w:val="16"/>
                <w:szCs w:val="16"/>
                <w:lang w:val="es-ES_tradnl"/>
              </w:rPr>
            </w:pPr>
            <w:r w:rsidRPr="00A34388">
              <w:rPr>
                <w:rFonts w:cs="Arial"/>
                <w:color w:val="000000"/>
                <w:sz w:val="16"/>
                <w:szCs w:val="16"/>
                <w:lang w:val="es-ES_tradnl"/>
              </w:rPr>
              <w:t>Brasil/Argentina, Chile, Colombia, Cuba, Ecuador, Paraguay, Perú y  Uruguay</w:t>
            </w:r>
          </w:p>
        </w:tc>
        <w:tc>
          <w:tcPr>
            <w:tcW w:w="3835" w:type="dxa"/>
          </w:tcPr>
          <w:p w:rsidR="00C10073" w:rsidRPr="00A34388" w:rsidRDefault="00C10073" w:rsidP="00AA6702">
            <w:pPr>
              <w:spacing w:after="220"/>
              <w:rPr>
                <w:rFonts w:eastAsia="SimSun" w:cs="Arial"/>
                <w:color w:val="000000"/>
                <w:sz w:val="16"/>
                <w:szCs w:val="16"/>
                <w:shd w:val="clear" w:color="auto" w:fill="FFFFFF"/>
                <w:lang w:val="es-ES_tradnl" w:eastAsia="zh-CN"/>
              </w:rPr>
            </w:pPr>
            <w:r w:rsidRPr="00A34388">
              <w:rPr>
                <w:rFonts w:cs="Arial"/>
                <w:sz w:val="16"/>
                <w:szCs w:val="16"/>
                <w:lang w:val="es-ES_tradnl"/>
              </w:rPr>
              <w:t xml:space="preserve">Fomentar el intercambio de experiencias entre examinadores de la región de América Latina </w:t>
            </w:r>
          </w:p>
        </w:tc>
      </w:tr>
    </w:tbl>
    <w:p w:rsidR="00C10073" w:rsidRPr="00A34388" w:rsidRDefault="00C10073" w:rsidP="00C10073">
      <w:pPr>
        <w:rPr>
          <w:lang w:val="es-ES_tradnl"/>
        </w:rPr>
      </w:pPr>
    </w:p>
    <w:p w:rsidR="00C10073" w:rsidRPr="00A34388" w:rsidRDefault="00C10073" w:rsidP="00C10073">
      <w:pPr>
        <w:tabs>
          <w:tab w:val="left" w:pos="0"/>
          <w:tab w:val="left" w:pos="9071"/>
        </w:tabs>
        <w:rPr>
          <w:rFonts w:cs="Arial"/>
          <w:b/>
          <w:sz w:val="18"/>
          <w:szCs w:val="18"/>
          <w:lang w:val="es-ES_tradnl"/>
        </w:rPr>
      </w:pPr>
    </w:p>
    <w:p w:rsidR="00C10073" w:rsidRPr="00A34388" w:rsidRDefault="00C10073" w:rsidP="00C10073">
      <w:pPr>
        <w:tabs>
          <w:tab w:val="left" w:pos="0"/>
          <w:tab w:val="left" w:pos="9071"/>
        </w:tabs>
        <w:rPr>
          <w:rFonts w:cs="Arial"/>
          <w:b/>
          <w:sz w:val="18"/>
          <w:szCs w:val="18"/>
          <w:lang w:val="es-ES_tradnl"/>
        </w:rPr>
      </w:pPr>
    </w:p>
    <w:p w:rsidR="00C10073" w:rsidRPr="00332758" w:rsidRDefault="00C10073" w:rsidP="00C10073">
      <w:pPr>
        <w:tabs>
          <w:tab w:val="left" w:pos="0"/>
          <w:tab w:val="left" w:pos="9071"/>
        </w:tabs>
        <w:rPr>
          <w:rFonts w:cs="Arial"/>
          <w:b/>
          <w:sz w:val="18"/>
          <w:szCs w:val="18"/>
          <w:lang w:val="es-ES_tradnl"/>
        </w:rPr>
      </w:pPr>
      <w:r w:rsidRPr="00332758">
        <w:rPr>
          <w:rFonts w:cs="Arial"/>
          <w:b/>
          <w:sz w:val="18"/>
          <w:szCs w:val="18"/>
          <w:lang w:val="es-ES_tradnl"/>
        </w:rPr>
        <w:t xml:space="preserve">Brasil </w:t>
      </w:r>
      <w:r w:rsidRPr="00332758">
        <w:rPr>
          <w:rFonts w:cs="Arial"/>
          <w:sz w:val="18"/>
          <w:szCs w:val="18"/>
          <w:lang w:val="es-ES_tradnl"/>
        </w:rPr>
        <w:t>-</w:t>
      </w:r>
      <w:r w:rsidRPr="00332758">
        <w:rPr>
          <w:rFonts w:cs="Arial"/>
          <w:b/>
          <w:sz w:val="18"/>
          <w:szCs w:val="18"/>
          <w:lang w:val="es-ES_tradnl"/>
        </w:rPr>
        <w:t xml:space="preserve"> Contribuciones de donantes y gastos de 20131</w:t>
      </w:r>
    </w:p>
    <w:p w:rsidR="00C10073" w:rsidRPr="00A34388" w:rsidRDefault="00C10073" w:rsidP="00C10073">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466.247</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293.548</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269.066</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490.730</w:t>
            </w:r>
          </w:p>
        </w:tc>
      </w:tr>
    </w:tbl>
    <w:p w:rsidR="00C10073" w:rsidRPr="00FF0BCA" w:rsidRDefault="00C10073" w:rsidP="00C10073">
      <w:pPr>
        <w:spacing w:before="120"/>
        <w:rPr>
          <w:sz w:val="18"/>
          <w:szCs w:val="18"/>
          <w:lang w:val="es-ES_tradnl"/>
        </w:rPr>
      </w:pPr>
      <w:r w:rsidRPr="00332758">
        <w:rPr>
          <w:i/>
          <w:sz w:val="18"/>
          <w:szCs w:val="18"/>
          <w:vertAlign w:val="superscript"/>
          <w:lang w:val="es-ES_tradnl"/>
        </w:rPr>
        <w:t xml:space="preserve">1 </w:t>
      </w:r>
      <w:r w:rsidRPr="00FF0BCA">
        <w:rPr>
          <w:i/>
          <w:sz w:val="18"/>
          <w:szCs w:val="18"/>
          <w:lang w:val="es-ES_tradnl"/>
        </w:rPr>
        <w:t>Estados financieros de la OMPI de 2013 (Anexo III)</w:t>
      </w:r>
    </w:p>
    <w:p w:rsidR="00C10073" w:rsidRPr="00A34388" w:rsidRDefault="00C10073" w:rsidP="00C10073">
      <w:pPr>
        <w:tabs>
          <w:tab w:val="left" w:pos="0"/>
          <w:tab w:val="left" w:pos="9071"/>
        </w:tabs>
        <w:rPr>
          <w:rFonts w:cs="Arial"/>
          <w:b/>
          <w:szCs w:val="20"/>
          <w:lang w:val="es-ES_tradnl"/>
        </w:rPr>
      </w:pPr>
    </w:p>
    <w:p w:rsidR="00C10073" w:rsidRPr="00A34388" w:rsidRDefault="00C10073" w:rsidP="00C10073">
      <w:pPr>
        <w:tabs>
          <w:tab w:val="left" w:pos="0"/>
          <w:tab w:val="left" w:pos="9071"/>
        </w:tabs>
        <w:rPr>
          <w:rFonts w:cs="Arial"/>
          <w:b/>
          <w:szCs w:val="20"/>
          <w:lang w:val="es-ES_tradnl"/>
        </w:rPr>
      </w:pPr>
    </w:p>
    <w:p w:rsidR="00C10073" w:rsidRPr="00A34388" w:rsidRDefault="00C10073" w:rsidP="00C10073">
      <w:pPr>
        <w:tabs>
          <w:tab w:val="left" w:pos="0"/>
          <w:tab w:val="left" w:pos="9071"/>
        </w:tabs>
        <w:rPr>
          <w:rFonts w:cs="Arial"/>
          <w:b/>
          <w:szCs w:val="20"/>
          <w:lang w:val="es-ES_tradnl"/>
        </w:rPr>
      </w:pPr>
    </w:p>
    <w:p w:rsidR="00C10073" w:rsidRPr="00400CAF" w:rsidRDefault="00C10073" w:rsidP="00C10073">
      <w:pPr>
        <w:tabs>
          <w:tab w:val="left" w:pos="0"/>
          <w:tab w:val="left" w:pos="9071"/>
        </w:tabs>
        <w:rPr>
          <w:rFonts w:cs="Arial"/>
          <w:b/>
          <w:szCs w:val="20"/>
          <w:lang w:val="es-ES_tradnl"/>
        </w:rPr>
      </w:pPr>
      <w:r w:rsidRPr="00A34388">
        <w:rPr>
          <w:rFonts w:cs="Arial"/>
          <w:b/>
          <w:szCs w:val="20"/>
          <w:lang w:val="es-ES_tradnl"/>
        </w:rPr>
        <w:br w:type="page"/>
      </w:r>
      <w:r w:rsidRPr="00400CAF">
        <w:rPr>
          <w:rFonts w:cs="Arial"/>
          <w:b/>
          <w:szCs w:val="20"/>
          <w:lang w:val="es-ES_tradnl"/>
        </w:rPr>
        <w:lastRenderedPageBreak/>
        <w:t>UNIÓN EUROPEA (Proyecto Pakistán)</w:t>
      </w:r>
    </w:p>
    <w:p w:rsidR="00C10073" w:rsidRPr="00A34388" w:rsidRDefault="00C10073" w:rsidP="00C10073">
      <w:pPr>
        <w:tabs>
          <w:tab w:val="left" w:pos="0"/>
          <w:tab w:val="left" w:pos="9071"/>
        </w:tabs>
        <w:rPr>
          <w:rFonts w:cs="Arial"/>
          <w:b/>
          <w:szCs w:val="20"/>
          <w:lang w:val="es-ES_tradnl"/>
        </w:rPr>
      </w:pPr>
    </w:p>
    <w:tbl>
      <w:tblPr>
        <w:tblW w:w="92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2511"/>
        <w:gridCol w:w="3793"/>
      </w:tblGrid>
      <w:tr w:rsidR="00C10073" w:rsidRPr="00A9508D" w:rsidTr="009608F6">
        <w:tc>
          <w:tcPr>
            <w:tcW w:w="9281" w:type="dxa"/>
            <w:gridSpan w:val="4"/>
            <w:tcBorders>
              <w:top w:val="single" w:sz="4" w:space="0" w:color="auto"/>
              <w:bottom w:val="single" w:sz="4" w:space="0" w:color="auto"/>
            </w:tcBorders>
            <w:shd w:val="clear" w:color="auto" w:fill="CCFFFF"/>
            <w:vAlign w:val="center"/>
          </w:tcPr>
          <w:p w:rsidR="00C10073" w:rsidRPr="00332758" w:rsidRDefault="00C10073" w:rsidP="00AA6702">
            <w:pPr>
              <w:tabs>
                <w:tab w:val="left" w:pos="0"/>
                <w:tab w:val="left" w:pos="1692"/>
                <w:tab w:val="left" w:pos="9071"/>
              </w:tabs>
              <w:spacing w:before="120" w:after="12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Marcos de P.I. adaptados y equilibrados en el ámbito legislativo, reglamentario y de política</w:t>
            </w:r>
          </w:p>
        </w:tc>
      </w:tr>
      <w:tr w:rsidR="00C10073" w:rsidRPr="00A34388" w:rsidTr="009608F6">
        <w:tc>
          <w:tcPr>
            <w:tcW w:w="1843" w:type="dxa"/>
            <w:tcBorders>
              <w:top w:val="single" w:sz="4" w:space="0" w:color="auto"/>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2511"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793" w:type="dxa"/>
            <w:tcBorders>
              <w:top w:val="single" w:sz="4" w:space="0" w:color="auto"/>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9608F6">
        <w:trPr>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Consultas finales con las partes nacionales interesadas sobre la protección de los modelos de utilidad</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25 a 26 de febrero de 2013</w:t>
            </w:r>
          </w:p>
        </w:tc>
        <w:tc>
          <w:tcPr>
            <w:tcW w:w="2511"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17 participantes</w:t>
            </w:r>
          </w:p>
        </w:tc>
        <w:tc>
          <w:tcPr>
            <w:tcW w:w="379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i) Presentar el documento finalizado que se titula "La protección de los modelos de utilidad en el Pakistán:  una opción para incentivar la innovación gradual”;  y ii) debatir las recomendaciones incluidas en el documento y el camino a seguir </w:t>
            </w:r>
          </w:p>
        </w:tc>
      </w:tr>
      <w:tr w:rsidR="00C10073" w:rsidRPr="00A9508D" w:rsidTr="009608F6">
        <w:trPr>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Misión de expertos para el desarrollo de un plan de estudios sobre P.I. para los estudios universitarios de derecho, administración de empresas e ingeniería</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25 de febrero a 1 de marzo de 2013</w:t>
            </w:r>
          </w:p>
        </w:tc>
        <w:tc>
          <w:tcPr>
            <w:tcW w:w="2511"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r w:rsidRPr="00A34388">
              <w:rPr>
                <w:rFonts w:cs="Arial"/>
                <w:color w:val="000000"/>
                <w:sz w:val="16"/>
                <w:szCs w:val="16"/>
                <w:lang w:val="es-ES_tradnl"/>
              </w:rPr>
              <w:t xml:space="preserve"> </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13 participantes</w:t>
            </w:r>
          </w:p>
        </w:tc>
        <w:tc>
          <w:tcPr>
            <w:tcW w:w="379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 Realizar consultas con autoridades educativas y de P.I. acerca del estado actual de la enseñanza sobre propiedad intelectual en las facultades de derecho, administración de empresas e ingeniería del Pakistán;  ii) identificar las necesidades de esas universidades en lo que respecta a la creación de un plan de estudios en materia de P.I.;  y iii) elaborar un plan de estudios adecuado sobre P.I. basado en los puntos anteriores, incluidos objetivos de formación, y contenido y estructura de las asignaturas</w:t>
            </w:r>
          </w:p>
        </w:tc>
      </w:tr>
      <w:tr w:rsidR="00C10073" w:rsidRPr="00A9508D" w:rsidTr="009608F6">
        <w:trPr>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Consultas finales con las partes nacionales interesadas acerca de las opciones para el desarrollo de marca de un producto hortícola (la mandarina  Kinnow) mediante el uso de instrumentos de P.I.</w:t>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8 y 11 de marzo de 2013</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2511"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Más de 50 participantes</w:t>
            </w:r>
            <w:r w:rsidRPr="00A34388">
              <w:rPr>
                <w:rFonts w:cs="Arial"/>
                <w:color w:val="000000"/>
                <w:sz w:val="16"/>
                <w:szCs w:val="16"/>
                <w:lang w:val="es-ES_tradnl"/>
              </w:rPr>
              <w:br/>
            </w:r>
          </w:p>
        </w:tc>
        <w:tc>
          <w:tcPr>
            <w:tcW w:w="379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 Presentar el proyecto de documento sobre la mandarina Kinnow;  ii) revisar y analizar datos adicionales para la finalización del documento, incluido el potencial de comercialización y los mecanismos institucionales;  iii) debatir el posible uso de marcas colectivas/de certificación e indicaciones geográficas;  y iv) debatir un plan de acción y los siguientes pasos a adoptar</w:t>
            </w:r>
          </w:p>
        </w:tc>
      </w:tr>
      <w:tr w:rsidR="00C10073" w:rsidRPr="00A9508D" w:rsidTr="009608F6">
        <w:trPr>
          <w:trHeight w:val="495"/>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Consultas finales con las partes nacionales interesadas acerca de la puesta en marcha de un organismo de gestión colectiva (OGC)</w:t>
            </w:r>
            <w:r w:rsidRPr="00A34388">
              <w:rPr>
                <w:rFonts w:cs="Arial"/>
                <w:color w:val="000000"/>
                <w:sz w:val="16"/>
                <w:szCs w:val="16"/>
                <w:lang w:val="es-ES_tradnl"/>
              </w:rPr>
              <w:br/>
            </w: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12 a 13 de septiembre de 2013</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2511"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43 participantes</w:t>
            </w:r>
          </w:p>
        </w:tc>
        <w:tc>
          <w:tcPr>
            <w:tcW w:w="379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i) Presentar el estudio actualizado sobre la puesta en marcha de un OGC en el Pakistán;  ii) compartir experiencias sobre la puesta en marcha de OGC viables en la región y otros lugares;  iii) debatir las recomendaciones del estudio;  y iv) debatir las medidas específicas para la puesta en marcha en el Pakistán de un OGC eficaz </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r>
      <w:tr w:rsidR="00C10073" w:rsidRPr="00A9508D" w:rsidTr="009608F6">
        <w:trPr>
          <w:trHeight w:val="495"/>
        </w:trPr>
        <w:tc>
          <w:tcPr>
            <w:tcW w:w="1843"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Mesa redonda sobre la puesta en marcha de oficinas de gestión de tecnología</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9 y 10 de diciembre de 2013</w:t>
            </w:r>
          </w:p>
        </w:tc>
        <w:tc>
          <w:tcPr>
            <w:tcW w:w="2511"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r w:rsidRPr="00A34388">
              <w:rPr>
                <w:rFonts w:cs="Arial"/>
                <w:color w:val="000000"/>
                <w:sz w:val="16"/>
                <w:szCs w:val="16"/>
                <w:lang w:val="es-ES_tradnl"/>
              </w:rPr>
              <w:t xml:space="preserve"> </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30 participantes</w:t>
            </w:r>
          </w:p>
        </w:tc>
        <w:tc>
          <w:tcPr>
            <w:tcW w:w="3793"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i) Hacer balance de la situación actual de las oficinas de gestión de tecnología en el Pakistán;  ii) intercambiar opiniones sobre las funciones y estructura de las oficinas de gestión de tecnología;  iii) identificar los retos que representa la puesta en marcha y funcionamiento de oficinas de gestión de tecnología efectivas;  y iv) identificar los elementos de una hoja de ruta para el establecimiento y fortalecimiento de las oficinas de gestión de tecnología en el Pakistán </w:t>
            </w:r>
          </w:p>
        </w:tc>
      </w:tr>
      <w:tr w:rsidR="00C10073" w:rsidRPr="00A9508D" w:rsidTr="009608F6">
        <w:tc>
          <w:tcPr>
            <w:tcW w:w="9281" w:type="dxa"/>
            <w:gridSpan w:val="4"/>
            <w:tcBorders>
              <w:top w:val="single" w:sz="4" w:space="0" w:color="auto"/>
              <w:bottom w:val="single" w:sz="4" w:space="0" w:color="auto"/>
            </w:tcBorders>
            <w:shd w:val="clear" w:color="auto" w:fill="CCFFFF"/>
            <w:vAlign w:val="center"/>
          </w:tcPr>
          <w:p w:rsidR="00C10073" w:rsidRPr="00A34388" w:rsidRDefault="00C10073" w:rsidP="00AA6702">
            <w:pPr>
              <w:keepNext/>
              <w:keepLines/>
              <w:tabs>
                <w:tab w:val="left" w:pos="1740"/>
              </w:tabs>
              <w:spacing w:before="120" w:after="120"/>
              <w:ind w:left="1740" w:hanging="1740"/>
              <w:rPr>
                <w:rFonts w:cs="Arial"/>
                <w:b/>
                <w:bCs/>
                <w:color w:val="FF00FF"/>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w:t>
            </w:r>
          </w:p>
        </w:tc>
      </w:tr>
      <w:tr w:rsidR="00C10073" w:rsidRPr="00A34388" w:rsidTr="009608F6">
        <w:tc>
          <w:tcPr>
            <w:tcW w:w="1843" w:type="dxa"/>
            <w:tcBorders>
              <w:top w:val="single" w:sz="4" w:space="0" w:color="auto"/>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2511"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793" w:type="dxa"/>
            <w:tcBorders>
              <w:top w:val="single" w:sz="4" w:space="0" w:color="auto"/>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9608F6">
        <w:trPr>
          <w:trHeight w:val="520"/>
        </w:trPr>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Inscripción en el Curso LLM sobre propiedad intelectual de la OMPI-Universidad de Turín </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De junio a diciembre de 2013</w:t>
            </w:r>
            <w:r w:rsidRPr="00A34388">
              <w:rPr>
                <w:rStyle w:val="FootnoteReference"/>
                <w:rFonts w:cs="Arial"/>
                <w:color w:val="000000"/>
                <w:sz w:val="16"/>
                <w:szCs w:val="16"/>
                <w:lang w:val="es-ES_tradnl"/>
              </w:rPr>
              <w:footnoteReference w:id="48"/>
            </w:r>
            <w:r w:rsidRPr="00A34388">
              <w:rPr>
                <w:rFonts w:cs="Arial"/>
                <w:color w:val="000000"/>
                <w:sz w:val="16"/>
                <w:szCs w:val="16"/>
                <w:lang w:val="es-ES_tradnl"/>
              </w:rPr>
              <w:t xml:space="preserve"> </w:t>
            </w:r>
            <w:r w:rsidRPr="00A34388">
              <w:rPr>
                <w:rFonts w:cs="Arial"/>
                <w:color w:val="000000"/>
                <w:sz w:val="16"/>
                <w:szCs w:val="16"/>
                <w:lang w:val="es-ES_tradnl"/>
              </w:rPr>
              <w:br/>
            </w:r>
          </w:p>
        </w:tc>
        <w:tc>
          <w:tcPr>
            <w:tcW w:w="2511"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 funcionario de la Oficina de P.I. del Pakistán</w:t>
            </w:r>
          </w:p>
        </w:tc>
        <w:tc>
          <w:tcPr>
            <w:tcW w:w="379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 Mejorar la capacidad de los funcionarios de la oficina de P.I. de</w:t>
            </w:r>
            <w:r w:rsidR="00380F05" w:rsidRPr="00A34388">
              <w:rPr>
                <w:rFonts w:cs="Arial"/>
                <w:color w:val="000000"/>
                <w:sz w:val="16"/>
                <w:szCs w:val="16"/>
                <w:lang w:val="es-ES_tradnl"/>
              </w:rPr>
              <w:t>l</w:t>
            </w:r>
            <w:r w:rsidRPr="00A34388">
              <w:rPr>
                <w:rFonts w:cs="Arial"/>
                <w:color w:val="000000"/>
                <w:sz w:val="16"/>
                <w:szCs w:val="16"/>
                <w:lang w:val="es-ES_tradnl"/>
              </w:rPr>
              <w:t xml:space="preserve"> Pakistán de tratar asuntos relacionados con la política mediante una mejor comprensión del derecho de la P.I.;  y ii) capacitar al funcionario que recibe la formación para elaborar documentación (artículos, resúmenes de política, comentarios) sobre cuestiones jurídicas específicas de la P.I.</w:t>
            </w:r>
          </w:p>
        </w:tc>
      </w:tr>
      <w:tr w:rsidR="00C10073" w:rsidRPr="00A9508D" w:rsidTr="009608F6">
        <w:trPr>
          <w:trHeight w:val="520"/>
        </w:trPr>
        <w:tc>
          <w:tcPr>
            <w:tcW w:w="1843"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lastRenderedPageBreak/>
              <w:t xml:space="preserve">Adquisición de material de referencia sobre la P.I. para las entidades seleccionadas de formación y enseñanza en materia de P.I.  </w:t>
            </w:r>
          </w:p>
        </w:tc>
        <w:tc>
          <w:tcPr>
            <w:tcW w:w="1134"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Diciembre de 2013</w:t>
            </w:r>
          </w:p>
        </w:tc>
        <w:tc>
          <w:tcPr>
            <w:tcW w:w="2511"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Oficina de P.I. de</w:t>
            </w:r>
            <w:r w:rsidR="00380F05" w:rsidRPr="00A34388">
              <w:rPr>
                <w:rFonts w:cs="Arial"/>
                <w:color w:val="000000"/>
                <w:sz w:val="16"/>
                <w:szCs w:val="16"/>
                <w:lang w:val="es-ES_tradnl"/>
              </w:rPr>
              <w:t>l</w:t>
            </w:r>
            <w:r w:rsidRPr="00A34388">
              <w:rPr>
                <w:rFonts w:cs="Arial"/>
                <w:color w:val="000000"/>
                <w:sz w:val="16"/>
                <w:szCs w:val="16"/>
                <w:lang w:val="es-ES_tradnl"/>
              </w:rPr>
              <w:t xml:space="preserve"> Pakistán e Instituto Paquistaní de Comercio y Desarrollo (PITAD)</w:t>
            </w:r>
          </w:p>
        </w:tc>
        <w:tc>
          <w:tcPr>
            <w:tcW w:w="3793" w:type="dxa"/>
            <w:tcBorders>
              <w:bottom w:val="single" w:sz="4" w:space="0" w:color="auto"/>
            </w:tcBorders>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Fortalecer capacidades en el ámbito de la formación y la enseñanza en materia de P.I. en el Pakistán </w:t>
            </w:r>
          </w:p>
        </w:tc>
      </w:tr>
      <w:tr w:rsidR="00C10073" w:rsidRPr="00A9508D" w:rsidTr="009608F6">
        <w:tc>
          <w:tcPr>
            <w:tcW w:w="9281" w:type="dxa"/>
            <w:gridSpan w:val="4"/>
            <w:tcBorders>
              <w:top w:val="single" w:sz="4" w:space="0" w:color="auto"/>
              <w:bottom w:val="single" w:sz="4" w:space="0" w:color="auto"/>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en la infraestructura técnica y de conocimientos de las oficinas y demás instituciones de P.I. que les permite prestar mejores servicios (más económicos, más rápidos y de mejor calidad) a sus usuarios</w:t>
            </w:r>
          </w:p>
        </w:tc>
      </w:tr>
      <w:tr w:rsidR="00C10073" w:rsidRPr="00A34388" w:rsidTr="009608F6">
        <w:tc>
          <w:tcPr>
            <w:tcW w:w="1843" w:type="dxa"/>
            <w:tcBorders>
              <w:top w:val="single" w:sz="4" w:space="0" w:color="auto"/>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2511"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3793" w:type="dxa"/>
            <w:tcBorders>
              <w:top w:val="single" w:sz="4" w:space="0" w:color="auto"/>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9608F6">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Formación sobre tecnologías Java y el servidor de aplicaciones GlassFish </w:t>
            </w:r>
          </w:p>
          <w:p w:rsidR="00C10073" w:rsidRPr="00A34388" w:rsidRDefault="00C10073" w:rsidP="00AA6702">
            <w:pPr>
              <w:autoSpaceDE w:val="0"/>
              <w:autoSpaceDN w:val="0"/>
              <w:adjustRightInd w:val="0"/>
              <w:spacing w:before="120" w:after="120"/>
              <w:rPr>
                <w:rFonts w:cs="Arial"/>
                <w:color w:val="000000"/>
                <w:sz w:val="16"/>
                <w:szCs w:val="16"/>
                <w:lang w:val="es-ES_tradnl"/>
              </w:rPr>
            </w:pPr>
          </w:p>
        </w:tc>
        <w:tc>
          <w:tcPr>
            <w:tcW w:w="1134"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20 a 24 de mayo de 2013</w:t>
            </w:r>
          </w:p>
        </w:tc>
        <w:tc>
          <w:tcPr>
            <w:tcW w:w="2511"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7 funcionarios de la Oficina de P.I. del Pakistán</w:t>
            </w:r>
          </w:p>
        </w:tc>
        <w:tc>
          <w:tcPr>
            <w:tcW w:w="3793" w:type="dxa"/>
            <w:shd w:val="clear" w:color="auto" w:fill="FFFFFF"/>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Mejorar las capacidades y formación técnica del equipo de T.I. de la oficina de P.I. de</w:t>
            </w:r>
            <w:r w:rsidR="00380F05" w:rsidRPr="00A34388">
              <w:rPr>
                <w:rFonts w:cs="Arial"/>
                <w:color w:val="000000"/>
                <w:sz w:val="16"/>
                <w:szCs w:val="16"/>
                <w:lang w:val="es-ES_tradnl"/>
              </w:rPr>
              <w:t>l</w:t>
            </w:r>
            <w:r w:rsidRPr="00A34388">
              <w:rPr>
                <w:rFonts w:cs="Arial"/>
                <w:color w:val="000000"/>
                <w:sz w:val="16"/>
                <w:szCs w:val="16"/>
                <w:lang w:val="es-ES_tradnl"/>
              </w:rPr>
              <w:t xml:space="preserve"> Pakistán para ofrecer asistencia y mantenimiento para los sistemas de automatización de la oficina de patentes y del registro de marcas </w:t>
            </w:r>
          </w:p>
        </w:tc>
      </w:tr>
      <w:tr w:rsidR="00C10073" w:rsidRPr="00A9508D" w:rsidTr="009608F6">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Dos actividades formativas en IPAS Java y en sistema de gestión electrónica de documentos (EDMS)</w:t>
            </w:r>
          </w:p>
        </w:tc>
        <w:tc>
          <w:tcPr>
            <w:tcW w:w="1134" w:type="dxa"/>
            <w:shd w:val="clear" w:color="auto" w:fill="auto"/>
            <w:tcMar>
              <w:top w:w="110" w:type="dxa"/>
            </w:tcMar>
          </w:tcPr>
          <w:p w:rsidR="00C10073" w:rsidRPr="00A34388" w:rsidRDefault="009F4808" w:rsidP="0053510A">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w:t>
            </w:r>
            <w:r w:rsidR="00C10073" w:rsidRPr="00A34388">
              <w:rPr>
                <w:rFonts w:cs="Arial"/>
                <w:color w:val="000000"/>
                <w:sz w:val="16"/>
                <w:szCs w:val="16"/>
                <w:lang w:val="es-ES_tradnl"/>
              </w:rPr>
              <w:t xml:space="preserve"> 27 de mayo a 7 de junio de 2013;</w:t>
            </w:r>
            <w:r w:rsidR="00C10073" w:rsidRPr="00A34388">
              <w:rPr>
                <w:rFonts w:cs="Arial"/>
                <w:color w:val="000000"/>
                <w:sz w:val="16"/>
                <w:szCs w:val="16"/>
                <w:lang w:val="es-ES_tradnl"/>
              </w:rPr>
              <w:br/>
            </w:r>
            <w:r w:rsidRPr="00A34388">
              <w:rPr>
                <w:rFonts w:cs="Arial"/>
                <w:color w:val="000000"/>
                <w:sz w:val="16"/>
                <w:szCs w:val="16"/>
                <w:lang w:val="es-ES_tradnl"/>
              </w:rPr>
              <w:t>ii)</w:t>
            </w:r>
            <w:r w:rsidR="0053510A">
              <w:rPr>
                <w:rFonts w:cs="Arial"/>
                <w:color w:val="000000"/>
                <w:sz w:val="16"/>
                <w:szCs w:val="16"/>
                <w:lang w:val="es-ES_tradnl"/>
              </w:rPr>
              <w:t xml:space="preserve"> 25 a</w:t>
            </w:r>
            <w:r w:rsidR="00C10073" w:rsidRPr="00A34388">
              <w:rPr>
                <w:rFonts w:cs="Arial"/>
                <w:color w:val="000000"/>
                <w:sz w:val="16"/>
                <w:szCs w:val="16"/>
                <w:lang w:val="es-ES_tradnl"/>
              </w:rPr>
              <w:t xml:space="preserve"> 29 de noviembre de 2013</w:t>
            </w:r>
          </w:p>
        </w:tc>
        <w:tc>
          <w:tcPr>
            <w:tcW w:w="2511"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9F4808"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w:t>
            </w:r>
            <w:r w:rsidR="0053510A">
              <w:rPr>
                <w:rFonts w:cs="Arial"/>
                <w:color w:val="000000"/>
                <w:sz w:val="16"/>
                <w:szCs w:val="16"/>
                <w:lang w:val="es-ES_tradnl"/>
              </w:rPr>
              <w:t xml:space="preserve"> </w:t>
            </w:r>
            <w:r w:rsidR="00C10073" w:rsidRPr="00A34388">
              <w:rPr>
                <w:rFonts w:cs="Arial"/>
                <w:color w:val="000000"/>
                <w:sz w:val="16"/>
                <w:szCs w:val="16"/>
                <w:lang w:val="es-ES_tradnl"/>
              </w:rPr>
              <w:t>5 funcionarios de la Oficina de P.I. del Pakistán</w:t>
            </w:r>
            <w:r w:rsidR="00C10073" w:rsidRPr="00A34388">
              <w:rPr>
                <w:rFonts w:cs="Arial"/>
                <w:color w:val="000000"/>
                <w:sz w:val="16"/>
                <w:szCs w:val="16"/>
                <w:lang w:val="es-ES_tradnl"/>
              </w:rPr>
              <w:br/>
            </w:r>
            <w:r w:rsidRPr="00A34388">
              <w:rPr>
                <w:rFonts w:cs="Arial"/>
                <w:color w:val="000000"/>
                <w:sz w:val="16"/>
                <w:szCs w:val="16"/>
                <w:lang w:val="es-ES_tradnl"/>
              </w:rPr>
              <w:t>ii)</w:t>
            </w:r>
            <w:r w:rsidR="0053510A">
              <w:rPr>
                <w:rFonts w:cs="Arial"/>
                <w:color w:val="000000"/>
                <w:sz w:val="16"/>
                <w:szCs w:val="16"/>
                <w:lang w:val="es-ES_tradnl"/>
              </w:rPr>
              <w:t xml:space="preserve"> 8</w:t>
            </w:r>
            <w:r w:rsidR="00C10073" w:rsidRPr="00A34388">
              <w:rPr>
                <w:rFonts w:cs="Arial"/>
                <w:color w:val="000000"/>
                <w:sz w:val="16"/>
                <w:szCs w:val="16"/>
                <w:lang w:val="es-ES_tradnl"/>
              </w:rPr>
              <w:t xml:space="preserve"> funcionarios de la Oficina de P.I. del Pakistán</w:t>
            </w:r>
          </w:p>
        </w:tc>
        <w:tc>
          <w:tcPr>
            <w:tcW w:w="3793" w:type="dxa"/>
            <w:shd w:val="clear" w:color="auto" w:fill="FFFFFF"/>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Formar al equipo de T.I. de la Oficina de P.I. del Pakistán en:  i) instalación y administración básicas de IPAS Java;  uso de la herramienta de personalización IPAS Designer;   y ii) configuración de las aplicaciones WIPOScan y EDMS </w:t>
            </w:r>
          </w:p>
        </w:tc>
      </w:tr>
      <w:tr w:rsidR="00C10073" w:rsidRPr="00A9508D" w:rsidTr="009608F6">
        <w:tc>
          <w:tcPr>
            <w:tcW w:w="1843"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Digitalización de los archivos de P.I. de la Oficina de P.I. del Pakistán</w:t>
            </w:r>
          </w:p>
        </w:tc>
        <w:tc>
          <w:tcPr>
            <w:tcW w:w="1134"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Comenzó en julio de 2013</w:t>
            </w:r>
            <w:r w:rsidRPr="00A34388">
              <w:rPr>
                <w:rFonts w:cs="Arial"/>
                <w:color w:val="000000"/>
                <w:sz w:val="16"/>
                <w:szCs w:val="16"/>
                <w:lang w:val="es-ES_tradnl"/>
              </w:rPr>
              <w:br/>
            </w:r>
            <w:r w:rsidRPr="00A34388">
              <w:rPr>
                <w:rFonts w:cs="Arial"/>
                <w:i/>
                <w:color w:val="000000"/>
                <w:sz w:val="16"/>
                <w:szCs w:val="16"/>
                <w:lang w:val="es-ES_tradnl"/>
              </w:rPr>
              <w:t>(se espera que concluya a finales de 2014)</w:t>
            </w:r>
          </w:p>
        </w:tc>
        <w:tc>
          <w:tcPr>
            <w:tcW w:w="2511" w:type="dxa"/>
            <w:shd w:val="clear" w:color="auto" w:fill="auto"/>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Pakistán</w:t>
            </w:r>
          </w:p>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Oficina de Patentes</w:t>
            </w:r>
            <w:r w:rsidRPr="00A34388">
              <w:rPr>
                <w:rFonts w:cs="Arial"/>
                <w:color w:val="000000"/>
                <w:sz w:val="16"/>
                <w:szCs w:val="16"/>
                <w:lang w:val="es-ES_tradnl"/>
              </w:rPr>
              <w:br/>
              <w:t>y Registro de Marcas</w:t>
            </w:r>
            <w:r w:rsidRPr="00A34388">
              <w:rPr>
                <w:rFonts w:cs="Arial"/>
                <w:color w:val="000000"/>
                <w:sz w:val="16"/>
                <w:szCs w:val="16"/>
                <w:lang w:val="es-ES_tradnl"/>
              </w:rPr>
              <w:br/>
              <w:t>de la Oficina de P.I. del Pakistán</w:t>
            </w:r>
          </w:p>
        </w:tc>
        <w:tc>
          <w:tcPr>
            <w:tcW w:w="3793" w:type="dxa"/>
            <w:shd w:val="clear" w:color="auto" w:fill="FFFFFF"/>
            <w:tcMar>
              <w:top w:w="110" w:type="dxa"/>
            </w:tcMar>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i) Escaneado de más de 6 millones de páginas de archivos de patentes y marcas;  ii) inclusión de alrededor de 25.000 registros que no figuran en las bases de datos de patentes y marcas;  y iii) validación de los registros de las bases de datos de patentes y marcas</w:t>
            </w:r>
          </w:p>
        </w:tc>
      </w:tr>
    </w:tbl>
    <w:p w:rsidR="00C10073" w:rsidRPr="00A34388" w:rsidRDefault="00C10073" w:rsidP="00C10073">
      <w:pPr>
        <w:tabs>
          <w:tab w:val="left" w:pos="0"/>
          <w:tab w:val="left" w:pos="9071"/>
        </w:tabs>
        <w:rPr>
          <w:rFonts w:cs="Arial"/>
          <w:b/>
          <w:szCs w:val="20"/>
          <w:lang w:val="es-ES_tradnl"/>
        </w:rPr>
      </w:pPr>
    </w:p>
    <w:p w:rsidR="00C10073" w:rsidRPr="00A34388" w:rsidRDefault="00C10073" w:rsidP="00C10073">
      <w:pPr>
        <w:tabs>
          <w:tab w:val="left" w:pos="0"/>
          <w:tab w:val="left" w:pos="9071"/>
        </w:tabs>
        <w:rPr>
          <w:szCs w:val="20"/>
          <w:lang w:val="es-ES_tradnl"/>
        </w:rPr>
      </w:pPr>
    </w:p>
    <w:p w:rsidR="00C10073" w:rsidRPr="00264B47" w:rsidRDefault="00C10073" w:rsidP="00264B47">
      <w:pPr>
        <w:rPr>
          <w:rFonts w:cs="Arial"/>
          <w:b/>
          <w:sz w:val="18"/>
          <w:szCs w:val="18"/>
          <w:lang w:val="es-ES_tradnl"/>
        </w:rPr>
      </w:pPr>
      <w:r w:rsidRPr="00264B47">
        <w:rPr>
          <w:rFonts w:cs="Arial"/>
          <w:b/>
          <w:sz w:val="18"/>
          <w:szCs w:val="18"/>
          <w:lang w:val="es-ES_tradnl"/>
        </w:rPr>
        <w:t>UNIÓN EUROPEA (Proyecto Pakistán) – Contribuciones de donantes y gastos de 2013</w:t>
      </w:r>
      <w:r w:rsidRPr="009760E1">
        <w:rPr>
          <w:rFonts w:cs="Arial"/>
          <w:b/>
          <w:sz w:val="18"/>
          <w:szCs w:val="18"/>
          <w:vertAlign w:val="superscript"/>
          <w:lang w:val="es-ES_tradnl"/>
        </w:rPr>
        <w:t>1</w:t>
      </w:r>
      <w:r w:rsidRPr="00264B47">
        <w:rPr>
          <w:rFonts w:cs="Arial"/>
          <w:b/>
          <w:sz w:val="18"/>
          <w:szCs w:val="18"/>
          <w:lang w:val="es-ES_tradnl"/>
        </w:rPr>
        <w:t xml:space="preserve"> </w:t>
      </w:r>
    </w:p>
    <w:p w:rsidR="00C10073" w:rsidRPr="00A34388" w:rsidRDefault="00C10073" w:rsidP="00C10073">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619.665</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284.598</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298.731</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605.533</w:t>
            </w:r>
          </w:p>
        </w:tc>
      </w:tr>
    </w:tbl>
    <w:p w:rsidR="00C10073" w:rsidRPr="00FF0BCA" w:rsidRDefault="00C10073" w:rsidP="00C10073">
      <w:pPr>
        <w:spacing w:before="120"/>
        <w:rPr>
          <w:sz w:val="18"/>
          <w:szCs w:val="18"/>
          <w:lang w:val="es-ES_tradnl"/>
        </w:rPr>
      </w:pPr>
      <w:r w:rsidRPr="00332758">
        <w:rPr>
          <w:i/>
          <w:sz w:val="18"/>
          <w:szCs w:val="18"/>
          <w:vertAlign w:val="superscript"/>
          <w:lang w:val="es-ES_tradnl"/>
        </w:rPr>
        <w:t xml:space="preserve">1 </w:t>
      </w:r>
      <w:r w:rsidRPr="00FF0BCA">
        <w:rPr>
          <w:i/>
          <w:sz w:val="18"/>
          <w:szCs w:val="18"/>
          <w:lang w:val="es-ES_tradnl"/>
        </w:rPr>
        <w:t>Estados financieros de la OMPI de 2013 (Anexo III)</w:t>
      </w:r>
    </w:p>
    <w:p w:rsidR="00C10073" w:rsidRPr="00A34388" w:rsidRDefault="00C10073" w:rsidP="00C10073">
      <w:pPr>
        <w:rPr>
          <w:szCs w:val="20"/>
          <w:lang w:val="es-ES_tradnl"/>
        </w:rPr>
      </w:pPr>
    </w:p>
    <w:p w:rsidR="00C10073" w:rsidRPr="00A34388" w:rsidRDefault="00C10073" w:rsidP="00C10073">
      <w:pPr>
        <w:rPr>
          <w:szCs w:val="20"/>
          <w:lang w:val="es-ES_tradnl"/>
        </w:rPr>
      </w:pPr>
    </w:p>
    <w:p w:rsidR="00C10073" w:rsidRPr="007B28C2" w:rsidRDefault="00C10073" w:rsidP="009608F6">
      <w:pPr>
        <w:spacing w:before="120" w:after="60"/>
        <w:rPr>
          <w:rFonts w:cs="Arial"/>
          <w:b/>
          <w:szCs w:val="20"/>
          <w:lang w:val="es-ES_tradnl"/>
        </w:rPr>
      </w:pPr>
      <w:r w:rsidRPr="007B28C2">
        <w:rPr>
          <w:rFonts w:cs="Arial"/>
          <w:b/>
          <w:szCs w:val="20"/>
          <w:lang w:val="es-ES_tradnl"/>
        </w:rPr>
        <w:t>FINLANDIA – DERECHO DE AUTOR III</w:t>
      </w: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256"/>
      </w:tblGrid>
      <w:tr w:rsidR="00C10073" w:rsidRPr="00E94BEA" w:rsidTr="00AA6702">
        <w:tc>
          <w:tcPr>
            <w:tcW w:w="9080" w:type="dxa"/>
            <w:gridSpan w:val="4"/>
            <w:tcBorders>
              <w:top w:val="single" w:sz="4" w:space="0" w:color="000000"/>
              <w:bottom w:val="single" w:sz="4" w:space="0" w:color="000000"/>
            </w:tcBorders>
            <w:shd w:val="clear" w:color="auto" w:fill="CCFFFF"/>
            <w:vAlign w:val="center"/>
          </w:tcPr>
          <w:p w:rsidR="00C10073" w:rsidRPr="00332758" w:rsidRDefault="00C10073" w:rsidP="00AA6702">
            <w:pPr>
              <w:tabs>
                <w:tab w:val="left" w:pos="890"/>
              </w:tabs>
              <w:spacing w:before="120" w:after="120"/>
              <w:ind w:left="890" w:hanging="89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 xml:space="preserve">  Decisión fundamentada sobre cuestiones de derecho de autor.</w:t>
            </w:r>
          </w:p>
        </w:tc>
      </w:tr>
      <w:tr w:rsidR="00C10073" w:rsidRPr="00A34388" w:rsidTr="00AA6702">
        <w:tc>
          <w:tcPr>
            <w:tcW w:w="1844"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843" w:type="dxa"/>
            <w:tcBorders>
              <w:top w:val="single" w:sz="4" w:space="0" w:color="000000"/>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256"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AA6702">
        <w:tc>
          <w:tcPr>
            <w:tcW w:w="1844"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Preparación de una metodología para la medición de las repercusiones económicas, sociales y culturales del derecho de autor en las industrias creativas.</w:t>
            </w:r>
          </w:p>
        </w:tc>
        <w:tc>
          <w:tcPr>
            <w:tcW w:w="1137" w:type="dxa"/>
          </w:tcPr>
          <w:p w:rsidR="00C10073" w:rsidRPr="00A34388" w:rsidRDefault="00C10073"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cs="Arial"/>
                <w:color w:val="000000"/>
                <w:sz w:val="16"/>
                <w:szCs w:val="16"/>
                <w:lang w:val="es-ES_tradnl"/>
              </w:rPr>
              <w:t>(En marcha desde 2012)</w:t>
            </w:r>
          </w:p>
        </w:tc>
        <w:tc>
          <w:tcPr>
            <w:tcW w:w="1843"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Todos los usuarios</w:t>
            </w:r>
          </w:p>
        </w:tc>
        <w:tc>
          <w:tcPr>
            <w:tcW w:w="4256"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Crear una metodología sólida para medir las repercusiones del derecho de autor.</w:t>
            </w:r>
            <w:r w:rsidRPr="00A34388">
              <w:rPr>
                <w:rFonts w:eastAsia="MS Mincho" w:cs="Arial"/>
                <w:color w:val="000000"/>
                <w:sz w:val="16"/>
                <w:szCs w:val="16"/>
                <w:lang w:val="es-ES_tradnl" w:eastAsia="ja-JP" w:bidi="th-TH"/>
              </w:rPr>
              <w:t xml:space="preserve"> </w:t>
            </w:r>
          </w:p>
        </w:tc>
      </w:tr>
      <w:tr w:rsidR="00C10073" w:rsidRPr="00A9508D" w:rsidTr="00AA6702">
        <w:tc>
          <w:tcPr>
            <w:tcW w:w="1844"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lastRenderedPageBreak/>
              <w:t xml:space="preserve">Puesta en marcha de un proyecto piloto de medición de las repercusiones económicas, sociales y culturales del derecho de autor en las industrias creativas </w:t>
            </w:r>
          </w:p>
        </w:tc>
        <w:tc>
          <w:tcPr>
            <w:tcW w:w="1137"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Julio de 2013</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p>
        </w:tc>
        <w:tc>
          <w:tcPr>
            <w:tcW w:w="1843"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Finlandia</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p>
        </w:tc>
        <w:tc>
          <w:tcPr>
            <w:tcW w:w="4256"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Proporcionar asesoramiento especializado sobre la aplicación de la metodología para medir repercusiones más amplias del derecho de autor</w:t>
            </w:r>
          </w:p>
        </w:tc>
      </w:tr>
      <w:tr w:rsidR="00C10073" w:rsidRPr="00A9508D" w:rsidTr="00AA6702">
        <w:tc>
          <w:tcPr>
            <w:tcW w:w="1844"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Puesta en marcha de un proyecto piloto sobre la medición de la piratería en el derecho de autor </w:t>
            </w:r>
          </w:p>
        </w:tc>
        <w:tc>
          <w:tcPr>
            <w:tcW w:w="1137"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Junio de 2012 a julio de 2013</w:t>
            </w:r>
          </w:p>
        </w:tc>
        <w:tc>
          <w:tcPr>
            <w:tcW w:w="1843"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Filipinas</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p>
        </w:tc>
        <w:tc>
          <w:tcPr>
            <w:tcW w:w="4256"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Proporcionar asesoramiento especializado sobre la aplicación de directrices metodológicas para la medición de la piratería en el derecho de autor </w:t>
            </w:r>
          </w:p>
        </w:tc>
      </w:tr>
      <w:tr w:rsidR="00C10073" w:rsidRPr="00A9508D" w:rsidTr="00AA6702">
        <w:tc>
          <w:tcPr>
            <w:tcW w:w="1844"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Revisión de las directrices de la OMPI sobre la medición de la aportación económica de los sectores basados en el  derecho de autor </w:t>
            </w:r>
          </w:p>
        </w:tc>
        <w:tc>
          <w:tcPr>
            <w:tcW w:w="1137"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Junio a diciembre de 2013</w:t>
            </w:r>
          </w:p>
        </w:tc>
        <w:tc>
          <w:tcPr>
            <w:tcW w:w="1843"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Todos los países</w:t>
            </w:r>
          </w:p>
        </w:tc>
        <w:tc>
          <w:tcPr>
            <w:tcW w:w="4256"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Elaborar unas directrices revisadas sobre la medición de la aportación económica de los sectores basados en el derecho de autor, a la luz de la experiencia obtenida a través de encuestas realizadas a escala nacional </w:t>
            </w:r>
          </w:p>
        </w:tc>
      </w:tr>
    </w:tbl>
    <w:p w:rsidR="00C10073" w:rsidRPr="00A34388" w:rsidRDefault="00C10073" w:rsidP="00C10073">
      <w:pPr>
        <w:spacing w:before="120"/>
        <w:rPr>
          <w:rFonts w:cs="Arial"/>
          <w:b/>
          <w:szCs w:val="20"/>
          <w:lang w:val="es-ES_tradnl"/>
        </w:rPr>
      </w:pPr>
    </w:p>
    <w:p w:rsidR="00C10073" w:rsidRPr="00332758" w:rsidRDefault="00C10073" w:rsidP="00C10073">
      <w:pPr>
        <w:tabs>
          <w:tab w:val="left" w:pos="0"/>
          <w:tab w:val="left" w:pos="9071"/>
        </w:tabs>
        <w:jc w:val="center"/>
        <w:rPr>
          <w:rFonts w:cs="Arial"/>
          <w:b/>
          <w:szCs w:val="20"/>
          <w:lang w:val="es-ES_tradnl"/>
        </w:rPr>
      </w:pPr>
    </w:p>
    <w:p w:rsidR="00C10073" w:rsidRPr="00332758" w:rsidRDefault="00C10073" w:rsidP="00C10073">
      <w:pPr>
        <w:rPr>
          <w:rFonts w:cs="Arial"/>
          <w:b/>
          <w:sz w:val="18"/>
          <w:szCs w:val="18"/>
          <w:lang w:val="es-ES_tradnl"/>
        </w:rPr>
      </w:pPr>
      <w:r w:rsidRPr="00332758">
        <w:rPr>
          <w:rFonts w:cs="Arial"/>
          <w:b/>
          <w:sz w:val="18"/>
          <w:szCs w:val="18"/>
          <w:lang w:val="es-ES_tradnl"/>
        </w:rPr>
        <w:t>FINLANDIA – DERECHO DE AUTOR I, II y III – Contribuciones de donantes y gastos en 20131</w:t>
      </w:r>
    </w:p>
    <w:p w:rsidR="00C10073" w:rsidRPr="00332758" w:rsidRDefault="00C10073" w:rsidP="00C10073">
      <w:pPr>
        <w:autoSpaceDE w:val="0"/>
        <w:autoSpaceDN w:val="0"/>
        <w:adjustRightInd w:val="0"/>
        <w:rPr>
          <w:rFonts w:eastAsia="MS Mincho" w:cs="Arial"/>
          <w:b/>
          <w:bCs/>
          <w:sz w:val="18"/>
          <w:szCs w:val="18"/>
          <w:lang w:val="es-ES_tradnl" w:eastAsia="ja-JP" w:bidi="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182.635</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39.270</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51.767</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170.138</w:t>
            </w:r>
          </w:p>
        </w:tc>
      </w:tr>
    </w:tbl>
    <w:p w:rsidR="00C10073" w:rsidRPr="00FF0BCA" w:rsidRDefault="00C10073" w:rsidP="00C10073">
      <w:pPr>
        <w:spacing w:before="120"/>
        <w:rPr>
          <w:sz w:val="18"/>
          <w:szCs w:val="18"/>
          <w:lang w:val="es-ES_tradnl"/>
        </w:rPr>
      </w:pPr>
      <w:r w:rsidRPr="00332758">
        <w:rPr>
          <w:i/>
          <w:sz w:val="18"/>
          <w:szCs w:val="18"/>
          <w:vertAlign w:val="superscript"/>
          <w:lang w:val="es-ES_tradnl"/>
        </w:rPr>
        <w:t xml:space="preserve">1 </w:t>
      </w:r>
      <w:r w:rsidRPr="00FF0BCA">
        <w:rPr>
          <w:i/>
          <w:sz w:val="18"/>
          <w:szCs w:val="18"/>
          <w:lang w:val="es-ES_tradnl"/>
        </w:rPr>
        <w:t>Estados financieros de la OMPI de 2013 (Anexo III)</w:t>
      </w:r>
    </w:p>
    <w:p w:rsidR="00C10073" w:rsidRPr="00A34388" w:rsidRDefault="00C10073" w:rsidP="00C10073">
      <w:pPr>
        <w:autoSpaceDE w:val="0"/>
        <w:autoSpaceDN w:val="0"/>
        <w:adjustRightInd w:val="0"/>
        <w:rPr>
          <w:rFonts w:eastAsia="MS Mincho" w:cs="Arial"/>
          <w:b/>
          <w:bCs/>
          <w:color w:val="000000"/>
          <w:sz w:val="18"/>
          <w:szCs w:val="18"/>
          <w:lang w:val="es-ES_tradnl" w:eastAsia="ja-JP" w:bidi="th-TH"/>
        </w:rPr>
      </w:pPr>
    </w:p>
    <w:p w:rsidR="00C10073" w:rsidRDefault="00C10073" w:rsidP="00C10073">
      <w:pPr>
        <w:autoSpaceDE w:val="0"/>
        <w:autoSpaceDN w:val="0"/>
        <w:adjustRightInd w:val="0"/>
        <w:rPr>
          <w:rFonts w:eastAsia="MS Mincho" w:cs="Arial"/>
          <w:b/>
          <w:bCs/>
          <w:color w:val="000000"/>
          <w:sz w:val="18"/>
          <w:szCs w:val="18"/>
          <w:lang w:val="es-ES_tradnl" w:eastAsia="ja-JP" w:bidi="th-TH"/>
        </w:rPr>
      </w:pPr>
    </w:p>
    <w:p w:rsidR="009608F6" w:rsidRPr="00A34388" w:rsidRDefault="009608F6" w:rsidP="00C10073">
      <w:pPr>
        <w:autoSpaceDE w:val="0"/>
        <w:autoSpaceDN w:val="0"/>
        <w:adjustRightInd w:val="0"/>
        <w:rPr>
          <w:rFonts w:eastAsia="MS Mincho" w:cs="Arial"/>
          <w:b/>
          <w:bCs/>
          <w:color w:val="000000"/>
          <w:sz w:val="18"/>
          <w:szCs w:val="18"/>
          <w:lang w:val="es-ES_tradnl" w:eastAsia="ja-JP" w:bidi="th-TH"/>
        </w:rPr>
      </w:pPr>
    </w:p>
    <w:p w:rsidR="00C10073" w:rsidRPr="002770F6" w:rsidRDefault="00C10073" w:rsidP="00C10073">
      <w:pPr>
        <w:rPr>
          <w:rFonts w:cs="Arial"/>
          <w:b/>
          <w:szCs w:val="20"/>
          <w:lang w:val="es-ES_tradnl"/>
        </w:rPr>
      </w:pPr>
      <w:r w:rsidRPr="002770F6">
        <w:rPr>
          <w:rFonts w:cs="Arial"/>
          <w:b/>
          <w:szCs w:val="20"/>
          <w:lang w:val="es-ES_tradnl"/>
        </w:rPr>
        <w:t>FRANCIA – PROPIEDAD INDUSTRIAL</w:t>
      </w:r>
    </w:p>
    <w:p w:rsidR="00C10073" w:rsidRPr="00A34388" w:rsidRDefault="00C10073" w:rsidP="00C10073">
      <w:pPr>
        <w:rPr>
          <w:rFonts w:cs="Arial"/>
          <w:b/>
          <w:sz w:val="16"/>
          <w:szCs w:val="16"/>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110"/>
      </w:tblGrid>
      <w:tr w:rsidR="00C10073" w:rsidRPr="00A9508D" w:rsidTr="00AA6702">
        <w:tc>
          <w:tcPr>
            <w:tcW w:w="9072" w:type="dxa"/>
            <w:gridSpan w:val="4"/>
            <w:tcBorders>
              <w:top w:val="single" w:sz="4" w:space="0" w:color="auto"/>
              <w:bottom w:val="single" w:sz="4" w:space="0" w:color="auto"/>
            </w:tcBorders>
            <w:shd w:val="clear" w:color="auto" w:fill="CCFFFF"/>
            <w:vAlign w:val="center"/>
          </w:tcPr>
          <w:p w:rsidR="00C10073" w:rsidRPr="00332758" w:rsidRDefault="00C10073" w:rsidP="00AA6702">
            <w:pPr>
              <w:keepNext/>
              <w:keepLines/>
              <w:tabs>
                <w:tab w:val="left" w:pos="1740"/>
              </w:tabs>
              <w:spacing w:before="120" w:after="60"/>
              <w:ind w:left="1741" w:hanging="1741"/>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C10073" w:rsidRPr="00A34388" w:rsidTr="00AA6702">
        <w:tc>
          <w:tcPr>
            <w:tcW w:w="1840" w:type="dxa"/>
            <w:tcBorders>
              <w:top w:val="single" w:sz="4" w:space="0" w:color="auto"/>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auto"/>
            </w:tcBorders>
            <w:shd w:val="clear" w:color="auto" w:fill="auto"/>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auto"/>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AA6702">
        <w:tc>
          <w:tcPr>
            <w:tcW w:w="1840"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Conferencia sobre las finanzas y la evaluación de la P.I. organizada por el Instituto Nacional de la Propiedad Industrial </w:t>
            </w:r>
            <w:r w:rsidRPr="00A34388">
              <w:rPr>
                <w:rFonts w:eastAsia="MS Mincho" w:cs="Arial"/>
                <w:bCs/>
                <w:color w:val="000000"/>
                <w:sz w:val="16"/>
                <w:szCs w:val="16"/>
                <w:lang w:val="es-ES_tradnl" w:eastAsia="ja-JP" w:bidi="th-TH"/>
              </w:rPr>
              <w:t xml:space="preserve">(INPI) de Francia y la Oficina de la Propiedad Intelectual de Singapur (IPOS) </w:t>
            </w:r>
          </w:p>
        </w:tc>
        <w:tc>
          <w:tcPr>
            <w:tcW w:w="1137" w:type="dxa"/>
          </w:tcPr>
          <w:p w:rsidR="00C10073" w:rsidRPr="00A34388" w:rsidRDefault="00C10073" w:rsidP="00AA6702">
            <w:pPr>
              <w:autoSpaceDE w:val="0"/>
              <w:autoSpaceDN w:val="0"/>
              <w:adjustRightInd w:val="0"/>
              <w:spacing w:before="120" w:after="120"/>
              <w:rPr>
                <w:rFonts w:eastAsia="MS Mincho" w:cs="Arial"/>
                <w:color w:val="808080"/>
                <w:sz w:val="16"/>
                <w:szCs w:val="16"/>
                <w:lang w:val="es-ES_tradnl" w:eastAsia="ja-JP" w:bidi="th-TH"/>
              </w:rPr>
            </w:pPr>
            <w:r w:rsidRPr="00332758">
              <w:rPr>
                <w:rFonts w:eastAsia="MS Mincho" w:cs="Arial"/>
                <w:sz w:val="16"/>
                <w:szCs w:val="16"/>
                <w:lang w:val="es-ES_tradnl" w:eastAsia="ja-JP" w:bidi="th-TH"/>
              </w:rPr>
              <w:t>29 de agosto de 2013</w:t>
            </w:r>
          </w:p>
        </w:tc>
        <w:tc>
          <w:tcPr>
            <w:tcW w:w="1985" w:type="dxa"/>
          </w:tcPr>
          <w:p w:rsidR="00C10073" w:rsidRPr="00332758" w:rsidRDefault="00C10073" w:rsidP="00AA6702">
            <w:pPr>
              <w:autoSpaceDE w:val="0"/>
              <w:autoSpaceDN w:val="0"/>
              <w:adjustRightInd w:val="0"/>
              <w:spacing w:before="120" w:after="60"/>
              <w:rPr>
                <w:rFonts w:eastAsia="MS Mincho" w:cs="Arial"/>
                <w:sz w:val="16"/>
                <w:szCs w:val="16"/>
                <w:lang w:val="es-ES_tradnl" w:eastAsia="ja-JP" w:bidi="th-TH"/>
              </w:rPr>
            </w:pPr>
            <w:r w:rsidRPr="00332758">
              <w:rPr>
                <w:rFonts w:eastAsia="MS Mincho" w:cs="Arial"/>
                <w:sz w:val="16"/>
                <w:szCs w:val="16"/>
                <w:lang w:val="es-ES_tradnl" w:eastAsia="ja-JP" w:bidi="th-TH"/>
              </w:rPr>
              <w:t>Singapur</w:t>
            </w:r>
          </w:p>
        </w:tc>
        <w:tc>
          <w:tcPr>
            <w:tcW w:w="4110" w:type="dxa"/>
          </w:tcPr>
          <w:p w:rsidR="00C10073" w:rsidRPr="00A34388" w:rsidRDefault="00C10073" w:rsidP="00AA6702">
            <w:pPr>
              <w:autoSpaceDE w:val="0"/>
              <w:autoSpaceDN w:val="0"/>
              <w:adjustRightInd w:val="0"/>
              <w:spacing w:before="120" w:after="120"/>
              <w:rPr>
                <w:rFonts w:eastAsia="MS Mincho" w:cs="Arial"/>
                <w:bCs/>
                <w:color w:val="000000"/>
                <w:sz w:val="16"/>
                <w:szCs w:val="16"/>
                <w:lang w:val="es-ES_tradnl" w:eastAsia="ja-JP" w:bidi="th-TH"/>
              </w:rPr>
            </w:pPr>
            <w:r w:rsidRPr="00A34388">
              <w:rPr>
                <w:rFonts w:eastAsia="MS Mincho" w:cs="Arial"/>
                <w:color w:val="000000"/>
                <w:sz w:val="16"/>
                <w:szCs w:val="16"/>
                <w:lang w:val="es-ES_tradnl" w:eastAsia="ja-JP" w:bidi="th-TH"/>
              </w:rPr>
              <w:t xml:space="preserve">Estudiar la evolución de la evaluación y la financiación de la P.I. en el marco de la semana de la P.I. de Singapur (26 a 30 de agosto de 2013)  </w:t>
            </w:r>
          </w:p>
        </w:tc>
      </w:tr>
      <w:tr w:rsidR="00C10073" w:rsidRPr="00A9508D" w:rsidTr="00AA6702">
        <w:tc>
          <w:tcPr>
            <w:tcW w:w="1840"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Dos seminarios subregionales para fomentar el respeto por la P.I., organizados por el INPI de Francia, la OAPI y la OMPI</w:t>
            </w:r>
          </w:p>
        </w:tc>
        <w:tc>
          <w:tcPr>
            <w:tcW w:w="1137" w:type="dxa"/>
          </w:tcPr>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25 a 27 de noviembre de 2013</w:t>
            </w:r>
          </w:p>
          <w:p w:rsidR="00C10073" w:rsidRPr="00A34388" w:rsidRDefault="00C10073"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25 a 27 de noviembre de 2013</w:t>
            </w:r>
          </w:p>
        </w:tc>
        <w:tc>
          <w:tcPr>
            <w:tcW w:w="1985" w:type="dxa"/>
          </w:tcPr>
          <w:p w:rsidR="00C10073" w:rsidRPr="00A34388" w:rsidRDefault="00C10073" w:rsidP="00AA6702">
            <w:pPr>
              <w:autoSpaceDE w:val="0"/>
              <w:autoSpaceDN w:val="0"/>
              <w:adjustRightInd w:val="0"/>
              <w:spacing w:before="120" w:after="6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Camerún (Douala)/ 28 funcionarios del Congo y del Gabón </w:t>
            </w:r>
          </w:p>
          <w:p w:rsidR="00C10073" w:rsidRPr="00A34388" w:rsidRDefault="00C10073" w:rsidP="00AA6702">
            <w:pPr>
              <w:autoSpaceDE w:val="0"/>
              <w:autoSpaceDN w:val="0"/>
              <w:adjustRightInd w:val="0"/>
              <w:spacing w:before="120" w:after="60"/>
              <w:rPr>
                <w:rFonts w:eastAsia="MS Mincho" w:cs="Arial"/>
                <w:color w:val="000000"/>
                <w:sz w:val="16"/>
                <w:szCs w:val="16"/>
                <w:lang w:val="es-ES_tradnl" w:eastAsia="ja-JP" w:bidi="th-TH"/>
              </w:rPr>
            </w:pPr>
          </w:p>
          <w:p w:rsidR="00C10073" w:rsidRPr="00A34388" w:rsidRDefault="00C10073" w:rsidP="00AA6702">
            <w:pPr>
              <w:autoSpaceDE w:val="0"/>
              <w:autoSpaceDN w:val="0"/>
              <w:adjustRightInd w:val="0"/>
              <w:spacing w:before="120" w:after="6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Senegal (Dakar)/ 35 funcionarios de </w:t>
            </w:r>
            <w:r w:rsidRPr="00A34388">
              <w:rPr>
                <w:rFonts w:eastAsia="MS Mincho" w:cs="Arial"/>
                <w:bCs/>
                <w:color w:val="000000"/>
                <w:sz w:val="16"/>
                <w:szCs w:val="16"/>
                <w:lang w:val="es-ES_tradnl" w:eastAsia="ja-JP" w:bidi="th-TH"/>
              </w:rPr>
              <w:t>Côte d’Ivoire y de Burkina Faso</w:t>
            </w:r>
          </w:p>
        </w:tc>
        <w:tc>
          <w:tcPr>
            <w:tcW w:w="4110" w:type="dxa"/>
          </w:tcPr>
          <w:p w:rsidR="00C10073" w:rsidRPr="00A34388" w:rsidRDefault="00C10073" w:rsidP="00AA6702">
            <w:pPr>
              <w:autoSpaceDE w:val="0"/>
              <w:autoSpaceDN w:val="0"/>
              <w:adjustRightInd w:val="0"/>
              <w:spacing w:before="120" w:after="120"/>
              <w:rPr>
                <w:rFonts w:eastAsia="MS Mincho" w:cs="Arial"/>
                <w:bCs/>
                <w:color w:val="000000"/>
                <w:sz w:val="16"/>
                <w:szCs w:val="16"/>
                <w:lang w:val="es-ES_tradnl" w:eastAsia="ja-JP" w:bidi="th-TH"/>
              </w:rPr>
            </w:pPr>
            <w:r w:rsidRPr="00A34388">
              <w:rPr>
                <w:rFonts w:eastAsia="MS Mincho" w:cs="Arial"/>
                <w:bCs/>
                <w:color w:val="000000"/>
                <w:sz w:val="16"/>
                <w:szCs w:val="16"/>
                <w:lang w:val="es-ES_tradnl" w:eastAsia="ja-JP" w:bidi="th-TH"/>
              </w:rPr>
              <w:t>Los objetivos de los seminarios fueron i) mejorar la capacidad de jueces y funcionarios en materia de aplicación de los derechos de la propiedad intelectual;  y ii) brindar a los funcionarios de los países de la OAPI la oportunidad de reunirse, debatir y compartir experiencias en el ámbito del fomento del respeto por la P.I.</w:t>
            </w:r>
          </w:p>
        </w:tc>
      </w:tr>
    </w:tbl>
    <w:p w:rsidR="00C10073" w:rsidRPr="00A34388" w:rsidRDefault="00C10073" w:rsidP="00C10073">
      <w:pPr>
        <w:rPr>
          <w:rFonts w:cs="Arial"/>
          <w:b/>
          <w:sz w:val="16"/>
          <w:szCs w:val="16"/>
          <w:lang w:val="es-ES_tradnl"/>
        </w:rPr>
      </w:pPr>
    </w:p>
    <w:p w:rsidR="00C10073" w:rsidRPr="00A34388" w:rsidRDefault="00C10073" w:rsidP="00C10073">
      <w:pPr>
        <w:rPr>
          <w:rFonts w:cs="Arial"/>
          <w:b/>
          <w:sz w:val="18"/>
          <w:szCs w:val="18"/>
          <w:lang w:val="es-ES_tradnl"/>
        </w:rPr>
      </w:pPr>
    </w:p>
    <w:p w:rsidR="00C10073" w:rsidRPr="00332758" w:rsidRDefault="00C10073" w:rsidP="009608F6">
      <w:pPr>
        <w:keepNext/>
        <w:keepLines/>
        <w:rPr>
          <w:rFonts w:cs="Arial"/>
          <w:b/>
          <w:sz w:val="18"/>
          <w:szCs w:val="18"/>
          <w:lang w:val="es-ES_tradnl"/>
        </w:rPr>
      </w:pPr>
      <w:r w:rsidRPr="00332758">
        <w:rPr>
          <w:rFonts w:cs="Arial"/>
          <w:b/>
          <w:sz w:val="18"/>
          <w:szCs w:val="18"/>
          <w:lang w:val="es-ES_tradnl"/>
        </w:rPr>
        <w:lastRenderedPageBreak/>
        <w:t>FRANCIA – PROPIEDAD INDUSTRIAL – Contribuciones de donantes y gastos en 2013</w:t>
      </w:r>
      <w:r w:rsidRPr="00332758">
        <w:rPr>
          <w:rFonts w:cs="Arial"/>
          <w:b/>
          <w:sz w:val="18"/>
          <w:szCs w:val="18"/>
          <w:vertAlign w:val="superscript"/>
          <w:lang w:val="es-ES_tradnl"/>
        </w:rPr>
        <w:t>1</w:t>
      </w:r>
    </w:p>
    <w:p w:rsidR="00C10073" w:rsidRPr="00332758" w:rsidRDefault="00C10073" w:rsidP="009608F6">
      <w:pPr>
        <w:keepNext/>
        <w:keepLines/>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9608F6">
            <w:pPr>
              <w:keepNext/>
              <w:keepLines/>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9608F6">
            <w:pPr>
              <w:keepNext/>
              <w:keepLines/>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9608F6">
            <w:pPr>
              <w:keepNext/>
              <w:keepLines/>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9608F6">
            <w:pPr>
              <w:keepNext/>
              <w:keepLines/>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9608F6">
            <w:pPr>
              <w:keepNext/>
              <w:keepLines/>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9608F6">
            <w:pPr>
              <w:keepNext/>
              <w:keepLines/>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547.288</w:t>
            </w:r>
          </w:p>
        </w:tc>
        <w:tc>
          <w:tcPr>
            <w:tcW w:w="1701" w:type="dxa"/>
            <w:shd w:val="clear" w:color="auto" w:fill="auto"/>
            <w:vAlign w:val="center"/>
          </w:tcPr>
          <w:p w:rsidR="00C10073" w:rsidRPr="00A34388" w:rsidRDefault="00C10073" w:rsidP="009608F6">
            <w:pPr>
              <w:keepNext/>
              <w:keepLines/>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301.206</w:t>
            </w:r>
          </w:p>
        </w:tc>
        <w:tc>
          <w:tcPr>
            <w:tcW w:w="1843" w:type="dxa"/>
            <w:shd w:val="clear" w:color="auto" w:fill="auto"/>
            <w:vAlign w:val="center"/>
          </w:tcPr>
          <w:p w:rsidR="00C10073" w:rsidRPr="00A34388" w:rsidRDefault="00C10073" w:rsidP="009608F6">
            <w:pPr>
              <w:keepNext/>
              <w:keepLines/>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96.020</w:t>
            </w:r>
          </w:p>
        </w:tc>
        <w:tc>
          <w:tcPr>
            <w:tcW w:w="1701" w:type="dxa"/>
            <w:shd w:val="clear" w:color="auto" w:fill="auto"/>
            <w:vAlign w:val="center"/>
          </w:tcPr>
          <w:p w:rsidR="00C10073" w:rsidRPr="00A34388" w:rsidRDefault="00C10073" w:rsidP="009608F6">
            <w:pPr>
              <w:keepNext/>
              <w:keepLines/>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9608F6">
            <w:pPr>
              <w:keepNext/>
              <w:keepLines/>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752.474</w:t>
            </w:r>
          </w:p>
        </w:tc>
      </w:tr>
    </w:tbl>
    <w:p w:rsidR="00C10073" w:rsidRPr="00FF0BCA" w:rsidRDefault="00C10073" w:rsidP="009608F6">
      <w:pPr>
        <w:keepNext/>
        <w:keepLines/>
        <w:spacing w:before="120"/>
        <w:rPr>
          <w:sz w:val="18"/>
          <w:szCs w:val="18"/>
          <w:lang w:val="es-ES_tradnl"/>
        </w:rPr>
      </w:pPr>
      <w:r w:rsidRPr="00332758">
        <w:rPr>
          <w:i/>
          <w:sz w:val="16"/>
          <w:szCs w:val="16"/>
          <w:vertAlign w:val="superscript"/>
          <w:lang w:val="es-ES_tradnl"/>
        </w:rPr>
        <w:t xml:space="preserve">1 </w:t>
      </w:r>
      <w:r w:rsidRPr="00FF0BCA">
        <w:rPr>
          <w:i/>
          <w:sz w:val="18"/>
          <w:szCs w:val="18"/>
          <w:lang w:val="es-ES_tradnl"/>
        </w:rPr>
        <w:t>Estados financieros de la OMPI de 2013 (Anexo III)</w:t>
      </w:r>
    </w:p>
    <w:p w:rsidR="00C10073" w:rsidRPr="00332758" w:rsidRDefault="00C10073" w:rsidP="00C10073">
      <w:pPr>
        <w:spacing w:before="120"/>
        <w:rPr>
          <w:sz w:val="16"/>
          <w:szCs w:val="16"/>
          <w:lang w:val="es-ES_tradnl"/>
        </w:rPr>
      </w:pPr>
    </w:p>
    <w:p w:rsidR="00C10073" w:rsidRPr="00332758" w:rsidRDefault="00C10073" w:rsidP="00C10073">
      <w:pPr>
        <w:rPr>
          <w:rFonts w:cs="Arial"/>
          <w:b/>
          <w:sz w:val="16"/>
          <w:szCs w:val="16"/>
          <w:u w:val="single"/>
          <w:lang w:val="es-ES_tradnl"/>
        </w:rPr>
      </w:pPr>
    </w:p>
    <w:p w:rsidR="00C10073" w:rsidRPr="002770F6" w:rsidRDefault="00C10073" w:rsidP="009760E1">
      <w:pPr>
        <w:keepNext/>
        <w:keepLines/>
        <w:rPr>
          <w:rFonts w:cs="Arial"/>
          <w:b/>
          <w:szCs w:val="20"/>
          <w:u w:val="single"/>
          <w:lang w:val="es-ES_tradnl"/>
        </w:rPr>
      </w:pPr>
      <w:r w:rsidRPr="002770F6">
        <w:rPr>
          <w:rFonts w:cs="Arial"/>
          <w:b/>
          <w:szCs w:val="20"/>
          <w:lang w:val="es-ES_tradnl"/>
        </w:rPr>
        <w:t>PROGRAMA IBEROAMERICANO DE PROPIEDAD INDUSTRIAL</w:t>
      </w:r>
      <w:r w:rsidRPr="002770F6">
        <w:rPr>
          <w:rStyle w:val="FootnoteReference"/>
          <w:rFonts w:cs="Arial"/>
          <w:b/>
          <w:lang w:val="es-ES_tradnl"/>
        </w:rPr>
        <w:footnoteReference w:id="49"/>
      </w:r>
    </w:p>
    <w:p w:rsidR="00C10073" w:rsidRPr="00A34388" w:rsidRDefault="00C10073" w:rsidP="009760E1">
      <w:pPr>
        <w:keepNext/>
        <w:keepLines/>
        <w:rPr>
          <w:rFonts w:cs="Arial"/>
          <w:b/>
          <w:szCs w:val="20"/>
          <w:u w:val="single"/>
          <w:lang w:val="es-ES_tradnl"/>
        </w:rPr>
      </w:pPr>
    </w:p>
    <w:tbl>
      <w:tblPr>
        <w:tblW w:w="94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709"/>
        <w:gridCol w:w="567"/>
        <w:gridCol w:w="425"/>
        <w:gridCol w:w="1468"/>
        <w:gridCol w:w="4394"/>
      </w:tblGrid>
      <w:tr w:rsidR="00C10073" w:rsidRPr="00A9508D" w:rsidTr="009760E1">
        <w:tc>
          <w:tcPr>
            <w:tcW w:w="9406" w:type="dxa"/>
            <w:gridSpan w:val="6"/>
            <w:tcBorders>
              <w:top w:val="single" w:sz="4" w:space="0" w:color="000000"/>
              <w:bottom w:val="single" w:sz="4" w:space="0" w:color="000000"/>
            </w:tcBorders>
            <w:shd w:val="clear" w:color="auto" w:fill="CCFFFF"/>
            <w:vAlign w:val="center"/>
          </w:tcPr>
          <w:p w:rsidR="00C10073" w:rsidRPr="00332758" w:rsidRDefault="00C10073" w:rsidP="009760E1">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
                <w:bCs/>
                <w:sz w:val="16"/>
                <w:szCs w:val="16"/>
                <w:lang w:val="es-ES_tradnl"/>
              </w:rPr>
              <w:tab/>
            </w:r>
            <w:r w:rsidRPr="00332758">
              <w:rPr>
                <w:rFonts w:cs="Arial"/>
                <w:bCs/>
                <w:sz w:val="16"/>
                <w:szCs w:val="16"/>
                <w:lang w:val="es-ES_tradnl"/>
              </w:rPr>
              <w:t>Fomento de las capacidades de gestión de P.I. para las empresas.</w:t>
            </w:r>
          </w:p>
        </w:tc>
      </w:tr>
      <w:tr w:rsidR="00C10073" w:rsidRPr="00A34388" w:rsidTr="009760E1">
        <w:tc>
          <w:tcPr>
            <w:tcW w:w="2552" w:type="dxa"/>
            <w:gridSpan w:val="2"/>
            <w:tcBorders>
              <w:top w:val="single" w:sz="4" w:space="0" w:color="000000"/>
            </w:tcBorders>
            <w:vAlign w:val="center"/>
          </w:tcPr>
          <w:p w:rsidR="00C10073" w:rsidRPr="00A34388" w:rsidRDefault="00C10073" w:rsidP="009760E1">
            <w:pPr>
              <w:keepNext/>
              <w:keepLines/>
              <w:rPr>
                <w:rFonts w:cs="Arial"/>
                <w:b/>
                <w:bCs/>
                <w:color w:val="808080"/>
                <w:sz w:val="16"/>
                <w:szCs w:val="16"/>
                <w:lang w:val="es-ES_tradnl"/>
              </w:rPr>
            </w:pPr>
            <w:r w:rsidRPr="00332758">
              <w:rPr>
                <w:rFonts w:cs="Arial"/>
                <w:b/>
                <w:bCs/>
                <w:sz w:val="16"/>
                <w:szCs w:val="16"/>
                <w:lang w:val="es-ES_tradnl"/>
              </w:rPr>
              <w:t>Actividad</w:t>
            </w:r>
          </w:p>
        </w:tc>
        <w:tc>
          <w:tcPr>
            <w:tcW w:w="992" w:type="dxa"/>
            <w:gridSpan w:val="2"/>
            <w:tcBorders>
              <w:top w:val="single" w:sz="4" w:space="0" w:color="000000"/>
            </w:tcBorders>
            <w:shd w:val="clear" w:color="auto" w:fill="auto"/>
            <w:tcMar>
              <w:top w:w="110" w:type="dxa"/>
            </w:tcMar>
            <w:vAlign w:val="center"/>
          </w:tcPr>
          <w:p w:rsidR="00C10073" w:rsidRPr="00A34388" w:rsidRDefault="00C10073" w:rsidP="009760E1">
            <w:pPr>
              <w:keepNext/>
              <w:keepLines/>
              <w:rPr>
                <w:rFonts w:cs="Arial"/>
                <w:color w:val="808080"/>
                <w:sz w:val="16"/>
                <w:szCs w:val="16"/>
                <w:lang w:val="es-ES_tradnl"/>
              </w:rPr>
            </w:pPr>
            <w:r w:rsidRPr="00332758">
              <w:rPr>
                <w:rFonts w:cs="Arial"/>
                <w:b/>
                <w:sz w:val="16"/>
                <w:szCs w:val="16"/>
                <w:lang w:val="es-ES_tradnl"/>
              </w:rPr>
              <w:t>Fecha</w:t>
            </w:r>
          </w:p>
        </w:tc>
        <w:tc>
          <w:tcPr>
            <w:tcW w:w="1468" w:type="dxa"/>
            <w:tcBorders>
              <w:top w:val="single" w:sz="4" w:space="0" w:color="000000"/>
            </w:tcBorders>
            <w:shd w:val="clear" w:color="auto" w:fill="auto"/>
            <w:tcMar>
              <w:top w:w="110" w:type="dxa"/>
            </w:tcMar>
            <w:vAlign w:val="center"/>
          </w:tcPr>
          <w:p w:rsidR="00C10073" w:rsidRPr="00A34388" w:rsidRDefault="00C10073" w:rsidP="009760E1">
            <w:pPr>
              <w:keepNext/>
              <w:keepLines/>
              <w:rPr>
                <w:rFonts w:cs="Arial"/>
                <w:color w:val="808080"/>
                <w:sz w:val="16"/>
                <w:szCs w:val="16"/>
                <w:lang w:val="es-ES_tradnl"/>
              </w:rPr>
            </w:pPr>
            <w:r w:rsidRPr="00332758">
              <w:rPr>
                <w:rFonts w:cs="Arial"/>
                <w:b/>
                <w:sz w:val="16"/>
                <w:szCs w:val="16"/>
                <w:lang w:val="es-ES_tradnl"/>
              </w:rPr>
              <w:t>País anfitrión</w:t>
            </w:r>
            <w:r w:rsidR="009760E1">
              <w:rPr>
                <w:rFonts w:cs="Arial"/>
                <w:b/>
                <w:sz w:val="16"/>
                <w:szCs w:val="16"/>
                <w:lang w:val="es-ES_tradnl"/>
              </w:rPr>
              <w:t xml:space="preserve"> </w:t>
            </w:r>
            <w:r w:rsidRPr="00332758">
              <w:rPr>
                <w:rFonts w:cs="Arial"/>
                <w:b/>
                <w:sz w:val="16"/>
                <w:szCs w:val="16"/>
                <w:lang w:val="es-ES_tradnl"/>
              </w:rPr>
              <w:t>/</w:t>
            </w:r>
            <w:r w:rsidR="009760E1">
              <w:rPr>
                <w:rFonts w:cs="Arial"/>
                <w:b/>
                <w:sz w:val="16"/>
                <w:szCs w:val="16"/>
                <w:lang w:val="es-ES_tradnl"/>
              </w:rPr>
              <w:t xml:space="preserve"> </w:t>
            </w:r>
            <w:r w:rsidRPr="00332758">
              <w:rPr>
                <w:rFonts w:cs="Arial"/>
                <w:b/>
                <w:sz w:val="16"/>
                <w:szCs w:val="16"/>
                <w:lang w:val="es-ES_tradnl"/>
              </w:rPr>
              <w:t>Beneficiarios</w:t>
            </w:r>
          </w:p>
        </w:tc>
        <w:tc>
          <w:tcPr>
            <w:tcW w:w="4394" w:type="dxa"/>
            <w:tcBorders>
              <w:top w:val="single" w:sz="4" w:space="0" w:color="000000"/>
            </w:tcBorders>
            <w:shd w:val="clear" w:color="auto" w:fill="FFFFFF"/>
            <w:tcMar>
              <w:top w:w="110" w:type="dxa"/>
            </w:tcMar>
            <w:vAlign w:val="center"/>
          </w:tcPr>
          <w:p w:rsidR="00C10073" w:rsidRPr="00332758" w:rsidRDefault="00C10073" w:rsidP="009760E1">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9760E1">
        <w:trPr>
          <w:trHeight w:val="520"/>
        </w:trPr>
        <w:tc>
          <w:tcPr>
            <w:tcW w:w="2552" w:type="dxa"/>
            <w:gridSpan w:val="2"/>
            <w:tcBorders>
              <w:bottom w:val="single" w:sz="4" w:space="0" w:color="000000"/>
            </w:tcBorders>
          </w:tcPr>
          <w:p w:rsidR="00C10073" w:rsidRPr="00A34388" w:rsidRDefault="00C10073" w:rsidP="009760E1">
            <w:pPr>
              <w:keepNext/>
              <w:keepLines/>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Puesta en marcha de una plataforma en español sobre servicios y contenidos de propiedad industrial adaptada a las necesidades del sector empresarial de América Latina, centrándose en las pymes (CIBEPYME).</w:t>
            </w:r>
          </w:p>
        </w:tc>
        <w:tc>
          <w:tcPr>
            <w:tcW w:w="992" w:type="dxa"/>
            <w:gridSpan w:val="2"/>
            <w:tcBorders>
              <w:bottom w:val="single" w:sz="4" w:space="0" w:color="000000"/>
            </w:tcBorders>
          </w:tcPr>
          <w:p w:rsidR="00C10073" w:rsidRPr="00A34388" w:rsidRDefault="00C10073" w:rsidP="009760E1">
            <w:pPr>
              <w:keepNext/>
              <w:keepLines/>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r w:rsidRPr="00A34388">
              <w:rPr>
                <w:rFonts w:cs="Arial"/>
                <w:color w:val="000000"/>
                <w:sz w:val="16"/>
                <w:szCs w:val="16"/>
                <w:lang w:val="es-ES_tradnl"/>
              </w:rPr>
              <w:t xml:space="preserve"> </w:t>
            </w:r>
          </w:p>
        </w:tc>
        <w:tc>
          <w:tcPr>
            <w:tcW w:w="1468" w:type="dxa"/>
            <w:tcBorders>
              <w:bottom w:val="single" w:sz="4" w:space="0" w:color="000000"/>
            </w:tcBorders>
          </w:tcPr>
          <w:p w:rsidR="00C10073" w:rsidRPr="00A34388" w:rsidRDefault="00C10073" w:rsidP="009760E1">
            <w:pPr>
              <w:keepNext/>
              <w:keepLines/>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Todos los países de América Latina</w:t>
            </w:r>
          </w:p>
        </w:tc>
        <w:tc>
          <w:tcPr>
            <w:tcW w:w="4394" w:type="dxa"/>
            <w:tcBorders>
              <w:bottom w:val="single" w:sz="4" w:space="0" w:color="000000"/>
            </w:tcBorders>
          </w:tcPr>
          <w:p w:rsidR="00C10073" w:rsidRPr="00A34388" w:rsidRDefault="00C10073" w:rsidP="009760E1">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Fomentar el uso de la P.I. como importante herramienta para los negocios </w:t>
            </w:r>
          </w:p>
        </w:tc>
      </w:tr>
      <w:tr w:rsidR="00C10073" w:rsidRPr="00A9508D" w:rsidTr="009760E1">
        <w:trPr>
          <w:trHeight w:val="520"/>
        </w:trPr>
        <w:tc>
          <w:tcPr>
            <w:tcW w:w="9406" w:type="dxa"/>
            <w:gridSpan w:val="6"/>
            <w:tcBorders>
              <w:top w:val="single" w:sz="4" w:space="0" w:color="000000"/>
              <w:bottom w:val="single" w:sz="4" w:space="0" w:color="000000"/>
            </w:tcBorders>
            <w:shd w:val="clear" w:color="auto" w:fill="CCFFFF"/>
          </w:tcPr>
          <w:p w:rsidR="00C10073" w:rsidRPr="00332758" w:rsidRDefault="00C10073" w:rsidP="009760E1">
            <w:pPr>
              <w:keepNext/>
              <w:keepLines/>
              <w:tabs>
                <w:tab w:val="left" w:pos="1740"/>
              </w:tabs>
              <w:spacing w:before="120" w:after="120"/>
              <w:ind w:left="1740" w:hanging="1740"/>
              <w:rPr>
                <w:rFonts w:cs="Arial"/>
                <w:sz w:val="16"/>
                <w:szCs w:val="16"/>
                <w:lang w:val="es-ES_tradnl"/>
              </w:rPr>
            </w:pPr>
            <w:r w:rsidRPr="00332758">
              <w:rPr>
                <w:rFonts w:cs="Arial"/>
                <w:b/>
                <w:sz w:val="16"/>
                <w:szCs w:val="16"/>
                <w:lang w:val="es-ES_tradnl"/>
              </w:rPr>
              <w:t>RESULTADO:</w:t>
            </w:r>
            <w:r w:rsidRPr="00332758">
              <w:rPr>
                <w:rFonts w:cs="Arial"/>
                <w:b/>
                <w:sz w:val="16"/>
                <w:szCs w:val="16"/>
                <w:lang w:val="es-ES_tradnl"/>
              </w:rPr>
              <w:tab/>
            </w:r>
            <w:r w:rsidRPr="00332758">
              <w:rPr>
                <w:rFonts w:cs="Arial"/>
                <w:sz w:val="16"/>
                <w:szCs w:val="16"/>
                <w:lang w:val="es-ES_tradnl"/>
              </w:rPr>
              <w:t>Mejora en la infraestructura técnica y de conocimientos de las oficinas y demás instituciones de P.I. que les permite prestar mejores servicios (más económicos, más rápidos y de mejor calidad) a sus usuarios</w:t>
            </w:r>
          </w:p>
        </w:tc>
      </w:tr>
      <w:tr w:rsidR="00C10073" w:rsidRPr="00A34388" w:rsidTr="009760E1">
        <w:trPr>
          <w:trHeight w:val="283"/>
        </w:trPr>
        <w:tc>
          <w:tcPr>
            <w:tcW w:w="1843" w:type="dxa"/>
            <w:tcBorders>
              <w:top w:val="single" w:sz="4" w:space="0" w:color="000000"/>
            </w:tcBorders>
            <w:vAlign w:val="center"/>
          </w:tcPr>
          <w:p w:rsidR="00C10073" w:rsidRPr="00A34388" w:rsidRDefault="00C10073" w:rsidP="009760E1">
            <w:pPr>
              <w:keepNext/>
              <w:keepLines/>
              <w:autoSpaceDE w:val="0"/>
              <w:autoSpaceDN w:val="0"/>
              <w:adjustRightInd w:val="0"/>
              <w:spacing w:before="120" w:after="120"/>
              <w:rPr>
                <w:rFonts w:cs="Arial"/>
                <w:color w:val="808080"/>
                <w:sz w:val="16"/>
                <w:szCs w:val="16"/>
                <w:lang w:val="es-ES_tradnl"/>
              </w:rPr>
            </w:pPr>
            <w:r w:rsidRPr="00332758">
              <w:rPr>
                <w:rFonts w:cs="Arial"/>
                <w:b/>
                <w:sz w:val="16"/>
                <w:szCs w:val="16"/>
                <w:lang w:val="es-ES_tradnl"/>
              </w:rPr>
              <w:t>Actividad</w:t>
            </w:r>
          </w:p>
        </w:tc>
        <w:tc>
          <w:tcPr>
            <w:tcW w:w="1276" w:type="dxa"/>
            <w:gridSpan w:val="2"/>
            <w:tcBorders>
              <w:top w:val="single" w:sz="4" w:space="0" w:color="000000"/>
            </w:tcBorders>
            <w:vAlign w:val="center"/>
          </w:tcPr>
          <w:p w:rsidR="00C10073" w:rsidRPr="00A34388" w:rsidRDefault="00C10073" w:rsidP="009760E1">
            <w:pPr>
              <w:keepNext/>
              <w:keepLines/>
              <w:autoSpaceDE w:val="0"/>
              <w:autoSpaceDN w:val="0"/>
              <w:adjustRightInd w:val="0"/>
              <w:spacing w:before="120" w:after="120"/>
              <w:rPr>
                <w:rFonts w:cs="Arial"/>
                <w:color w:val="808080"/>
                <w:sz w:val="16"/>
                <w:szCs w:val="16"/>
                <w:lang w:val="es-ES_tradnl"/>
              </w:rPr>
            </w:pPr>
            <w:r w:rsidRPr="00332758">
              <w:rPr>
                <w:rFonts w:cs="Arial"/>
                <w:b/>
                <w:sz w:val="16"/>
                <w:szCs w:val="16"/>
                <w:lang w:val="es-ES_tradnl"/>
              </w:rPr>
              <w:t>Fecha</w:t>
            </w:r>
          </w:p>
        </w:tc>
        <w:tc>
          <w:tcPr>
            <w:tcW w:w="1893" w:type="dxa"/>
            <w:gridSpan w:val="2"/>
            <w:tcBorders>
              <w:top w:val="single" w:sz="4" w:space="0" w:color="000000"/>
            </w:tcBorders>
            <w:vAlign w:val="center"/>
          </w:tcPr>
          <w:p w:rsidR="00C10073" w:rsidRPr="00A34388" w:rsidRDefault="00C10073" w:rsidP="009760E1">
            <w:pPr>
              <w:keepNext/>
              <w:keepLines/>
              <w:autoSpaceDE w:val="0"/>
              <w:autoSpaceDN w:val="0"/>
              <w:adjustRightInd w:val="0"/>
              <w:spacing w:before="120" w:after="120"/>
              <w:rPr>
                <w:rFonts w:cs="Arial"/>
                <w:color w:val="808080"/>
                <w:sz w:val="16"/>
                <w:szCs w:val="16"/>
                <w:lang w:val="es-ES_tradnl"/>
              </w:rPr>
            </w:pPr>
            <w:r w:rsidRPr="00332758">
              <w:rPr>
                <w:rFonts w:cs="Arial"/>
                <w:b/>
                <w:sz w:val="16"/>
                <w:szCs w:val="16"/>
                <w:lang w:val="es-ES_tradnl"/>
              </w:rPr>
              <w:t>País anfitrión</w:t>
            </w:r>
            <w:r w:rsidR="009760E1">
              <w:rPr>
                <w:rFonts w:cs="Arial"/>
                <w:b/>
                <w:sz w:val="16"/>
                <w:szCs w:val="16"/>
                <w:lang w:val="es-ES_tradnl"/>
              </w:rPr>
              <w:t xml:space="preserve"> </w:t>
            </w:r>
            <w:r w:rsidRPr="00332758">
              <w:rPr>
                <w:rFonts w:cs="Arial"/>
                <w:b/>
                <w:sz w:val="16"/>
                <w:szCs w:val="16"/>
                <w:lang w:val="es-ES_tradnl"/>
              </w:rPr>
              <w:t>/</w:t>
            </w:r>
            <w:r w:rsidR="009760E1">
              <w:rPr>
                <w:rFonts w:cs="Arial"/>
                <w:b/>
                <w:sz w:val="16"/>
                <w:szCs w:val="16"/>
                <w:lang w:val="es-ES_tradnl"/>
              </w:rPr>
              <w:t xml:space="preserve"> </w:t>
            </w:r>
            <w:r w:rsidRPr="00332758">
              <w:rPr>
                <w:rFonts w:cs="Arial"/>
                <w:b/>
                <w:sz w:val="16"/>
                <w:szCs w:val="16"/>
                <w:lang w:val="es-ES_tradnl"/>
              </w:rPr>
              <w:t>Beneficiario</w:t>
            </w:r>
          </w:p>
        </w:tc>
        <w:tc>
          <w:tcPr>
            <w:tcW w:w="4394" w:type="dxa"/>
            <w:tcBorders>
              <w:top w:val="single" w:sz="4" w:space="0" w:color="000000"/>
            </w:tcBorders>
            <w:vAlign w:val="center"/>
          </w:tcPr>
          <w:p w:rsidR="00C10073" w:rsidRPr="00332758" w:rsidRDefault="00C10073" w:rsidP="009760E1">
            <w:pPr>
              <w:keepNext/>
              <w:keepLines/>
              <w:autoSpaceDE w:val="0"/>
              <w:autoSpaceDN w:val="0"/>
              <w:adjustRightInd w:val="0"/>
              <w:spacing w:before="120" w:after="120"/>
              <w:rPr>
                <w:rFonts w:cs="Arial"/>
                <w:sz w:val="16"/>
                <w:szCs w:val="16"/>
                <w:lang w:val="es-ES_tradnl"/>
              </w:rPr>
            </w:pPr>
            <w:r w:rsidRPr="00332758">
              <w:rPr>
                <w:rFonts w:cs="Arial"/>
                <w:b/>
                <w:sz w:val="16"/>
                <w:szCs w:val="16"/>
                <w:lang w:val="es-ES_tradnl"/>
              </w:rPr>
              <w:t>Propósito(s)/Descripción</w:t>
            </w:r>
          </w:p>
        </w:tc>
      </w:tr>
      <w:tr w:rsidR="00C10073" w:rsidRPr="00A9508D" w:rsidTr="009760E1">
        <w:trPr>
          <w:trHeight w:val="315"/>
        </w:trPr>
        <w:tc>
          <w:tcPr>
            <w:tcW w:w="1843" w:type="dxa"/>
          </w:tcPr>
          <w:p w:rsidR="00C10073" w:rsidRPr="00A34388" w:rsidRDefault="00C10073" w:rsidP="009760E1">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Elaboración de un análisis de situación y de una propuesta de plan de acción por un asesor experto externo</w:t>
            </w:r>
          </w:p>
        </w:tc>
        <w:tc>
          <w:tcPr>
            <w:tcW w:w="1276" w:type="dxa"/>
            <w:gridSpan w:val="2"/>
          </w:tcPr>
          <w:p w:rsidR="00C10073" w:rsidRPr="00A34388" w:rsidRDefault="00C10073" w:rsidP="009760E1">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Noviembre y diciembre de 2013</w:t>
            </w:r>
            <w:r w:rsidRPr="00A34388">
              <w:rPr>
                <w:rStyle w:val="FootnoteReference"/>
                <w:rFonts w:cs="Arial"/>
                <w:color w:val="000000"/>
                <w:sz w:val="16"/>
                <w:szCs w:val="16"/>
                <w:lang w:val="es-ES_tradnl"/>
              </w:rPr>
              <w:footnoteReference w:id="50"/>
            </w:r>
            <w:r w:rsidRPr="00A34388">
              <w:rPr>
                <w:rFonts w:cs="Arial"/>
                <w:color w:val="000000"/>
                <w:sz w:val="16"/>
                <w:szCs w:val="16"/>
                <w:lang w:val="es-ES_tradnl"/>
              </w:rPr>
              <w:t xml:space="preserve"> </w:t>
            </w:r>
          </w:p>
        </w:tc>
        <w:tc>
          <w:tcPr>
            <w:tcW w:w="1893" w:type="dxa"/>
            <w:gridSpan w:val="2"/>
          </w:tcPr>
          <w:p w:rsidR="00C10073" w:rsidRPr="00A34388" w:rsidRDefault="00C10073" w:rsidP="009760E1">
            <w:pPr>
              <w:keepNext/>
              <w:keepLines/>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Todos los países de América Latina</w:t>
            </w:r>
          </w:p>
        </w:tc>
        <w:tc>
          <w:tcPr>
            <w:tcW w:w="4394" w:type="dxa"/>
          </w:tcPr>
          <w:p w:rsidR="00C10073" w:rsidRPr="00A34388" w:rsidRDefault="00C10073" w:rsidP="009760E1">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Cooperación horizontal entre oficinas de P.I. para reducir asimetrías en la gestión de la calidad en las tecnologías de la información.  Las funciones del asesor son:  i) detectar asimetrías entre las oficinas de P.I. en lo que atañe a la gestión de la calidad y a las tecnologías de la información;  ii) concebir un programa de acción destinado a eliminarlas mediante cursos de formación;   y iii) coordinar la ejecución de este proyecto</w:t>
            </w:r>
          </w:p>
        </w:tc>
      </w:tr>
    </w:tbl>
    <w:p w:rsidR="00C10073" w:rsidRDefault="00C10073" w:rsidP="00C10073">
      <w:pPr>
        <w:rPr>
          <w:rFonts w:cs="Arial"/>
          <w:b/>
          <w:sz w:val="18"/>
          <w:szCs w:val="18"/>
          <w:lang w:val="es-ES_tradnl"/>
        </w:rPr>
      </w:pPr>
    </w:p>
    <w:p w:rsidR="009608F6" w:rsidRPr="00A34388" w:rsidRDefault="009608F6" w:rsidP="00C10073">
      <w:pPr>
        <w:rPr>
          <w:rFonts w:cs="Arial"/>
          <w:b/>
          <w:sz w:val="18"/>
          <w:szCs w:val="18"/>
          <w:lang w:val="es-ES_tradnl"/>
        </w:rPr>
      </w:pPr>
    </w:p>
    <w:p w:rsidR="00C10073" w:rsidRPr="00332758" w:rsidRDefault="00C10073" w:rsidP="00C10073">
      <w:pPr>
        <w:rPr>
          <w:rFonts w:cs="Arial"/>
          <w:b/>
          <w:sz w:val="18"/>
          <w:szCs w:val="18"/>
          <w:lang w:val="es-ES_tradnl"/>
        </w:rPr>
      </w:pPr>
      <w:r w:rsidRPr="00332758">
        <w:rPr>
          <w:rFonts w:cs="Arial"/>
          <w:b/>
          <w:sz w:val="18"/>
          <w:szCs w:val="18"/>
          <w:lang w:val="es-ES_tradnl"/>
        </w:rPr>
        <w:t>PROGRAMA IBEROAMERICANO DE PROPIEDAD INDUSTRIAL – Contrib</w:t>
      </w:r>
      <w:r w:rsidR="002770F6">
        <w:rPr>
          <w:rFonts w:cs="Arial"/>
          <w:b/>
          <w:sz w:val="18"/>
          <w:szCs w:val="18"/>
          <w:lang w:val="es-ES_tradnl"/>
        </w:rPr>
        <w:t>uciones de donantes y gastos en </w:t>
      </w:r>
      <w:r w:rsidRPr="00332758">
        <w:rPr>
          <w:rFonts w:cs="Arial"/>
          <w:b/>
          <w:sz w:val="18"/>
          <w:szCs w:val="18"/>
          <w:lang w:val="es-ES_tradnl"/>
        </w:rPr>
        <w:t>2013</w:t>
      </w:r>
      <w:r w:rsidRPr="00332758">
        <w:rPr>
          <w:rFonts w:cs="Arial"/>
          <w:b/>
          <w:sz w:val="18"/>
          <w:szCs w:val="18"/>
          <w:vertAlign w:val="superscript"/>
          <w:lang w:val="es-ES_tradnl"/>
        </w:rPr>
        <w:t>1</w:t>
      </w:r>
    </w:p>
    <w:p w:rsidR="00C10073" w:rsidRPr="00A34388" w:rsidRDefault="00C10073" w:rsidP="00C10073">
      <w:pPr>
        <w:rPr>
          <w:rFonts w:cs="Arial"/>
          <w:b/>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AA6702">
        <w:trPr>
          <w:trHeight w:val="567"/>
        </w:trPr>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AA6702">
        <w:trPr>
          <w:trHeight w:val="567"/>
        </w:trPr>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44.600</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64.314</w:t>
            </w:r>
          </w:p>
        </w:tc>
        <w:tc>
          <w:tcPr>
            <w:tcW w:w="1843"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86</w:t>
            </w:r>
          </w:p>
        </w:tc>
        <w:tc>
          <w:tcPr>
            <w:tcW w:w="1701" w:type="dxa"/>
            <w:shd w:val="clear" w:color="auto" w:fill="auto"/>
            <w:vAlign w:val="center"/>
          </w:tcPr>
          <w:p w:rsidR="00C10073" w:rsidRPr="00A34388" w:rsidRDefault="00C10073"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108.828</w:t>
            </w:r>
          </w:p>
        </w:tc>
      </w:tr>
    </w:tbl>
    <w:p w:rsidR="00C10073" w:rsidRPr="00FF0BCA" w:rsidRDefault="00C10073" w:rsidP="00C10073">
      <w:pPr>
        <w:spacing w:before="120"/>
        <w:rPr>
          <w:sz w:val="18"/>
          <w:szCs w:val="18"/>
          <w:lang w:val="es-ES_tradnl"/>
        </w:rPr>
      </w:pPr>
      <w:r w:rsidRPr="00332758">
        <w:rPr>
          <w:i/>
          <w:sz w:val="16"/>
          <w:szCs w:val="16"/>
          <w:vertAlign w:val="superscript"/>
          <w:lang w:val="es-ES_tradnl"/>
        </w:rPr>
        <w:t xml:space="preserve">1 </w:t>
      </w:r>
      <w:r w:rsidRPr="00FF0BCA">
        <w:rPr>
          <w:i/>
          <w:sz w:val="18"/>
          <w:szCs w:val="18"/>
          <w:lang w:val="es-ES_tradnl"/>
        </w:rPr>
        <w:t>Estados financieros de la OMPI de 2013 (Anexo III)</w:t>
      </w:r>
    </w:p>
    <w:p w:rsidR="00C10073" w:rsidRPr="00332758" w:rsidRDefault="00C10073" w:rsidP="00C10073">
      <w:pPr>
        <w:rPr>
          <w:rFonts w:cs="Arial"/>
          <w:b/>
          <w:sz w:val="18"/>
          <w:szCs w:val="18"/>
          <w:lang w:val="es-ES_tradnl"/>
        </w:rPr>
      </w:pPr>
    </w:p>
    <w:p w:rsidR="00C10073" w:rsidRPr="00A34388" w:rsidRDefault="00C10073" w:rsidP="00C10073">
      <w:pPr>
        <w:rPr>
          <w:rFonts w:cs="Arial"/>
          <w:b/>
          <w:sz w:val="18"/>
          <w:szCs w:val="18"/>
          <w:lang w:val="es-ES_tradnl"/>
        </w:rPr>
      </w:pPr>
    </w:p>
    <w:p w:rsidR="00C10073" w:rsidRPr="00332758" w:rsidRDefault="00C10073" w:rsidP="00C10073">
      <w:pPr>
        <w:keepNext/>
        <w:keepLines/>
        <w:rPr>
          <w:rFonts w:cs="Arial"/>
          <w:b/>
          <w:szCs w:val="20"/>
          <w:lang w:val="es-ES_tradnl"/>
        </w:rPr>
      </w:pPr>
      <w:r w:rsidRPr="00332758">
        <w:rPr>
          <w:rFonts w:cs="Arial"/>
          <w:b/>
          <w:szCs w:val="20"/>
          <w:lang w:val="es-ES_tradnl"/>
        </w:rPr>
        <w:lastRenderedPageBreak/>
        <w:t>ITALIA</w:t>
      </w:r>
    </w:p>
    <w:p w:rsidR="00C10073" w:rsidRPr="00A34388" w:rsidRDefault="00C10073" w:rsidP="00C10073">
      <w:pPr>
        <w:keepNext/>
        <w:keepLines/>
        <w:rPr>
          <w:rFonts w:cs="Arial"/>
          <w:b/>
          <w:szCs w:val="20"/>
          <w:lang w:val="es-ES_tradnl"/>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15"/>
        <w:gridCol w:w="1276"/>
        <w:gridCol w:w="1417"/>
        <w:gridCol w:w="4678"/>
      </w:tblGrid>
      <w:tr w:rsidR="00C10073" w:rsidRPr="00A9508D" w:rsidTr="009760E1">
        <w:trPr>
          <w:cantSplit/>
        </w:trPr>
        <w:tc>
          <w:tcPr>
            <w:tcW w:w="9386" w:type="dxa"/>
            <w:gridSpan w:val="4"/>
            <w:tcBorders>
              <w:top w:val="single" w:sz="4" w:space="0" w:color="000000"/>
              <w:bottom w:val="single" w:sz="4" w:space="0" w:color="000000"/>
            </w:tcBorders>
            <w:shd w:val="clear" w:color="auto" w:fill="CCFFFF"/>
            <w:vAlign w:val="center"/>
          </w:tcPr>
          <w:p w:rsidR="00C10073" w:rsidRPr="00332758" w:rsidRDefault="00C10073"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 previsto:</w:t>
            </w:r>
            <w:r w:rsidRPr="00332758">
              <w:rPr>
                <w:rFonts w:cs="Arial"/>
                <w:bCs/>
                <w:sz w:val="16"/>
                <w:szCs w:val="16"/>
                <w:lang w:val="es-ES_tradnl"/>
              </w:rPr>
              <w:tab/>
              <w:t>Mayor sensibilización acerca del Sistema de La Haya.</w:t>
            </w:r>
          </w:p>
        </w:tc>
      </w:tr>
      <w:tr w:rsidR="00C10073" w:rsidRPr="00A34388" w:rsidTr="009760E1">
        <w:trPr>
          <w:cantSplit/>
        </w:trPr>
        <w:tc>
          <w:tcPr>
            <w:tcW w:w="2015" w:type="dxa"/>
            <w:tcBorders>
              <w:top w:val="single" w:sz="4" w:space="0" w:color="000000"/>
            </w:tcBorders>
            <w:vAlign w:val="center"/>
          </w:tcPr>
          <w:p w:rsidR="00C10073" w:rsidRPr="00A34388" w:rsidRDefault="00C10073"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76" w:type="dxa"/>
            <w:tcBorders>
              <w:top w:val="single" w:sz="4" w:space="0" w:color="000000"/>
            </w:tcBorders>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Fecha</w:t>
            </w:r>
          </w:p>
        </w:tc>
        <w:tc>
          <w:tcPr>
            <w:tcW w:w="1417" w:type="dxa"/>
            <w:tcBorders>
              <w:top w:val="single" w:sz="4" w:space="0" w:color="000000"/>
            </w:tcBorders>
            <w:tcMar>
              <w:top w:w="110" w:type="dxa"/>
            </w:tcMar>
            <w:vAlign w:val="center"/>
          </w:tcPr>
          <w:p w:rsidR="00C10073" w:rsidRPr="00A34388" w:rsidRDefault="00C10073" w:rsidP="00AA6702">
            <w:pPr>
              <w:keepNext/>
              <w:keepLines/>
              <w:rPr>
                <w:rFonts w:cs="Arial"/>
                <w:color w:val="808080"/>
                <w:sz w:val="16"/>
                <w:szCs w:val="16"/>
                <w:lang w:val="es-ES_tradnl"/>
              </w:rPr>
            </w:pPr>
            <w:r w:rsidRPr="00332758">
              <w:rPr>
                <w:rFonts w:cs="Arial"/>
                <w:b/>
                <w:sz w:val="16"/>
                <w:szCs w:val="16"/>
                <w:lang w:val="es-ES_tradnl"/>
              </w:rPr>
              <w:t>País anfitrión</w:t>
            </w:r>
            <w:r w:rsidR="009760E1">
              <w:rPr>
                <w:rFonts w:cs="Arial"/>
                <w:b/>
                <w:sz w:val="16"/>
                <w:szCs w:val="16"/>
                <w:lang w:val="es-ES_tradnl"/>
              </w:rPr>
              <w:t xml:space="preserve"> </w:t>
            </w:r>
            <w:r w:rsidRPr="00332758">
              <w:rPr>
                <w:rFonts w:cs="Arial"/>
                <w:b/>
                <w:sz w:val="16"/>
                <w:szCs w:val="16"/>
                <w:lang w:val="es-ES_tradnl"/>
              </w:rPr>
              <w:t>/</w:t>
            </w:r>
            <w:r w:rsidR="009760E1">
              <w:rPr>
                <w:rFonts w:cs="Arial"/>
                <w:b/>
                <w:sz w:val="16"/>
                <w:szCs w:val="16"/>
                <w:lang w:val="es-ES_tradnl"/>
              </w:rPr>
              <w:t xml:space="preserve"> </w:t>
            </w:r>
            <w:r w:rsidRPr="00332758">
              <w:rPr>
                <w:rFonts w:cs="Arial"/>
                <w:b/>
                <w:sz w:val="16"/>
                <w:szCs w:val="16"/>
                <w:lang w:val="es-ES_tradnl"/>
              </w:rPr>
              <w:t>Beneficiarios</w:t>
            </w:r>
          </w:p>
        </w:tc>
        <w:tc>
          <w:tcPr>
            <w:tcW w:w="4678" w:type="dxa"/>
            <w:tcBorders>
              <w:top w:val="single" w:sz="4" w:space="0" w:color="000000"/>
            </w:tcBorders>
            <w:shd w:val="clear" w:color="auto" w:fill="FFFFFF"/>
            <w:tcMar>
              <w:top w:w="110" w:type="dxa"/>
            </w:tcMar>
            <w:vAlign w:val="center"/>
          </w:tcPr>
          <w:p w:rsidR="00C10073" w:rsidRPr="00332758" w:rsidRDefault="00C10073" w:rsidP="00AA6702">
            <w:pPr>
              <w:keepNext/>
              <w:keepLines/>
              <w:rPr>
                <w:rFonts w:cs="Arial"/>
                <w:sz w:val="16"/>
                <w:szCs w:val="16"/>
                <w:lang w:val="es-ES_tradnl"/>
              </w:rPr>
            </w:pPr>
            <w:r w:rsidRPr="00332758">
              <w:rPr>
                <w:rFonts w:cs="Arial"/>
                <w:b/>
                <w:sz w:val="16"/>
                <w:szCs w:val="16"/>
                <w:lang w:val="es-ES_tradnl"/>
              </w:rPr>
              <w:t>Propósito(s)/Descripción</w:t>
            </w:r>
          </w:p>
        </w:tc>
      </w:tr>
      <w:tr w:rsidR="00C10073" w:rsidRPr="00A9508D" w:rsidTr="009760E1">
        <w:trPr>
          <w:cantSplit/>
        </w:trPr>
        <w:tc>
          <w:tcPr>
            <w:tcW w:w="2015" w:type="dxa"/>
            <w:tcBorders>
              <w:bottom w:val="single" w:sz="4" w:space="0" w:color="000000"/>
            </w:tcBorders>
          </w:tcPr>
          <w:p w:rsidR="00C10073" w:rsidRPr="00A34388" w:rsidRDefault="00C10073"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Mesa redonda y exposición sobre diseño italiano en la sede de la OMPI, Ginebra</w:t>
            </w:r>
          </w:p>
        </w:tc>
        <w:tc>
          <w:tcPr>
            <w:tcW w:w="1276" w:type="dxa"/>
            <w:tcBorders>
              <w:bottom w:val="single" w:sz="4" w:space="0" w:color="000000"/>
            </w:tcBorders>
          </w:tcPr>
          <w:p w:rsidR="00C10073" w:rsidRPr="00A34388" w:rsidRDefault="00C10073"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De septiembre noviembre de 2013</w:t>
            </w:r>
          </w:p>
        </w:tc>
        <w:tc>
          <w:tcPr>
            <w:tcW w:w="1417" w:type="dxa"/>
            <w:tcBorders>
              <w:bottom w:val="single" w:sz="4" w:space="0" w:color="000000"/>
            </w:tcBorders>
          </w:tcPr>
          <w:p w:rsidR="00C10073" w:rsidRPr="00A34388" w:rsidRDefault="00C10073"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Suiza/todos</w:t>
            </w:r>
          </w:p>
        </w:tc>
        <w:tc>
          <w:tcPr>
            <w:tcW w:w="4678" w:type="dxa"/>
            <w:tcBorders>
              <w:bottom w:val="single" w:sz="4" w:space="0" w:color="000000"/>
            </w:tcBorders>
          </w:tcPr>
          <w:p w:rsidR="00C10073" w:rsidRPr="00A34388" w:rsidRDefault="00C10073"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Promover la importancia del diseño industrial y recabar apoyo de los Estados miembros para acordar un nuevo Tratado sobre el Derecho de los Diseños Industriales.  La exposición mostró algunos de los objetos más representativos de las colecciones más recientes de diseño italiano. </w:t>
            </w:r>
          </w:p>
        </w:tc>
      </w:tr>
    </w:tbl>
    <w:p w:rsidR="00C10073" w:rsidRPr="00A34388" w:rsidRDefault="00C10073" w:rsidP="00C10073">
      <w:pPr>
        <w:rPr>
          <w:rFonts w:cs="Arial"/>
          <w:b/>
          <w:sz w:val="16"/>
          <w:szCs w:val="16"/>
          <w:lang w:val="es-ES_tradnl"/>
        </w:rPr>
      </w:pPr>
    </w:p>
    <w:p w:rsidR="00C10073" w:rsidRPr="00332758" w:rsidRDefault="00C10073" w:rsidP="00C10073">
      <w:pPr>
        <w:rPr>
          <w:rFonts w:cs="Arial"/>
          <w:b/>
          <w:szCs w:val="20"/>
          <w:lang w:val="es-ES_tradnl"/>
        </w:rPr>
      </w:pPr>
      <w:r w:rsidRPr="00332758">
        <w:rPr>
          <w:rFonts w:cs="Arial"/>
          <w:b/>
          <w:szCs w:val="20"/>
          <w:lang w:val="es-ES_tradnl"/>
        </w:rPr>
        <w:t>ITALIA Contribuciones de donantes y gastos en 2013</w:t>
      </w:r>
      <w:r w:rsidRPr="00332758">
        <w:rPr>
          <w:rFonts w:cs="Arial"/>
          <w:b/>
          <w:szCs w:val="20"/>
          <w:vertAlign w:val="superscript"/>
          <w:lang w:val="es-ES_tradnl"/>
        </w:rPr>
        <w:t>1</w:t>
      </w:r>
    </w:p>
    <w:p w:rsidR="00C10073" w:rsidRPr="00A34388" w:rsidRDefault="00C10073" w:rsidP="00C10073">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C10073" w:rsidRPr="00A34388" w:rsidTr="009760E1">
        <w:trPr>
          <w:trHeight w:val="372"/>
        </w:trPr>
        <w:tc>
          <w:tcPr>
            <w:tcW w:w="1843" w:type="dxa"/>
            <w:shd w:val="clear" w:color="auto" w:fill="CCFFFF"/>
            <w:vAlign w:val="center"/>
          </w:tcPr>
          <w:p w:rsidR="00C10073" w:rsidRPr="00A34388" w:rsidRDefault="00C10073" w:rsidP="00AA6702">
            <w:pPr>
              <w:spacing w:after="2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C10073" w:rsidRPr="00A34388" w:rsidRDefault="00C10073" w:rsidP="00AA6702">
            <w:pPr>
              <w:spacing w:after="2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C10073" w:rsidRPr="00A34388" w:rsidRDefault="00C10073" w:rsidP="00AA6702">
            <w:pPr>
              <w:spacing w:after="2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C10073" w:rsidRPr="00A34388" w:rsidRDefault="00C10073" w:rsidP="00AA6702">
            <w:pPr>
              <w:spacing w:after="2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C10073" w:rsidRPr="00332758" w:rsidRDefault="00C10073" w:rsidP="00AA6702">
            <w:pPr>
              <w:spacing w:after="220"/>
              <w:jc w:val="center"/>
              <w:rPr>
                <w:rFonts w:cs="Arial"/>
                <w:b/>
                <w:sz w:val="16"/>
                <w:szCs w:val="16"/>
                <w:lang w:val="es-ES_tradnl"/>
              </w:rPr>
            </w:pPr>
            <w:r w:rsidRPr="00332758">
              <w:rPr>
                <w:rFonts w:cs="Arial"/>
                <w:b/>
                <w:sz w:val="16"/>
                <w:szCs w:val="16"/>
                <w:lang w:val="es-ES_tradnl"/>
              </w:rPr>
              <w:t>Balance a 31 de diciembre de 2013</w:t>
            </w:r>
          </w:p>
        </w:tc>
      </w:tr>
      <w:tr w:rsidR="00C10073" w:rsidRPr="00A34388" w:rsidTr="009760E1">
        <w:trPr>
          <w:trHeight w:val="283"/>
        </w:trPr>
        <w:tc>
          <w:tcPr>
            <w:tcW w:w="1843" w:type="dxa"/>
            <w:shd w:val="clear" w:color="auto" w:fill="auto"/>
            <w:vAlign w:val="center"/>
          </w:tcPr>
          <w:p w:rsidR="00C10073" w:rsidRPr="00A34388" w:rsidRDefault="00C10073"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737.040</w:t>
            </w:r>
          </w:p>
        </w:tc>
        <w:tc>
          <w:tcPr>
            <w:tcW w:w="1701" w:type="dxa"/>
            <w:shd w:val="clear" w:color="auto" w:fill="auto"/>
            <w:vAlign w:val="center"/>
          </w:tcPr>
          <w:p w:rsidR="00C10073" w:rsidRPr="00A34388" w:rsidRDefault="00C10073"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230</w:t>
            </w:r>
          </w:p>
        </w:tc>
        <w:tc>
          <w:tcPr>
            <w:tcW w:w="1843" w:type="dxa"/>
            <w:shd w:val="clear" w:color="auto" w:fill="auto"/>
            <w:vAlign w:val="center"/>
          </w:tcPr>
          <w:p w:rsidR="00C10073" w:rsidRPr="00A34388" w:rsidRDefault="00C10073"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112.590</w:t>
            </w:r>
          </w:p>
        </w:tc>
        <w:tc>
          <w:tcPr>
            <w:tcW w:w="1701" w:type="dxa"/>
            <w:shd w:val="clear" w:color="auto" w:fill="auto"/>
            <w:vAlign w:val="center"/>
          </w:tcPr>
          <w:p w:rsidR="00C10073" w:rsidRPr="00A34388" w:rsidRDefault="00C10073"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C10073" w:rsidRPr="00332758" w:rsidRDefault="00C10073" w:rsidP="00AA6702">
            <w:pPr>
              <w:autoSpaceDE w:val="0"/>
              <w:autoSpaceDN w:val="0"/>
              <w:adjustRightInd w:val="0"/>
              <w:spacing w:after="220"/>
              <w:jc w:val="center"/>
              <w:rPr>
                <w:rFonts w:eastAsia="MS Mincho" w:cs="Arial"/>
                <w:sz w:val="16"/>
                <w:szCs w:val="16"/>
                <w:lang w:val="es-ES_tradnl" w:eastAsia="ja-JP" w:bidi="th-TH"/>
              </w:rPr>
            </w:pPr>
            <w:r w:rsidRPr="00332758">
              <w:rPr>
                <w:rFonts w:cs="Arial"/>
                <w:sz w:val="16"/>
                <w:szCs w:val="16"/>
                <w:lang w:val="es-ES_tradnl"/>
              </w:rPr>
              <w:t>624.680</w:t>
            </w:r>
          </w:p>
        </w:tc>
      </w:tr>
    </w:tbl>
    <w:p w:rsidR="00C10073" w:rsidRPr="00332758" w:rsidRDefault="00C10073" w:rsidP="00C10073">
      <w:pPr>
        <w:spacing w:before="120"/>
        <w:rPr>
          <w:sz w:val="18"/>
          <w:szCs w:val="18"/>
          <w:lang w:val="es-ES_tradnl"/>
        </w:rPr>
      </w:pPr>
      <w:r w:rsidRPr="00332758">
        <w:rPr>
          <w:i/>
          <w:sz w:val="16"/>
          <w:szCs w:val="16"/>
          <w:vertAlign w:val="superscript"/>
          <w:lang w:val="es-ES_tradnl"/>
        </w:rPr>
        <w:t xml:space="preserve">1 </w:t>
      </w:r>
      <w:r w:rsidRPr="00FF0BCA">
        <w:rPr>
          <w:i/>
          <w:sz w:val="18"/>
          <w:szCs w:val="18"/>
          <w:lang w:val="es-ES_tradnl"/>
        </w:rPr>
        <w:t>Estados financieros de la OMPI de 2013 (Anexo III)</w:t>
      </w:r>
    </w:p>
    <w:p w:rsidR="00A33040" w:rsidRPr="00332758" w:rsidRDefault="00A33040" w:rsidP="00197073">
      <w:pPr>
        <w:rPr>
          <w:rFonts w:cs="Arial"/>
          <w:b/>
          <w:szCs w:val="20"/>
          <w:lang w:val="es-ES_tradnl"/>
        </w:rPr>
      </w:pPr>
    </w:p>
    <w:p w:rsidR="00A33040" w:rsidRPr="00332758" w:rsidRDefault="00A33040" w:rsidP="00A33040">
      <w:pPr>
        <w:rPr>
          <w:rFonts w:cs="Arial"/>
          <w:b/>
          <w:szCs w:val="20"/>
          <w:lang w:val="es-ES_tradnl"/>
        </w:rPr>
      </w:pPr>
      <w:r w:rsidRPr="00332758">
        <w:rPr>
          <w:rFonts w:cs="Arial"/>
          <w:b/>
          <w:szCs w:val="20"/>
          <w:lang w:val="es-ES_tradnl"/>
        </w:rPr>
        <w:t>JAPÓN – DERECHO DE AUTOR</w:t>
      </w:r>
    </w:p>
    <w:p w:rsidR="00A33040" w:rsidRPr="00A34388" w:rsidRDefault="00A33040" w:rsidP="00A33040">
      <w:pPr>
        <w:rPr>
          <w:rFonts w:cs="Arial"/>
          <w:b/>
          <w:szCs w:val="20"/>
          <w:lang w:val="es-ES_tradnl"/>
        </w:rPr>
      </w:pP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1"/>
        <w:gridCol w:w="1137"/>
        <w:gridCol w:w="1984"/>
        <w:gridCol w:w="4110"/>
      </w:tblGrid>
      <w:tr w:rsidR="00A33040" w:rsidRPr="00A9508D" w:rsidTr="009608F6">
        <w:trPr>
          <w:trHeight w:val="599"/>
        </w:trPr>
        <w:tc>
          <w:tcPr>
            <w:tcW w:w="9072" w:type="dxa"/>
            <w:gridSpan w:val="4"/>
            <w:tcBorders>
              <w:top w:val="single" w:sz="4" w:space="0" w:color="000000"/>
              <w:bottom w:val="single" w:sz="4" w:space="0" w:color="000000"/>
            </w:tcBorders>
            <w:shd w:val="clear" w:color="auto" w:fill="CCFFFF"/>
            <w:vAlign w:val="center"/>
          </w:tcPr>
          <w:p w:rsidR="00A33040" w:rsidRPr="00332758" w:rsidRDefault="00A33040" w:rsidP="009608F6">
            <w:pPr>
              <w:keepNext/>
              <w:keepLines/>
              <w:tabs>
                <w:tab w:val="left" w:pos="1740"/>
              </w:tabs>
              <w:spacing w:before="120"/>
              <w:ind w:left="1701" w:hanging="1701"/>
              <w:rPr>
                <w:rFonts w:cs="Arial"/>
                <w:bCs/>
                <w:sz w:val="16"/>
                <w:szCs w:val="16"/>
                <w:lang w:val="es-ES_tradnl"/>
              </w:rPr>
            </w:pPr>
            <w:r w:rsidRPr="00332758">
              <w:rPr>
                <w:rFonts w:eastAsia="MS Mincho" w:cs="Arial"/>
                <w:b/>
                <w:bCs/>
                <w:sz w:val="16"/>
                <w:szCs w:val="16"/>
                <w:lang w:val="es-ES_tradnl" w:eastAsia="ja-JP" w:bidi="th-TH"/>
              </w:rPr>
              <w:t>RESULTADO:</w:t>
            </w:r>
            <w:r w:rsidRPr="00332758">
              <w:rPr>
                <w:rFonts w:eastAsia="MS Mincho" w:cs="Arial"/>
                <w:bCs/>
                <w:sz w:val="16"/>
                <w:szCs w:val="16"/>
                <w:lang w:val="es-ES_tradnl" w:eastAsia="ja-JP" w:bidi="th-TH"/>
              </w:rPr>
              <w:tab/>
              <w:t>Mayor sensibilización y capacidad de los Estados miembros en materia de derecho de autor y derechos conexos.</w:t>
            </w:r>
          </w:p>
        </w:tc>
      </w:tr>
      <w:tr w:rsidR="00A33040" w:rsidRPr="00A34388" w:rsidTr="00AA6702">
        <w:tc>
          <w:tcPr>
            <w:tcW w:w="1841"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8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FF0BCA">
              <w:rPr>
                <w:rFonts w:cs="Arial"/>
                <w:b/>
                <w:sz w:val="16"/>
                <w:szCs w:val="16"/>
                <w:lang w:val="es-ES_tradnl"/>
              </w:rPr>
              <w:t xml:space="preserve"> </w:t>
            </w:r>
            <w:r w:rsidRPr="00332758">
              <w:rPr>
                <w:rFonts w:cs="Arial"/>
                <w:b/>
                <w:sz w:val="16"/>
                <w:szCs w:val="16"/>
                <w:lang w:val="es-ES_tradnl"/>
              </w:rPr>
              <w:t>/</w:t>
            </w:r>
            <w:r w:rsidR="00FF0BCA">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Seminario nacional sobre la función de derecho de autor en el desarrollo cultural y económico</w:t>
            </w:r>
          </w:p>
        </w:tc>
        <w:tc>
          <w:tcPr>
            <w:tcW w:w="1137"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28 y 29 de mayo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Bhután/30 participantes locales</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Fomentar una mejor comprensión de la función que desempeñan el derecho de autor y derechos conexos en el desarrollo cultural y económico y promover la explotación eficiente de obras culturales mediante el derecho de autor y derechos conexos </w:t>
            </w:r>
          </w:p>
        </w:tc>
      </w:tr>
      <w:tr w:rsidR="00A33040" w:rsidRPr="00A9508D"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Taller nacional sobre fortalecimiento de capacidades</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3 de julio de 2013</w:t>
            </w:r>
          </w:p>
        </w:tc>
        <w:tc>
          <w:tcPr>
            <w:tcW w:w="1984" w:type="dxa"/>
          </w:tcPr>
          <w:p w:rsidR="00A33040" w:rsidRPr="00332758" w:rsidRDefault="00A33040" w:rsidP="00AA6702">
            <w:pPr>
              <w:spacing w:before="120" w:after="120"/>
              <w:rPr>
                <w:rFonts w:cs="Arial"/>
                <w:sz w:val="16"/>
                <w:szCs w:val="16"/>
                <w:lang w:val="es-ES_tradnl"/>
              </w:rPr>
            </w:pPr>
            <w:r w:rsidRPr="00332758">
              <w:rPr>
                <w:rFonts w:cs="Arial"/>
                <w:sz w:val="16"/>
                <w:szCs w:val="16"/>
                <w:lang w:val="es-ES_tradnl"/>
              </w:rPr>
              <w:t>Nepal:  40 participantes locales</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Fomentar una mayor sensibilización y mejorar la capacidad en el ámbito del derecho de autor y derechos conexos, así como publicar un manual sobre derecho de autor y derechos conexos en idioma nepalí, que ha sido desarrollado en el marco del plan de trabajo para el fondo fiduciario del Japón de 2012 </w:t>
            </w:r>
          </w:p>
        </w:tc>
      </w:tr>
      <w:tr w:rsidR="00A33040" w:rsidRPr="00A9508D" w:rsidTr="00AA6702">
        <w:tc>
          <w:tcPr>
            <w:tcW w:w="1841" w:type="dxa"/>
          </w:tcPr>
          <w:p w:rsidR="00A33040" w:rsidRPr="00A34388" w:rsidRDefault="00A33040" w:rsidP="009608F6">
            <w:pPr>
              <w:spacing w:before="120" w:after="120"/>
              <w:rPr>
                <w:rFonts w:cs="Arial"/>
                <w:sz w:val="16"/>
                <w:szCs w:val="16"/>
                <w:lang w:val="es-ES_tradnl"/>
              </w:rPr>
            </w:pPr>
            <w:r w:rsidRPr="00A34388">
              <w:rPr>
                <w:rFonts w:cs="Arial"/>
                <w:sz w:val="16"/>
                <w:szCs w:val="16"/>
                <w:lang w:val="es-ES_tradnl"/>
              </w:rPr>
              <w:t>Taller regional de Asia y el Pacífico sobre desarrollo y aplicación de políticas y es</w:t>
            </w:r>
            <w:r w:rsidR="009608F6">
              <w:rPr>
                <w:rFonts w:cs="Arial"/>
                <w:sz w:val="16"/>
                <w:szCs w:val="16"/>
                <w:lang w:val="es-ES_tradnl"/>
              </w:rPr>
              <w:t xml:space="preserve">trategias nacionales </w:t>
            </w:r>
            <w:r w:rsidRPr="00A34388">
              <w:rPr>
                <w:rFonts w:cs="Arial"/>
                <w:sz w:val="16"/>
                <w:szCs w:val="16"/>
                <w:lang w:val="es-ES_tradnl"/>
              </w:rPr>
              <w:t xml:space="preserve">de derecho de autor </w:t>
            </w:r>
          </w:p>
        </w:tc>
        <w:tc>
          <w:tcPr>
            <w:tcW w:w="1137" w:type="dxa"/>
          </w:tcPr>
          <w:p w:rsidR="00A33040" w:rsidRPr="00332758" w:rsidRDefault="00A33040" w:rsidP="00AA6702">
            <w:pPr>
              <w:spacing w:before="120" w:after="120"/>
              <w:rPr>
                <w:rFonts w:cs="Arial"/>
                <w:sz w:val="16"/>
                <w:szCs w:val="16"/>
                <w:lang w:val="es-ES_tradnl"/>
              </w:rPr>
            </w:pPr>
            <w:r w:rsidRPr="00332758">
              <w:rPr>
                <w:rFonts w:cs="Arial"/>
                <w:sz w:val="16"/>
                <w:szCs w:val="16"/>
                <w:lang w:val="es-ES_tradnl"/>
              </w:rPr>
              <w:t>16 a 17 de septiembre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Tailandia/20 participantes extranjeros de un total de 20 países de Asia y el Pacífico</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Poner en marcha una plataforma para el intercambio de opiniones e información entre funcionarios de oficinas de derecho de autor de países de la región acerca de la necesidad de desarrollar políticas y estrategias nacionales en materia de derecho de autor, cuestión de especial relevancia e importancia para los países en desarrollo </w:t>
            </w:r>
          </w:p>
        </w:tc>
      </w:tr>
      <w:tr w:rsidR="00A33040" w:rsidRPr="00A9508D"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Evaluación y revisión del fondo fiduciario del Japón</w:t>
            </w:r>
          </w:p>
        </w:tc>
        <w:tc>
          <w:tcPr>
            <w:tcW w:w="1137" w:type="dxa"/>
          </w:tcPr>
          <w:p w:rsidR="00A33040" w:rsidRPr="00A34388" w:rsidRDefault="00A33040" w:rsidP="009608F6">
            <w:pPr>
              <w:spacing w:before="120" w:after="120"/>
              <w:rPr>
                <w:rFonts w:cs="Arial"/>
                <w:sz w:val="16"/>
                <w:szCs w:val="16"/>
                <w:lang w:val="es-ES_tradnl"/>
              </w:rPr>
            </w:pPr>
            <w:r w:rsidRPr="00A34388">
              <w:rPr>
                <w:rFonts w:cs="Arial"/>
                <w:sz w:val="16"/>
                <w:szCs w:val="16"/>
                <w:lang w:val="es-ES_tradnl"/>
              </w:rPr>
              <w:t>4 y 5 de julio de  2013;  18 de sept</w:t>
            </w:r>
            <w:r w:rsidR="009608F6">
              <w:rPr>
                <w:rFonts w:cs="Arial"/>
                <w:sz w:val="16"/>
                <w:szCs w:val="16"/>
                <w:lang w:val="es-ES_tradnl"/>
              </w:rPr>
              <w:t>.</w:t>
            </w:r>
            <w:r w:rsidRPr="00A34388">
              <w:rPr>
                <w:rFonts w:cs="Arial"/>
                <w:sz w:val="16"/>
                <w:szCs w:val="16"/>
                <w:lang w:val="es-ES_tradnl"/>
              </w:rPr>
              <w:t xml:space="preserv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Nepal y Tailandia</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Evaluar la eficacia y las repercusiones de las actividades financiadas con el fondo fiduciario del Japón sobre fortalecimiento de capacidades y sensibilización, así como la mejora de sus sistemas de derecho de autor en los últimos años</w:t>
            </w:r>
          </w:p>
        </w:tc>
      </w:tr>
      <w:tr w:rsidR="00A33040" w:rsidRPr="00A9508D" w:rsidTr="00AA6702">
        <w:tc>
          <w:tcPr>
            <w:tcW w:w="1841"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Seminario nacional sobre sensibilización en materia de derecho de autor y derechos conexos.</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6 y 7 de noviembre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Brunei Darussalam/ 40 participantes locales</w:t>
            </w:r>
          </w:p>
        </w:tc>
        <w:tc>
          <w:tcPr>
            <w:tcW w:w="4110" w:type="dxa"/>
          </w:tcPr>
          <w:p w:rsidR="00A33040" w:rsidRPr="00A34388" w:rsidRDefault="00A33040" w:rsidP="00C6436B">
            <w:pPr>
              <w:spacing w:before="120" w:after="120"/>
              <w:rPr>
                <w:rFonts w:cs="Arial"/>
                <w:sz w:val="16"/>
                <w:szCs w:val="16"/>
                <w:lang w:val="es-ES_tradnl"/>
              </w:rPr>
            </w:pPr>
            <w:r w:rsidRPr="00A34388">
              <w:rPr>
                <w:rFonts w:cs="Arial"/>
                <w:sz w:val="16"/>
                <w:szCs w:val="16"/>
                <w:lang w:val="es-ES_tradnl"/>
              </w:rPr>
              <w:t xml:space="preserve">Mejorar la comprensión de la relevancia e importancia de un sistema de derecho de autor y debatir métodos y enfoques para promover una mayor </w:t>
            </w:r>
            <w:r w:rsidR="00C6436B" w:rsidRPr="00A34388">
              <w:rPr>
                <w:rFonts w:cs="Arial"/>
                <w:sz w:val="16"/>
                <w:szCs w:val="16"/>
                <w:lang w:val="es-ES_tradnl"/>
              </w:rPr>
              <w:t xml:space="preserve">concienciación </w:t>
            </w:r>
            <w:r w:rsidRPr="00A34388">
              <w:rPr>
                <w:rFonts w:cs="Arial"/>
                <w:sz w:val="16"/>
                <w:szCs w:val="16"/>
                <w:lang w:val="es-ES_tradnl"/>
              </w:rPr>
              <w:t xml:space="preserve">entre los funcionarios gubernamentales y las principales partes interesadas </w:t>
            </w:r>
          </w:p>
        </w:tc>
      </w:tr>
      <w:tr w:rsidR="00A33040" w:rsidRPr="00A9508D" w:rsidTr="00AA6702">
        <w:tc>
          <w:tcPr>
            <w:tcW w:w="1841" w:type="dxa"/>
          </w:tcPr>
          <w:p w:rsidR="00A33040" w:rsidRPr="00A34388" w:rsidRDefault="00A33040" w:rsidP="00AA6702">
            <w:pPr>
              <w:spacing w:before="120" w:after="120"/>
              <w:rPr>
                <w:rFonts w:cs="Arial"/>
                <w:color w:val="808080"/>
                <w:sz w:val="16"/>
                <w:szCs w:val="16"/>
                <w:lang w:val="es-ES_tradnl"/>
              </w:rPr>
            </w:pPr>
            <w:r w:rsidRPr="00332758">
              <w:rPr>
                <w:rFonts w:cs="Arial"/>
                <w:sz w:val="16"/>
                <w:szCs w:val="16"/>
                <w:lang w:val="es-ES_tradnl"/>
              </w:rPr>
              <w:t>Curso especial sobre observancia del derecho de autor y los derechos conexos.</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18 a 29 de noviembre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Japón/12 participantes de Camboya, China, República Democrática Popular Lao, Maldivas, Mongolia y Myanmar</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Compartir información y experiencias entre los funcionarios de las oficinas de derecho de autor de la región acerca de la importancia de la protección del derecho de autor y derechos conexos</w:t>
            </w:r>
          </w:p>
        </w:tc>
      </w:tr>
      <w:tr w:rsidR="00A33040" w:rsidRPr="00A9508D" w:rsidTr="00AA6702">
        <w:tc>
          <w:tcPr>
            <w:tcW w:w="1841" w:type="dxa"/>
          </w:tcPr>
          <w:p w:rsidR="00A33040" w:rsidRPr="00A34388" w:rsidRDefault="00A33040" w:rsidP="00AA6702">
            <w:pPr>
              <w:spacing w:before="120" w:after="120"/>
              <w:rPr>
                <w:rFonts w:cs="Arial"/>
                <w:color w:val="808080"/>
                <w:sz w:val="16"/>
                <w:szCs w:val="16"/>
                <w:lang w:val="es-ES_tradnl"/>
              </w:rPr>
            </w:pPr>
            <w:r w:rsidRPr="00332758">
              <w:rPr>
                <w:rFonts w:cs="Arial"/>
                <w:sz w:val="16"/>
                <w:szCs w:val="16"/>
                <w:lang w:val="es-ES_tradnl"/>
              </w:rPr>
              <w:lastRenderedPageBreak/>
              <w:t>Visita de estudio a organismos de gestión colectiva.</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25 a 29 de noviembre de 2013</w:t>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Japón/6 participantes de Indonesia, Malasia y Tailandia</w:t>
            </w:r>
          </w:p>
        </w:tc>
        <w:tc>
          <w:tcPr>
            <w:tcW w:w="4110"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 xml:space="preserve">i) Profundizar el conocimiento y la comprensión de los participantes sobre cuestiones relativas a la gestión del derecho de autor;   ii)  facilitar la colaboración y coordinación entre las oficinas de derecho de autor y los organismos de gestión colectiva de este tipo de derechos;   y iii) estudiar la experiencia japonesa en el ámbito del derecho de autor y derechos conexos </w:t>
            </w:r>
          </w:p>
        </w:tc>
      </w:tr>
      <w:tr w:rsidR="00A33040" w:rsidRPr="00A9508D" w:rsidTr="00AA6702">
        <w:tc>
          <w:tcPr>
            <w:tcW w:w="1841"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Traducción e impresión en idioma local de las publicaciones de la OMPI sobre derecho de autor y derechos conexos</w:t>
            </w:r>
          </w:p>
        </w:tc>
        <w:tc>
          <w:tcPr>
            <w:tcW w:w="1137" w:type="dxa"/>
          </w:tcPr>
          <w:p w:rsidR="00A33040" w:rsidRPr="00A34388" w:rsidRDefault="00A33040" w:rsidP="00AA6702">
            <w:pPr>
              <w:spacing w:before="120" w:after="120"/>
              <w:rPr>
                <w:rFonts w:cs="Arial"/>
                <w:sz w:val="16"/>
                <w:szCs w:val="16"/>
                <w:lang w:val="es-ES_tradnl"/>
              </w:rPr>
            </w:pPr>
            <w:r w:rsidRPr="00332758">
              <w:rPr>
                <w:rFonts w:cs="Arial"/>
                <w:sz w:val="16"/>
                <w:szCs w:val="16"/>
                <w:lang w:val="es-ES_tradnl"/>
              </w:rPr>
              <w:t>Diciembre de 2013</w:t>
            </w:r>
            <w:r w:rsidRPr="00332758">
              <w:rPr>
                <w:rStyle w:val="FootnoteReference"/>
                <w:rFonts w:cs="Arial"/>
                <w:sz w:val="16"/>
                <w:szCs w:val="16"/>
                <w:lang w:val="es-ES_tradnl"/>
              </w:rPr>
              <w:footnoteReference w:id="51"/>
            </w:r>
          </w:p>
        </w:tc>
        <w:tc>
          <w:tcPr>
            <w:tcW w:w="1984" w:type="dxa"/>
          </w:tcPr>
          <w:p w:rsidR="00A33040" w:rsidRPr="00A34388" w:rsidRDefault="00A33040" w:rsidP="00AA6702">
            <w:pPr>
              <w:spacing w:before="120" w:after="120"/>
              <w:rPr>
                <w:rFonts w:cs="Arial"/>
                <w:sz w:val="16"/>
                <w:szCs w:val="16"/>
                <w:lang w:val="es-ES_tradnl"/>
              </w:rPr>
            </w:pPr>
            <w:r w:rsidRPr="00A34388">
              <w:rPr>
                <w:rFonts w:cs="Arial"/>
                <w:sz w:val="16"/>
                <w:szCs w:val="16"/>
                <w:lang w:val="es-ES_tradnl"/>
              </w:rPr>
              <w:t>Myanmar</w:t>
            </w:r>
          </w:p>
        </w:tc>
        <w:tc>
          <w:tcPr>
            <w:tcW w:w="4110" w:type="dxa"/>
          </w:tcPr>
          <w:p w:rsidR="00A33040" w:rsidRPr="00A34388" w:rsidRDefault="00A33040" w:rsidP="00C6436B">
            <w:pPr>
              <w:spacing w:before="120" w:after="120"/>
              <w:rPr>
                <w:rFonts w:cs="Arial"/>
                <w:sz w:val="16"/>
                <w:szCs w:val="16"/>
                <w:lang w:val="es-ES_tradnl"/>
              </w:rPr>
            </w:pPr>
            <w:r w:rsidRPr="00A34388">
              <w:rPr>
                <w:rFonts w:cs="Arial"/>
                <w:sz w:val="16"/>
                <w:szCs w:val="16"/>
                <w:lang w:val="es-ES_tradnl"/>
              </w:rPr>
              <w:t xml:space="preserve">Conseguir una mayor </w:t>
            </w:r>
            <w:r w:rsidR="00C6436B" w:rsidRPr="00A34388">
              <w:rPr>
                <w:rFonts w:cs="Arial"/>
                <w:sz w:val="16"/>
                <w:szCs w:val="16"/>
                <w:lang w:val="es-ES_tradnl"/>
              </w:rPr>
              <w:t xml:space="preserve">concienciación </w:t>
            </w:r>
            <w:r w:rsidRPr="00A34388">
              <w:rPr>
                <w:rFonts w:cs="Arial"/>
                <w:sz w:val="16"/>
                <w:szCs w:val="16"/>
                <w:lang w:val="es-ES_tradnl"/>
              </w:rPr>
              <w:t>sobre el derecho de autor y los derechos conexos entre los funcionarios gubernamentales, los creadores y usuarios de obras con derecho de autor y el público del país</w:t>
            </w:r>
          </w:p>
        </w:tc>
      </w:tr>
    </w:tbl>
    <w:p w:rsidR="00A33040" w:rsidRPr="00332758" w:rsidRDefault="00A33040" w:rsidP="00A33040">
      <w:pPr>
        <w:rPr>
          <w:rFonts w:cs="Arial"/>
          <w:b/>
          <w:szCs w:val="20"/>
          <w:lang w:val="es-ES_tradnl"/>
        </w:rPr>
      </w:pPr>
    </w:p>
    <w:p w:rsidR="00A33040" w:rsidRPr="00332758" w:rsidRDefault="00A33040" w:rsidP="00A33040">
      <w:pPr>
        <w:rPr>
          <w:rFonts w:cs="Arial"/>
          <w:b/>
          <w:sz w:val="18"/>
          <w:szCs w:val="18"/>
          <w:lang w:val="es-ES_tradnl"/>
        </w:rPr>
      </w:pPr>
    </w:p>
    <w:p w:rsidR="00A33040" w:rsidRPr="00332758" w:rsidRDefault="00A33040" w:rsidP="00A33040">
      <w:pPr>
        <w:rPr>
          <w:rFonts w:cs="Arial"/>
          <w:b/>
          <w:szCs w:val="20"/>
          <w:lang w:val="es-ES_tradnl"/>
        </w:rPr>
      </w:pPr>
      <w:r w:rsidRPr="00332758">
        <w:rPr>
          <w:rFonts w:cs="Arial"/>
          <w:b/>
          <w:szCs w:val="20"/>
          <w:lang w:val="es-ES_tradnl"/>
        </w:rPr>
        <w:t>JAPÓN – DERECHO DE AUTOR – Contribuciones de donantes y gastos en 2013</w:t>
      </w:r>
      <w:r w:rsidRPr="00332758">
        <w:rPr>
          <w:rFonts w:cs="Arial"/>
          <w:b/>
          <w:szCs w:val="20"/>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17"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282.946</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469.281</w:t>
            </w:r>
          </w:p>
        </w:tc>
        <w:tc>
          <w:tcPr>
            <w:tcW w:w="1817"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474.825</w:t>
            </w:r>
          </w:p>
        </w:tc>
        <w:tc>
          <w:tcPr>
            <w:tcW w:w="170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277.402</w:t>
            </w:r>
          </w:p>
        </w:tc>
      </w:tr>
    </w:tbl>
    <w:p w:rsidR="00A33040" w:rsidRPr="00332758" w:rsidRDefault="00A33040" w:rsidP="00A33040">
      <w:pPr>
        <w:spacing w:before="120"/>
        <w:rPr>
          <w:rFonts w:cs="Arial"/>
          <w:i/>
          <w:iCs/>
          <w:sz w:val="18"/>
          <w:szCs w:val="18"/>
          <w:lang w:val="es-ES_tradnl"/>
        </w:rPr>
      </w:pPr>
      <w:r w:rsidRPr="00FF0BCA">
        <w:rPr>
          <w:rFonts w:cs="Arial"/>
          <w:i/>
          <w:iCs/>
          <w:sz w:val="18"/>
          <w:szCs w:val="18"/>
          <w:vertAlign w:val="superscript"/>
          <w:lang w:val="es-ES_tradnl"/>
        </w:rPr>
        <w:t>1</w:t>
      </w:r>
      <w:r w:rsidRPr="00332758">
        <w:rPr>
          <w:rFonts w:cs="Arial"/>
          <w:i/>
          <w:iCs/>
          <w:sz w:val="18"/>
          <w:szCs w:val="18"/>
          <w:vertAlign w:val="superscript"/>
          <w:lang w:val="es-ES_tradnl"/>
        </w:rPr>
        <w:t xml:space="preserve"> </w:t>
      </w:r>
      <w:r w:rsidRPr="00FF0BCA">
        <w:rPr>
          <w:rFonts w:cs="Arial"/>
          <w:i/>
          <w:iCs/>
          <w:sz w:val="18"/>
          <w:szCs w:val="18"/>
          <w:lang w:val="es-ES_tradnl"/>
        </w:rPr>
        <w:t>Estados financieros de la OMPI de 2013 (Anexo III)</w:t>
      </w:r>
    </w:p>
    <w:p w:rsidR="00A33040" w:rsidRPr="009608F6" w:rsidRDefault="00A33040" w:rsidP="00A33040">
      <w:pPr>
        <w:keepNext/>
        <w:keepLines/>
        <w:rPr>
          <w:rFonts w:cs="Arial"/>
          <w:b/>
          <w:color w:val="000000"/>
          <w:sz w:val="16"/>
          <w:szCs w:val="16"/>
          <w:lang w:val="es-ES_tradnl"/>
        </w:rPr>
      </w:pPr>
    </w:p>
    <w:p w:rsidR="00A33040" w:rsidRPr="009608F6" w:rsidRDefault="00A33040" w:rsidP="00A33040">
      <w:pPr>
        <w:keepNext/>
        <w:keepLines/>
        <w:rPr>
          <w:rFonts w:cs="Arial"/>
          <w:b/>
          <w:color w:val="000000"/>
          <w:sz w:val="16"/>
          <w:szCs w:val="16"/>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JAPÓN – PROPIEDAD INDUSTRIAL</w:t>
      </w:r>
    </w:p>
    <w:p w:rsidR="00A33040" w:rsidRPr="00A34388" w:rsidRDefault="00A33040" w:rsidP="00A33040">
      <w:pPr>
        <w:keepNext/>
        <w:keepLines/>
        <w:rPr>
          <w:rFonts w:cs="Arial"/>
          <w:b/>
          <w:szCs w:val="20"/>
          <w:lang w:val="es-ES_tradnl"/>
        </w:rPr>
      </w:pPr>
    </w:p>
    <w:tbl>
      <w:tblPr>
        <w:tblW w:w="9097"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7"/>
        <w:gridCol w:w="1140"/>
        <w:gridCol w:w="1978"/>
        <w:gridCol w:w="4132"/>
      </w:tblGrid>
      <w:tr w:rsidR="00A33040" w:rsidRPr="00A9508D" w:rsidTr="00AA6702">
        <w:tc>
          <w:tcPr>
            <w:tcW w:w="9097"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Políticas nacionales, estrategias y planes de desarrollo de innovación y de P.I. claramente definidos y coherentes que estén en sintonía con las metas y los objetivos nacionales de desarrollo.</w:t>
            </w:r>
          </w:p>
        </w:tc>
      </w:tr>
      <w:tr w:rsidR="00A33040" w:rsidRPr="00A34388" w:rsidTr="00AA6702">
        <w:tc>
          <w:tcPr>
            <w:tcW w:w="1847"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4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78"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32"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47" w:type="dxa"/>
          </w:tcPr>
          <w:p w:rsidR="00A33040" w:rsidRPr="00A34388" w:rsidRDefault="00A33040" w:rsidP="00AA6702">
            <w:pPr>
              <w:autoSpaceDE w:val="0"/>
              <w:autoSpaceDN w:val="0"/>
              <w:adjustRightInd w:val="0"/>
              <w:spacing w:before="80" w:after="80"/>
              <w:rPr>
                <w:rFonts w:cs="Arial"/>
                <w:color w:val="000000"/>
                <w:sz w:val="16"/>
                <w:szCs w:val="16"/>
                <w:lang w:val="es-ES_tradnl" w:eastAsia="ja-JP" w:bidi="th-TH"/>
              </w:rPr>
            </w:pPr>
            <w:r w:rsidRPr="00A34388">
              <w:rPr>
                <w:rFonts w:cs="Arial"/>
                <w:color w:val="000000"/>
                <w:sz w:val="16"/>
                <w:szCs w:val="16"/>
                <w:lang w:val="es-ES_tradnl" w:eastAsia="ja-JP" w:bidi="th-TH"/>
              </w:rPr>
              <w:t>Apoyo a la visita de estudio al Japón para la puesta en marcha de estrategias y políticas nacionales en materia de P.I.</w:t>
            </w:r>
          </w:p>
        </w:tc>
        <w:tc>
          <w:tcPr>
            <w:tcW w:w="1140" w:type="dxa"/>
          </w:tcPr>
          <w:p w:rsidR="00A33040" w:rsidRPr="00A34388" w:rsidRDefault="00A33040" w:rsidP="00AA6702">
            <w:pPr>
              <w:autoSpaceDE w:val="0"/>
              <w:autoSpaceDN w:val="0"/>
              <w:adjustRightInd w:val="0"/>
              <w:spacing w:before="80" w:after="80"/>
              <w:rPr>
                <w:rFonts w:cs="Arial"/>
                <w:color w:val="000000"/>
                <w:sz w:val="16"/>
                <w:szCs w:val="16"/>
                <w:lang w:val="es-ES_tradnl" w:eastAsia="ja-JP"/>
              </w:rPr>
            </w:pPr>
            <w:r w:rsidRPr="00A34388">
              <w:rPr>
                <w:rFonts w:cs="Arial"/>
                <w:color w:val="000000"/>
                <w:sz w:val="16"/>
                <w:szCs w:val="16"/>
                <w:lang w:val="es-ES_tradnl" w:eastAsia="ja-JP"/>
              </w:rPr>
              <w:t>27 a 30 de mayo de 2013</w:t>
            </w:r>
          </w:p>
        </w:tc>
        <w:tc>
          <w:tcPr>
            <w:tcW w:w="1978" w:type="dxa"/>
          </w:tcPr>
          <w:p w:rsidR="00A33040" w:rsidRPr="00A34388" w:rsidRDefault="00A33040" w:rsidP="00AA6702">
            <w:pPr>
              <w:autoSpaceDE w:val="0"/>
              <w:autoSpaceDN w:val="0"/>
              <w:adjustRightInd w:val="0"/>
              <w:spacing w:before="80" w:after="80"/>
              <w:rPr>
                <w:rFonts w:cs="Arial"/>
                <w:color w:val="000000"/>
                <w:sz w:val="16"/>
                <w:szCs w:val="16"/>
                <w:lang w:val="es-ES_tradnl" w:eastAsia="ja-JP" w:bidi="th-TH"/>
              </w:rPr>
            </w:pPr>
            <w:r w:rsidRPr="00A34388">
              <w:rPr>
                <w:rFonts w:cs="Arial"/>
                <w:color w:val="000000"/>
                <w:sz w:val="16"/>
                <w:szCs w:val="16"/>
                <w:lang w:val="es-ES_tradnl" w:eastAsia="ja-JP" w:bidi="th-TH"/>
              </w:rPr>
              <w:t>Japón/Myanmar</w:t>
            </w:r>
          </w:p>
        </w:tc>
        <w:tc>
          <w:tcPr>
            <w:tcW w:w="4132" w:type="dxa"/>
          </w:tcPr>
          <w:p w:rsidR="00A33040" w:rsidRPr="00A34388" w:rsidRDefault="00A33040" w:rsidP="00AA6702">
            <w:pPr>
              <w:autoSpaceDE w:val="0"/>
              <w:autoSpaceDN w:val="0"/>
              <w:adjustRightInd w:val="0"/>
              <w:spacing w:before="80" w:after="80"/>
              <w:rPr>
                <w:rFonts w:cs="Arial"/>
                <w:color w:val="000000"/>
                <w:sz w:val="16"/>
                <w:szCs w:val="16"/>
                <w:lang w:val="es-ES_tradnl" w:eastAsia="ja-JP" w:bidi="th-TH"/>
              </w:rPr>
            </w:pPr>
            <w:r w:rsidRPr="00A34388">
              <w:rPr>
                <w:rFonts w:cs="Arial"/>
                <w:color w:val="000000"/>
                <w:sz w:val="16"/>
                <w:szCs w:val="16"/>
                <w:lang w:val="es-ES_tradnl" w:eastAsia="ja-JP" w:bidi="th-TH"/>
              </w:rPr>
              <w:t>Ofrecer la oportunidad a altos funcionarios de Myanmar de observar y aprender de la experiencia del Japón en el desarrollo y uso del sistema de P.I.</w:t>
            </w:r>
          </w:p>
        </w:tc>
      </w:tr>
      <w:tr w:rsidR="00A33040" w:rsidRPr="00A9508D" w:rsidTr="00AA6702">
        <w:tc>
          <w:tcPr>
            <w:tcW w:w="1847" w:type="dxa"/>
            <w:tcBorders>
              <w:bottom w:val="single" w:sz="4" w:space="0" w:color="auto"/>
            </w:tcBorders>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Apoyo a la visita de estudio al Japón para la puesta en marcha de estrategias y políticas nacionales en materia de P.I.</w:t>
            </w:r>
          </w:p>
        </w:tc>
        <w:tc>
          <w:tcPr>
            <w:tcW w:w="1140" w:type="dxa"/>
            <w:tcBorders>
              <w:bottom w:val="single" w:sz="4" w:space="0" w:color="auto"/>
            </w:tcBorders>
          </w:tcPr>
          <w:p w:rsidR="00A33040" w:rsidRPr="00A34388" w:rsidRDefault="00A33040" w:rsidP="00AA6702">
            <w:pPr>
              <w:autoSpaceDE w:val="0"/>
              <w:autoSpaceDN w:val="0"/>
              <w:adjustRightInd w:val="0"/>
              <w:spacing w:before="40" w:after="40"/>
              <w:rPr>
                <w:rFonts w:cs="Arial"/>
                <w:color w:val="000000"/>
                <w:sz w:val="16"/>
                <w:szCs w:val="16"/>
                <w:lang w:val="es-ES_tradnl" w:eastAsia="ja-JP"/>
              </w:rPr>
            </w:pPr>
            <w:r w:rsidRPr="00332758">
              <w:rPr>
                <w:rFonts w:cs="Arial"/>
                <w:sz w:val="16"/>
                <w:szCs w:val="16"/>
                <w:lang w:val="es-ES_tradnl" w:eastAsia="ja-JP"/>
              </w:rPr>
              <w:t>29 de octubre a 1 de noviembre de 2013</w:t>
            </w:r>
          </w:p>
        </w:tc>
        <w:tc>
          <w:tcPr>
            <w:tcW w:w="1978" w:type="dxa"/>
            <w:tcBorders>
              <w:bottom w:val="single" w:sz="4" w:space="0" w:color="auto"/>
            </w:tcBorders>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Japón/Camboya</w:t>
            </w:r>
          </w:p>
        </w:tc>
        <w:tc>
          <w:tcPr>
            <w:tcW w:w="4132" w:type="dxa"/>
            <w:tcBorders>
              <w:bottom w:val="single" w:sz="4" w:space="0" w:color="auto"/>
            </w:tcBorders>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Ofrecer la oportunidad a altos funcionarios de Camboya de aprender de la experiencia del Japón para formular y aplicar su estrategia nacional de P.I. y utilizar de forma eficaz el sistema de P.I. para el crecimiento económico</w:t>
            </w:r>
          </w:p>
        </w:tc>
      </w:tr>
      <w:tr w:rsidR="00A33040" w:rsidRPr="00A9508D" w:rsidTr="00AA6702">
        <w:tc>
          <w:tcPr>
            <w:tcW w:w="9097"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sz w:val="16"/>
                <w:szCs w:val="16"/>
                <w:lang w:val="es-ES_tradnl"/>
              </w:rPr>
            </w:pPr>
            <w:r w:rsidRPr="00A34388">
              <w:rPr>
                <w:rFonts w:cs="Arial"/>
                <w:b/>
                <w:bCs/>
                <w:color w:val="000000"/>
                <w:sz w:val="16"/>
                <w:szCs w:val="16"/>
                <w:lang w:val="es-ES_tradnl"/>
              </w:rPr>
              <w:t>RESULTADO:</w:t>
            </w:r>
            <w:r w:rsidRPr="00332758">
              <w:rPr>
                <w:rFonts w:cs="Arial"/>
                <w:bCs/>
                <w:sz w:val="16"/>
                <w:szCs w:val="16"/>
                <w:lang w:val="es-ES_tradnl"/>
              </w:rPr>
              <w:tab/>
              <w:t>Mejora en la infraestructura técnica y de conocimientos de las oficinas y demás instituciones de P.I. que les permite prestar mejores servicios</w:t>
            </w:r>
          </w:p>
        </w:tc>
      </w:tr>
      <w:tr w:rsidR="00A33040" w:rsidRPr="00A34388" w:rsidTr="00AA6702">
        <w:tc>
          <w:tcPr>
            <w:tcW w:w="1847"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4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78"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D736B4">
              <w:rPr>
                <w:rFonts w:cs="Arial"/>
                <w:b/>
                <w:sz w:val="16"/>
                <w:szCs w:val="16"/>
                <w:lang w:val="es-ES_tradnl"/>
              </w:rPr>
              <w:t xml:space="preserve"> </w:t>
            </w:r>
            <w:r w:rsidRPr="00332758">
              <w:rPr>
                <w:rFonts w:cs="Arial"/>
                <w:b/>
                <w:sz w:val="16"/>
                <w:szCs w:val="16"/>
                <w:lang w:val="es-ES_tradnl"/>
              </w:rPr>
              <w:t>/</w:t>
            </w:r>
            <w:r w:rsidR="00D736B4">
              <w:rPr>
                <w:rFonts w:cs="Arial"/>
                <w:b/>
                <w:sz w:val="16"/>
                <w:szCs w:val="16"/>
                <w:lang w:val="es-ES_tradnl"/>
              </w:rPr>
              <w:t xml:space="preserve"> </w:t>
            </w:r>
            <w:r w:rsidRPr="00332758">
              <w:rPr>
                <w:rFonts w:cs="Arial"/>
                <w:b/>
                <w:sz w:val="16"/>
                <w:szCs w:val="16"/>
                <w:lang w:val="es-ES_tradnl"/>
              </w:rPr>
              <w:t>Beneficiarios</w:t>
            </w:r>
          </w:p>
        </w:tc>
        <w:tc>
          <w:tcPr>
            <w:tcW w:w="4132"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D736B4" w:rsidRPr="00A9508D" w:rsidTr="00AA6702">
        <w:tc>
          <w:tcPr>
            <w:tcW w:w="1847" w:type="dxa"/>
          </w:tcPr>
          <w:p w:rsidR="00D736B4" w:rsidRPr="00A34388" w:rsidRDefault="00D736B4" w:rsidP="00AA6702">
            <w:pPr>
              <w:autoSpaceDE w:val="0"/>
              <w:autoSpaceDN w:val="0"/>
              <w:adjustRightInd w:val="0"/>
              <w:spacing w:before="40" w:after="40"/>
              <w:rPr>
                <w:rFonts w:cs="Arial"/>
                <w:color w:val="000000"/>
                <w:sz w:val="16"/>
                <w:szCs w:val="16"/>
                <w:lang w:val="es-ES_tradnl" w:eastAsia="ja-JP" w:bidi="th-TH"/>
              </w:rPr>
            </w:pPr>
            <w:r>
              <w:rPr>
                <w:rFonts w:cs="Arial"/>
                <w:color w:val="000000"/>
                <w:sz w:val="16"/>
                <w:szCs w:val="16"/>
                <w:lang w:val="es-ES_tradnl" w:eastAsia="ja-JP" w:bidi="th-TH"/>
              </w:rPr>
              <w:t>Proyecto de digitalización y captura de datos de documentación de P.I.</w:t>
            </w:r>
          </w:p>
        </w:tc>
        <w:tc>
          <w:tcPr>
            <w:tcW w:w="1140" w:type="dxa"/>
          </w:tcPr>
          <w:p w:rsidR="00D736B4" w:rsidRPr="00A34388" w:rsidRDefault="00D736B4" w:rsidP="00AA6702">
            <w:pPr>
              <w:autoSpaceDE w:val="0"/>
              <w:autoSpaceDN w:val="0"/>
              <w:adjustRightInd w:val="0"/>
              <w:spacing w:before="40" w:after="40"/>
              <w:rPr>
                <w:rFonts w:cs="Arial"/>
                <w:color w:val="000000"/>
                <w:sz w:val="16"/>
                <w:szCs w:val="16"/>
                <w:lang w:val="es-ES_tradnl" w:eastAsia="ja-JP"/>
              </w:rPr>
            </w:pPr>
            <w:r>
              <w:rPr>
                <w:rFonts w:cs="Arial"/>
                <w:color w:val="000000"/>
                <w:sz w:val="16"/>
                <w:szCs w:val="16"/>
                <w:lang w:val="es-ES_tradnl" w:eastAsia="ja-JP"/>
              </w:rPr>
              <w:t>5 a 7 de marzo de 2013</w:t>
            </w:r>
          </w:p>
        </w:tc>
        <w:tc>
          <w:tcPr>
            <w:tcW w:w="1978" w:type="dxa"/>
          </w:tcPr>
          <w:p w:rsidR="00D736B4" w:rsidRPr="00A34388" w:rsidRDefault="00D736B4" w:rsidP="00AA6702">
            <w:pPr>
              <w:autoSpaceDE w:val="0"/>
              <w:autoSpaceDN w:val="0"/>
              <w:adjustRightInd w:val="0"/>
              <w:spacing w:before="40" w:after="40"/>
              <w:rPr>
                <w:rFonts w:cs="Arial"/>
                <w:color w:val="000000"/>
                <w:sz w:val="16"/>
                <w:szCs w:val="16"/>
                <w:lang w:val="es-ES_tradnl" w:eastAsia="ja-JP" w:bidi="th-TH"/>
              </w:rPr>
            </w:pPr>
            <w:r>
              <w:rPr>
                <w:rFonts w:cs="Arial"/>
                <w:color w:val="000000"/>
                <w:sz w:val="16"/>
                <w:szCs w:val="16"/>
                <w:lang w:val="es-ES_tradnl" w:eastAsia="ja-JP" w:bidi="th-TH"/>
              </w:rPr>
              <w:t>Camboya</w:t>
            </w:r>
          </w:p>
        </w:tc>
        <w:tc>
          <w:tcPr>
            <w:tcW w:w="4132" w:type="dxa"/>
          </w:tcPr>
          <w:p w:rsidR="00D736B4" w:rsidRPr="00A34388" w:rsidRDefault="00D736B4" w:rsidP="00AA6702">
            <w:pPr>
              <w:autoSpaceDE w:val="0"/>
              <w:autoSpaceDN w:val="0"/>
              <w:adjustRightInd w:val="0"/>
              <w:spacing w:before="40" w:after="40"/>
              <w:rPr>
                <w:rFonts w:cs="Arial"/>
                <w:color w:val="000000"/>
                <w:sz w:val="16"/>
                <w:szCs w:val="16"/>
                <w:lang w:val="es-ES_tradnl" w:eastAsia="ja-JP" w:bidi="th-TH"/>
              </w:rPr>
            </w:pPr>
            <w:r>
              <w:rPr>
                <w:rFonts w:cs="Arial"/>
                <w:color w:val="000000"/>
                <w:sz w:val="16"/>
                <w:szCs w:val="16"/>
                <w:lang w:val="es-ES_tradnl" w:eastAsia="ja-JP" w:bidi="th-TH"/>
              </w:rPr>
              <w:t>Analizar el funcionamiento global de la Oficina y su situación actual en materia de documentación de P.I., y mantener consultas con los responsables pertinentes de la Oficina para establecer un plan viable y sostenible de digitalización.</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Desarrollo de una plataforma de software y un enlace de WIPO CASE con el sistema IP5 One Portal Dossier (OPD)</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rPr>
            </w:pPr>
            <w:r w:rsidRPr="00A34388">
              <w:rPr>
                <w:rFonts w:cs="Arial"/>
                <w:color w:val="000000"/>
                <w:sz w:val="16"/>
                <w:szCs w:val="16"/>
                <w:lang w:val="es-ES_tradnl" w:eastAsia="ja-JP"/>
              </w:rPr>
              <w:t>Abril de 2013 (comienzo)</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Brunei Darussalam, Camboya, Indonesia, República Democrática Popular Lao, Malasia, Myanmar, Filipinas, Singapur,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 Crear un sistema que preste soporte a una red mundial de oficinas de P.I. que participan en programas de distribución del trabajo a través de la plataforma WIPO CASE, vinculada al sistema IP5 One Portal Dossier (OPD) como proyecto piloto;  ii) facilitar el acceso, la promoción y utilización de las actividades de examen de las oficinas nacionales de P.I. de la ASEAN que puedan contribuir también a la utilización </w:t>
            </w:r>
            <w:r w:rsidRPr="00A34388">
              <w:rPr>
                <w:rFonts w:cs="Arial"/>
                <w:color w:val="000000"/>
                <w:sz w:val="16"/>
                <w:szCs w:val="16"/>
                <w:lang w:val="es-ES_tradnl" w:eastAsia="ja-JP" w:bidi="th-TH"/>
              </w:rPr>
              <w:lastRenderedPageBreak/>
              <w:t>de la información científica y técnica incluida en la base de datos de patentes;  y iii) proporcionar a las oficinas información detallada que pueda utilizarse para formular estrategias regionales para plataformas de T.I. que faciliten la distribución del trabajo</w:t>
            </w:r>
          </w:p>
        </w:tc>
      </w:tr>
      <w:tr w:rsidR="00A33040" w:rsidRPr="00A9508D" w:rsidTr="00AA6702">
        <w:trPr>
          <w:trHeight w:val="1644"/>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lastRenderedPageBreak/>
              <w:t xml:space="preserve">Taller subregional de la OMPI sobre la hoja de ruta de T.I. de la ASEAN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rPr>
            </w:pPr>
            <w:r w:rsidRPr="00332758">
              <w:rPr>
                <w:rFonts w:cs="Arial"/>
                <w:sz w:val="16"/>
                <w:szCs w:val="16"/>
                <w:lang w:val="es-ES_tradnl" w:eastAsia="ja-JP"/>
              </w:rPr>
              <w:t>5 a 8 de noviembre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Filipinas/</w:t>
            </w:r>
            <w:r w:rsidRPr="00A34388">
              <w:rPr>
                <w:rFonts w:cs="Arial"/>
                <w:color w:val="000000"/>
                <w:sz w:val="16"/>
                <w:szCs w:val="16"/>
                <w:lang w:val="es-ES_tradnl" w:eastAsia="ja-JP" w:bidi="th-TH"/>
              </w:rPr>
              <w:br/>
              <w:t>Brunei Darussalam, Camboya, Indonesia, República Democrática Popular Lao, Malasia, Myanmar, Singapur,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i) Compartir experiencias y mejores prácticas entre oficinas de P.I. de la región de la ASEAN acerca de servicios operativos eficientes basados en TI;  ii) facilitar la promoción y uso de los productos y servicios operativos de la OMPI (WIPO CASE, IPAS y WIPOScan) en provecho de la región;  y iii) capacitar a las oficinas nacionales y a los usuarios para un mejor acceso y utilización de la información valiosa sobre la innovación y a las actividades operativas</w:t>
            </w:r>
          </w:p>
        </w:tc>
      </w:tr>
      <w:tr w:rsidR="00A33040" w:rsidRPr="00A9508D" w:rsidTr="00AA6702">
        <w:trPr>
          <w:trHeight w:val="1010"/>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Portal en línea WIPO Essential </w:t>
            </w:r>
          </w:p>
        </w:tc>
        <w:tc>
          <w:tcPr>
            <w:tcW w:w="1140" w:type="dxa"/>
          </w:tcPr>
          <w:p w:rsidR="00A33040" w:rsidRPr="00A34388" w:rsidRDefault="00A33040" w:rsidP="00AA6702">
            <w:pPr>
              <w:autoSpaceDE w:val="0"/>
              <w:autoSpaceDN w:val="0"/>
              <w:adjustRightInd w:val="0"/>
              <w:spacing w:before="40" w:after="40"/>
              <w:rPr>
                <w:rFonts w:cs="Arial"/>
                <w:color w:val="808080"/>
                <w:sz w:val="16"/>
                <w:szCs w:val="16"/>
                <w:lang w:val="es-ES_tradnl" w:eastAsia="ja-JP"/>
              </w:rPr>
            </w:pPr>
            <w:r w:rsidRPr="00332758">
              <w:rPr>
                <w:rFonts w:cs="Arial"/>
                <w:sz w:val="16"/>
                <w:szCs w:val="16"/>
                <w:lang w:val="es-ES_tradnl" w:eastAsia="ja-JP"/>
              </w:rPr>
              <w:t>2012 y 21 de agosto de 2013</w:t>
            </w:r>
          </w:p>
        </w:tc>
        <w:tc>
          <w:tcPr>
            <w:tcW w:w="1978" w:type="dxa"/>
          </w:tcPr>
          <w:p w:rsidR="00A33040" w:rsidRPr="00A34388" w:rsidRDefault="00A33040" w:rsidP="00AA6702">
            <w:pPr>
              <w:autoSpaceDE w:val="0"/>
              <w:autoSpaceDN w:val="0"/>
              <w:adjustRightInd w:val="0"/>
              <w:spacing w:before="40" w:after="40"/>
              <w:rPr>
                <w:rFonts w:cs="Arial"/>
                <w:color w:val="000000"/>
                <w:spacing w:val="-2"/>
                <w:sz w:val="16"/>
                <w:szCs w:val="16"/>
                <w:lang w:val="es-ES_tradnl" w:eastAsia="ja-JP" w:bidi="th-TH"/>
              </w:rPr>
            </w:pPr>
            <w:r w:rsidRPr="00332758">
              <w:rPr>
                <w:rFonts w:cs="Arial"/>
                <w:spacing w:val="-2"/>
                <w:sz w:val="16"/>
                <w:szCs w:val="16"/>
                <w:lang w:val="es-ES_tradnl" w:eastAsia="ja-JP" w:bidi="th-TH"/>
              </w:rPr>
              <w:t>Todos los Estados miembros de la OMPI</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Establecer una plataforma sistemática y práctica para suministrar información sobre patentes relacionadas con la salud a fin de que los gobiernos, organismos compradores y otros tengan un fácil acceso a la información pertinente</w:t>
            </w:r>
          </w:p>
        </w:tc>
      </w:tr>
      <w:tr w:rsidR="00A33040" w:rsidRPr="00A9508D" w:rsidTr="00AA6702">
        <w:trPr>
          <w:trHeight w:val="315"/>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Base de datos WIPO GREEN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rPr>
            </w:pPr>
            <w:r w:rsidRPr="00A34388">
              <w:rPr>
                <w:rFonts w:cs="Arial"/>
                <w:color w:val="000000"/>
                <w:sz w:val="16"/>
                <w:szCs w:val="16"/>
                <w:lang w:val="es-ES_tradnl" w:eastAsia="ja-JP"/>
              </w:rPr>
              <w:t>Julio de 2011 a marzo de 2013</w:t>
            </w:r>
          </w:p>
        </w:tc>
        <w:tc>
          <w:tcPr>
            <w:tcW w:w="1978" w:type="dxa"/>
          </w:tcPr>
          <w:p w:rsidR="00A33040" w:rsidRPr="00A34388" w:rsidRDefault="00A33040" w:rsidP="00AA6702">
            <w:pPr>
              <w:autoSpaceDE w:val="0"/>
              <w:autoSpaceDN w:val="0"/>
              <w:adjustRightInd w:val="0"/>
              <w:spacing w:before="40" w:after="40"/>
              <w:rPr>
                <w:rFonts w:cs="Arial"/>
                <w:color w:val="000000"/>
                <w:spacing w:val="-2"/>
                <w:sz w:val="16"/>
                <w:szCs w:val="16"/>
                <w:lang w:val="es-ES_tradnl" w:eastAsia="ja-JP" w:bidi="th-TH"/>
              </w:rPr>
            </w:pPr>
            <w:r w:rsidRPr="00332758">
              <w:rPr>
                <w:rFonts w:cs="Arial"/>
                <w:spacing w:val="-2"/>
                <w:sz w:val="16"/>
                <w:szCs w:val="16"/>
                <w:lang w:val="es-ES_tradnl" w:eastAsia="ja-JP" w:bidi="th-TH"/>
              </w:rPr>
              <w:t>Todos los Estados miembros de la OMPI</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Añadir funciones complementarias a la base de datos WIPO GREEN partiendo de los comentarios de los usuarios </w:t>
            </w:r>
          </w:p>
        </w:tc>
      </w:tr>
      <w:tr w:rsidR="00A33040" w:rsidRPr="00A9508D" w:rsidTr="00AA6702">
        <w:tc>
          <w:tcPr>
            <w:tcW w:w="9097"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color w:val="000000"/>
                <w:sz w:val="16"/>
                <w:szCs w:val="16"/>
                <w:lang w:val="es-ES_tradnl"/>
              </w:rPr>
            </w:pPr>
            <w:r w:rsidRPr="00A34388">
              <w:rPr>
                <w:rFonts w:cs="Arial"/>
                <w:b/>
                <w:bCs/>
                <w:color w:val="000000"/>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w:t>
            </w:r>
          </w:p>
        </w:tc>
      </w:tr>
      <w:tr w:rsidR="00A33040" w:rsidRPr="00A34388" w:rsidTr="00AA6702">
        <w:tc>
          <w:tcPr>
            <w:tcW w:w="1847"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4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78"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32"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Taller regional de la OMPI sobre la promoción del respeto por la propiedad intelectual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13 y 14 de febrero de 2013</w:t>
            </w:r>
          </w:p>
        </w:tc>
        <w:tc>
          <w:tcPr>
            <w:tcW w:w="1978" w:type="dxa"/>
          </w:tcPr>
          <w:p w:rsidR="00A33040" w:rsidRPr="00A34388" w:rsidRDefault="00A33040" w:rsidP="00D736B4">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Maldivas/Bangladesh, Bhután, Malasia, Pakistán y Sri Lanka</w:t>
            </w:r>
          </w:p>
        </w:tc>
        <w:tc>
          <w:tcPr>
            <w:tcW w:w="4132" w:type="dxa"/>
          </w:tcPr>
          <w:p w:rsidR="00A33040" w:rsidRPr="00A34388" w:rsidRDefault="00A33040" w:rsidP="00C6436B">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 Mejorar la comprensión de la función de la P.I. en el desarrollo socioeconómico, las actitudes y motivaciones de los consumidores, así como la función de las empresas en el equilibrio de los derechos e intereses en materia de P.I.;  ii) proporcionar a las partes interesadas la información necesaria sobre el modo de elaborar y aplicar estrategias nacionales de </w:t>
            </w:r>
            <w:r w:rsidR="00C6436B" w:rsidRPr="00A34388">
              <w:rPr>
                <w:rFonts w:cs="Arial"/>
                <w:color w:val="000000"/>
                <w:sz w:val="16"/>
                <w:szCs w:val="16"/>
                <w:lang w:val="es-ES_tradnl" w:eastAsia="ja-JP" w:bidi="th-TH"/>
              </w:rPr>
              <w:t xml:space="preserve">concienciación </w:t>
            </w:r>
            <w:r w:rsidRPr="00A34388">
              <w:rPr>
                <w:rFonts w:cs="Arial"/>
                <w:color w:val="000000"/>
                <w:sz w:val="16"/>
                <w:szCs w:val="16"/>
                <w:lang w:val="es-ES_tradnl" w:eastAsia="ja-JP" w:bidi="th-TH"/>
              </w:rPr>
              <w:t xml:space="preserve">con el fin de reducir la demanda de productos falsificados;  y iii) promover la cooperación estratégica entre partes interesadas tanto del sector público como del privado </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Taller regional de la OMPI sobre la utilización eficaz de los resultados de búsqueda y de las comunicaciones derivadas del sistema del Tratado de Cooperación en materia de Patentes (PCT) en las fases nacional/regional</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27 de febrero a 1 de marzo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Japón/Burundi, Egipto, Indonesia, República Democrática Popular Lao, Madagascar, Malasia, Mongolia, Filipinas, Singapur, Sri Lanka, Tailandia</w:t>
            </w:r>
            <w:r w:rsidR="00D736B4">
              <w:rPr>
                <w:rFonts w:cs="Arial"/>
                <w:color w:val="000000"/>
                <w:sz w:val="16"/>
                <w:szCs w:val="16"/>
                <w:lang w:val="es-ES_tradnl" w:eastAsia="ja-JP" w:bidi="th-TH"/>
              </w:rPr>
              <w:t>,</w:t>
            </w:r>
            <w:r w:rsidRPr="00A34388">
              <w:rPr>
                <w:rFonts w:cs="Arial"/>
                <w:color w:val="000000"/>
                <w:sz w:val="16"/>
                <w:szCs w:val="16"/>
                <w:lang w:val="es-ES_tradnl" w:eastAsia="ja-JP" w:bidi="th-TH"/>
              </w:rPr>
              <w:t xml:space="preserve">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 Intercambiar retos y mejores prácticas sobre el uso efectivo de información relativa a exámenes de patentes llevados a cabo por otras oficinas de P.I.;  ii) analizar posibles maneras de poner en marcha una plataforma para facilitar el acceso a dicha información;  y iii) mejorar la comprensión de la utilidad de las T.I. para el desarrollo de plataformas de cooperación regional e internacional en materia de examen de patentes </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Seminario regional de la OMPI sobre la utilización eficaz del Tratado de Cooperación en materia de Patentes (PCT) y de las iniciativas internacionales de distribución del trabajo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26 a 28 de noviembre de 2013</w:t>
            </w:r>
          </w:p>
        </w:tc>
        <w:tc>
          <w:tcPr>
            <w:tcW w:w="1978" w:type="dxa"/>
          </w:tcPr>
          <w:p w:rsidR="00A33040" w:rsidRPr="00A34388" w:rsidRDefault="00A33040" w:rsidP="00D736B4">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Japón/Brunei Darussalam, Camboya, Egipto, Indonesia, República Democrática Popular Lao, Kenya, Malasia, Myanmar, Filipinas, Singapur, Tailandia</w:t>
            </w:r>
            <w:r w:rsidR="00D736B4">
              <w:rPr>
                <w:rFonts w:cs="Arial"/>
                <w:color w:val="000000"/>
                <w:sz w:val="16"/>
                <w:szCs w:val="16"/>
                <w:lang w:val="es-ES_tradnl" w:eastAsia="ja-JP" w:bidi="th-TH"/>
              </w:rPr>
              <w:t>,</w:t>
            </w:r>
            <w:r w:rsidRPr="00A34388">
              <w:rPr>
                <w:rFonts w:cs="Arial"/>
                <w:color w:val="000000"/>
                <w:sz w:val="16"/>
                <w:szCs w:val="16"/>
                <w:lang w:val="es-ES_tradnl" w:eastAsia="ja-JP" w:bidi="th-TH"/>
              </w:rPr>
              <w:t xml:space="preserve"> Viet Nam</w:t>
            </w:r>
            <w:r w:rsidR="00D736B4">
              <w:rPr>
                <w:rFonts w:cs="Arial"/>
                <w:color w:val="000000"/>
                <w:sz w:val="16"/>
                <w:szCs w:val="16"/>
                <w:lang w:val="es-ES_tradnl" w:eastAsia="ja-JP" w:bidi="th-TH"/>
              </w:rPr>
              <w:t>, OAPI y ARIPO</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Mejorar la comprensión de:  i) las funciones y ventajas del PCT;  ii) la forma de conseguir informes positivos de la Autoridad de Búsqueda Internacional (ISA)/autoridad interna de examen preliminar (IPEA);  y </w:t>
            </w:r>
            <w:r w:rsidR="009F4808" w:rsidRPr="00A34388">
              <w:rPr>
                <w:rFonts w:cs="Arial"/>
                <w:color w:val="000000"/>
                <w:sz w:val="16"/>
                <w:szCs w:val="16"/>
                <w:lang w:val="es-ES_tradnl" w:eastAsia="ja-JP" w:bidi="th-TH"/>
              </w:rPr>
              <w:t>iii)</w:t>
            </w:r>
            <w:r w:rsidRPr="00A34388">
              <w:rPr>
                <w:rFonts w:cs="Arial"/>
                <w:color w:val="000000"/>
                <w:sz w:val="16"/>
                <w:szCs w:val="16"/>
                <w:lang w:val="es-ES_tradnl" w:eastAsia="ja-JP" w:bidi="th-TH"/>
              </w:rPr>
              <w:t xml:space="preserve"> el modo en que las oficinas nacionales pueden utilizar de modo efectivo estos informes </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Seminario regional de la OMPI sobre la utilización eficaz de los sistemas de clasificación de patentes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11 y 12 de diciembre de 2013</w:t>
            </w:r>
          </w:p>
        </w:tc>
        <w:tc>
          <w:tcPr>
            <w:tcW w:w="1978" w:type="dxa"/>
          </w:tcPr>
          <w:p w:rsidR="00A33040" w:rsidRPr="00A34388" w:rsidRDefault="00A33040" w:rsidP="00D736B4">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w:t>
            </w:r>
            <w:r w:rsidR="00D736B4">
              <w:rPr>
                <w:rFonts w:cs="Arial"/>
                <w:color w:val="000000"/>
                <w:sz w:val="16"/>
                <w:szCs w:val="16"/>
                <w:lang w:val="es-ES_tradnl" w:eastAsia="ja-JP" w:bidi="th-TH"/>
              </w:rPr>
              <w:t xml:space="preserve">Brunei Darussalam, Camboya, </w:t>
            </w:r>
            <w:r w:rsidRPr="00A34388">
              <w:rPr>
                <w:rFonts w:cs="Arial"/>
                <w:color w:val="000000"/>
                <w:sz w:val="16"/>
                <w:szCs w:val="16"/>
                <w:lang w:val="es-ES_tradnl" w:eastAsia="ja-JP" w:bidi="th-TH"/>
              </w:rPr>
              <w:t xml:space="preserve">India, Indonesia, República Democrática Popular Lao, Malasia, Mongolia, Myanmar, </w:t>
            </w:r>
            <w:r w:rsidR="00380F0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 xml:space="preserve">Pakistán, </w:t>
            </w:r>
            <w:r w:rsidR="00D736B4">
              <w:rPr>
                <w:rFonts w:cs="Arial"/>
                <w:color w:val="000000"/>
                <w:sz w:val="16"/>
                <w:szCs w:val="16"/>
                <w:lang w:val="es-ES_tradnl" w:eastAsia="ja-JP" w:bidi="th-TH"/>
              </w:rPr>
              <w:t xml:space="preserve">Filipinas, Sri Lanka, </w:t>
            </w:r>
            <w:r w:rsidRPr="00A34388">
              <w:rPr>
                <w:rFonts w:cs="Arial"/>
                <w:color w:val="000000"/>
                <w:sz w:val="16"/>
                <w:szCs w:val="16"/>
                <w:lang w:val="es-ES_tradnl" w:eastAsia="ja-JP" w:bidi="th-TH"/>
              </w:rPr>
              <w:t>Singapur, Tailandia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Ofrecer a los participantes la oportunidad de estudiar los sistemas de clasificación de patentes, incluido el sistema CIP y otros sistemas de clasificación útiles </w:t>
            </w:r>
          </w:p>
        </w:tc>
      </w:tr>
      <w:tr w:rsidR="00A33040" w:rsidRPr="00A9508D" w:rsidTr="00AA6702">
        <w:tc>
          <w:tcPr>
            <w:tcW w:w="1847" w:type="dxa"/>
          </w:tcPr>
          <w:p w:rsidR="00A15349" w:rsidRDefault="00A15349" w:rsidP="00AA6702">
            <w:pPr>
              <w:autoSpaceDE w:val="0"/>
              <w:autoSpaceDN w:val="0"/>
              <w:adjustRightInd w:val="0"/>
              <w:spacing w:before="40" w:after="40"/>
              <w:rPr>
                <w:rFonts w:cs="Arial"/>
                <w:color w:val="000000"/>
                <w:sz w:val="16"/>
                <w:szCs w:val="16"/>
                <w:lang w:val="es-ES_tradnl" w:eastAsia="ja-JP" w:bidi="th-TH"/>
              </w:rPr>
            </w:pPr>
          </w:p>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lastRenderedPageBreak/>
              <w:t xml:space="preserve">Seminario regional de la OMPI sobre la utilización eficaz de datos estadísticos en el ámbito de la propiedad intelectual </w:t>
            </w:r>
          </w:p>
        </w:tc>
        <w:tc>
          <w:tcPr>
            <w:tcW w:w="1140" w:type="dxa"/>
          </w:tcPr>
          <w:p w:rsidR="00A15349" w:rsidRDefault="00A15349" w:rsidP="00AA6702">
            <w:pPr>
              <w:autoSpaceDE w:val="0"/>
              <w:autoSpaceDN w:val="0"/>
              <w:adjustRightInd w:val="0"/>
              <w:spacing w:before="40" w:after="40"/>
              <w:rPr>
                <w:rFonts w:cs="Arial"/>
                <w:sz w:val="16"/>
                <w:szCs w:val="16"/>
                <w:lang w:val="es-ES_tradnl" w:eastAsia="ja-JP" w:bidi="th-TH"/>
              </w:rPr>
            </w:pPr>
          </w:p>
          <w:p w:rsidR="00A33040" w:rsidRDefault="00A33040" w:rsidP="00AA6702">
            <w:pPr>
              <w:autoSpaceDE w:val="0"/>
              <w:autoSpaceDN w:val="0"/>
              <w:adjustRightInd w:val="0"/>
              <w:spacing w:before="40" w:after="40"/>
              <w:rPr>
                <w:rFonts w:cs="Arial"/>
                <w:sz w:val="16"/>
                <w:szCs w:val="16"/>
                <w:lang w:val="es-ES_tradnl" w:eastAsia="ja-JP" w:bidi="th-TH"/>
              </w:rPr>
            </w:pPr>
            <w:r w:rsidRPr="00332758">
              <w:rPr>
                <w:rFonts w:cs="Arial"/>
                <w:sz w:val="16"/>
                <w:szCs w:val="16"/>
                <w:lang w:val="es-ES_tradnl" w:eastAsia="ja-JP" w:bidi="th-TH"/>
              </w:rPr>
              <w:lastRenderedPageBreak/>
              <w:t>17 a 19 de diciembre de 2013</w:t>
            </w:r>
          </w:p>
          <w:p w:rsidR="00A15349" w:rsidRPr="00A34388" w:rsidRDefault="00A15349" w:rsidP="00AA6702">
            <w:pPr>
              <w:autoSpaceDE w:val="0"/>
              <w:autoSpaceDN w:val="0"/>
              <w:adjustRightInd w:val="0"/>
              <w:spacing w:before="40" w:after="40"/>
              <w:rPr>
                <w:rFonts w:cs="Arial"/>
                <w:color w:val="000000"/>
                <w:sz w:val="16"/>
                <w:szCs w:val="16"/>
                <w:lang w:val="es-ES_tradnl" w:eastAsia="ja-JP" w:bidi="th-TH"/>
              </w:rPr>
            </w:pPr>
          </w:p>
        </w:tc>
        <w:tc>
          <w:tcPr>
            <w:tcW w:w="1978" w:type="dxa"/>
          </w:tcPr>
          <w:p w:rsidR="00A15349" w:rsidRDefault="00A15349" w:rsidP="00A15349">
            <w:pPr>
              <w:keepNext/>
              <w:keepLines/>
              <w:autoSpaceDE w:val="0"/>
              <w:autoSpaceDN w:val="0"/>
              <w:adjustRightInd w:val="0"/>
              <w:spacing w:before="40" w:after="40"/>
              <w:rPr>
                <w:rFonts w:cs="Arial"/>
                <w:color w:val="000000"/>
                <w:sz w:val="16"/>
                <w:szCs w:val="16"/>
                <w:lang w:val="es-ES_tradnl" w:eastAsia="ja-JP" w:bidi="th-TH"/>
              </w:rPr>
            </w:pPr>
          </w:p>
          <w:p w:rsidR="00A33040" w:rsidRPr="00A34388" w:rsidRDefault="00A33040" w:rsidP="00A15349">
            <w:pPr>
              <w:keepNext/>
              <w:keepLines/>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lastRenderedPageBreak/>
              <w:t>Filipinas/</w:t>
            </w:r>
            <w:r w:rsidR="00D736B4">
              <w:rPr>
                <w:rFonts w:cs="Arial"/>
                <w:color w:val="000000"/>
                <w:sz w:val="16"/>
                <w:szCs w:val="16"/>
                <w:lang w:val="es-ES_tradnl" w:eastAsia="ja-JP" w:bidi="th-TH"/>
              </w:rPr>
              <w:t xml:space="preserve">Bangladesh, </w:t>
            </w:r>
            <w:r w:rsidR="00A15349">
              <w:rPr>
                <w:rFonts w:cs="Arial"/>
                <w:color w:val="000000"/>
                <w:sz w:val="16"/>
                <w:szCs w:val="16"/>
                <w:lang w:val="es-ES_tradnl" w:eastAsia="ja-JP" w:bidi="th-TH"/>
              </w:rPr>
              <w:t xml:space="preserve">Brunei Darussalam, Camboya, </w:t>
            </w:r>
            <w:r w:rsidRPr="00A34388">
              <w:rPr>
                <w:rFonts w:cs="Arial"/>
                <w:color w:val="000000"/>
                <w:sz w:val="16"/>
                <w:szCs w:val="16"/>
                <w:lang w:val="es-ES_tradnl" w:eastAsia="ja-JP" w:bidi="th-TH"/>
              </w:rPr>
              <w:t xml:space="preserve">India, Indonesia, República Democrática Popular Lao, Malasia, Pakistán, Singapur, </w:t>
            </w:r>
            <w:r w:rsidR="00A15349">
              <w:rPr>
                <w:rFonts w:cs="Arial"/>
                <w:color w:val="000000"/>
                <w:sz w:val="16"/>
                <w:szCs w:val="16"/>
                <w:lang w:val="es-ES_tradnl" w:eastAsia="ja-JP" w:bidi="th-TH"/>
              </w:rPr>
              <w:t>Sri Lanka</w:t>
            </w:r>
            <w:r w:rsidRPr="00A34388">
              <w:rPr>
                <w:rFonts w:cs="Arial"/>
                <w:color w:val="000000"/>
                <w:sz w:val="16"/>
                <w:szCs w:val="16"/>
                <w:lang w:val="es-ES_tradnl" w:eastAsia="ja-JP" w:bidi="th-TH"/>
              </w:rPr>
              <w:t xml:space="preserve"> y Viet Nam</w:t>
            </w:r>
          </w:p>
        </w:tc>
        <w:tc>
          <w:tcPr>
            <w:tcW w:w="4132" w:type="dxa"/>
          </w:tcPr>
          <w:p w:rsidR="00A15349" w:rsidRDefault="00A15349" w:rsidP="00AA6702">
            <w:pPr>
              <w:autoSpaceDE w:val="0"/>
              <w:autoSpaceDN w:val="0"/>
              <w:adjustRightInd w:val="0"/>
              <w:spacing w:before="40" w:after="40"/>
              <w:rPr>
                <w:rFonts w:cs="Arial"/>
                <w:color w:val="000000"/>
                <w:sz w:val="16"/>
                <w:szCs w:val="16"/>
                <w:lang w:val="es-ES_tradnl" w:eastAsia="ja-JP" w:bidi="th-TH"/>
              </w:rPr>
            </w:pPr>
          </w:p>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lastRenderedPageBreak/>
              <w:t>i) Mejorar la comprensión de la importancia de las estadísticas de P.I.;  ii) intercambiar opiniones sobre las diferencias de los datos estadísticos en cada oficina de P.I. y la utilización de los mismos;  y iii) debatir posibles medidas para la elaboración de estadísticas y el intercambio de estadísticas y datos entre oficinas de P.I.</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lastRenderedPageBreak/>
              <w:t xml:space="preserve">Misión de expertos para la formación sobre las Clasificaciones de Niza, Viena y Locarno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27 a 31 de mayo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Indonesia/</w:t>
            </w:r>
            <w:r w:rsidRPr="00A34388">
              <w:rPr>
                <w:rFonts w:cs="Arial"/>
                <w:color w:val="000000"/>
                <w:sz w:val="16"/>
                <w:szCs w:val="16"/>
                <w:lang w:val="es-ES_tradnl" w:eastAsia="ja-JP" w:bidi="th-TH"/>
              </w:rPr>
              <w:br/>
              <w:t>Brunei Darussalam y Malasia</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Formar a los examinadores de marcas sobre las Clasificaciones de Niza y Viena y a los examinadores de diseño sobre la Clasificación de Locarno</w:t>
            </w:r>
          </w:p>
        </w:tc>
      </w:tr>
      <w:tr w:rsidR="00A33040" w:rsidRPr="00A9508D" w:rsidTr="00AA6702">
        <w:tc>
          <w:tcPr>
            <w:tcW w:w="1847"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 xml:space="preserve">Curso de formación sobre </w:t>
            </w:r>
            <w:r w:rsidR="00A15349">
              <w:rPr>
                <w:rFonts w:cs="Arial"/>
                <w:sz w:val="16"/>
                <w:szCs w:val="16"/>
                <w:lang w:val="es-ES_tradnl" w:eastAsia="ja-JP" w:bidi="th-TH"/>
              </w:rPr>
              <w:t xml:space="preserve">la </w:t>
            </w:r>
            <w:r w:rsidRPr="00332758">
              <w:rPr>
                <w:rFonts w:cs="Arial"/>
                <w:sz w:val="16"/>
                <w:szCs w:val="16"/>
                <w:lang w:val="es-ES_tradnl" w:eastAsia="ja-JP" w:bidi="th-TH"/>
              </w:rPr>
              <w:t>práctica de</w:t>
            </w:r>
            <w:r w:rsidR="00A15349">
              <w:rPr>
                <w:rFonts w:cs="Arial"/>
                <w:sz w:val="16"/>
                <w:szCs w:val="16"/>
                <w:lang w:val="es-ES_tradnl" w:eastAsia="ja-JP" w:bidi="th-TH"/>
              </w:rPr>
              <w:t>l</w:t>
            </w:r>
            <w:r w:rsidRPr="00332758">
              <w:rPr>
                <w:rFonts w:cs="Arial"/>
                <w:sz w:val="16"/>
                <w:szCs w:val="16"/>
                <w:lang w:val="es-ES_tradnl" w:eastAsia="ja-JP" w:bidi="th-TH"/>
              </w:rPr>
              <w:t xml:space="preserve"> examen </w:t>
            </w:r>
            <w:r w:rsidR="00A15349">
              <w:rPr>
                <w:rFonts w:cs="Arial"/>
                <w:sz w:val="16"/>
                <w:szCs w:val="16"/>
                <w:lang w:val="es-ES_tradnl" w:eastAsia="ja-JP" w:bidi="th-TH"/>
              </w:rPr>
              <w:t>de propiedad industrial (</w:t>
            </w:r>
            <w:r w:rsidRPr="00332758">
              <w:rPr>
                <w:rFonts w:cs="Arial"/>
                <w:sz w:val="16"/>
                <w:szCs w:val="16"/>
                <w:lang w:val="es-ES_tradnl" w:eastAsia="ja-JP" w:bidi="th-TH"/>
              </w:rPr>
              <w:t xml:space="preserve">Programa </w:t>
            </w:r>
            <w:r w:rsidR="00A15349">
              <w:rPr>
                <w:rFonts w:cs="Arial"/>
                <w:sz w:val="16"/>
                <w:szCs w:val="16"/>
                <w:lang w:val="es-ES_tradnl" w:eastAsia="ja-JP" w:bidi="th-TH"/>
              </w:rPr>
              <w:t>b</w:t>
            </w:r>
            <w:r w:rsidRPr="00332758">
              <w:rPr>
                <w:rFonts w:cs="Arial"/>
                <w:sz w:val="16"/>
                <w:szCs w:val="16"/>
                <w:lang w:val="es-ES_tradnl" w:eastAsia="ja-JP" w:bidi="th-TH"/>
              </w:rPr>
              <w:t>ásico</w:t>
            </w:r>
            <w:r w:rsidR="00A15349">
              <w:rPr>
                <w:rFonts w:cs="Arial"/>
                <w:sz w:val="16"/>
                <w:szCs w:val="16"/>
                <w:lang w:val="es-ES_tradnl" w:eastAsia="ja-JP" w:bidi="th-TH"/>
              </w:rPr>
              <w:t>)</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21 de enero a 1 de febrero de 2013</w:t>
            </w:r>
          </w:p>
        </w:tc>
        <w:tc>
          <w:tcPr>
            <w:tcW w:w="1978"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Japón/Bhután,</w:t>
            </w:r>
            <w:r w:rsidR="00A15349">
              <w:rPr>
                <w:rFonts w:cs="Arial"/>
                <w:color w:val="000000"/>
                <w:sz w:val="16"/>
                <w:szCs w:val="16"/>
                <w:lang w:val="es-ES_tradnl" w:eastAsia="ja-JP" w:bidi="th-TH"/>
              </w:rPr>
              <w:t xml:space="preserve"> </w:t>
            </w:r>
            <w:r w:rsidRPr="00A34388">
              <w:rPr>
                <w:rFonts w:cs="Arial"/>
                <w:color w:val="000000"/>
                <w:sz w:val="16"/>
                <w:szCs w:val="16"/>
                <w:lang w:val="es-ES_tradnl" w:eastAsia="ja-JP" w:bidi="th-TH"/>
              </w:rPr>
              <w:t>Brunei Darussalam, Camboya, China, Etiopía, Indonesia, República Democrática Popular Lao, Malasia, Mongolia, Marruecos, Nigeria, Pakistán, Papua Nueva Guinea, Perú, Sri Lanka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Mejorar los conocimientos básicos fundamentales sobre las leyes y los procedimientos de examen de fondo en el ámbito del examen de los derechos de propiedad industrial </w:t>
            </w:r>
          </w:p>
        </w:tc>
      </w:tr>
      <w:tr w:rsidR="00A33040" w:rsidRPr="00A9508D" w:rsidTr="00AA6702">
        <w:tc>
          <w:tcPr>
            <w:tcW w:w="1847"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sobre administración de la propiedad industrial</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4 a 8 de febrero de 2013</w:t>
            </w:r>
          </w:p>
        </w:tc>
        <w:tc>
          <w:tcPr>
            <w:tcW w:w="1978"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Japón/Bangladesh, China, India, Indonesia, Malasia, Pakistán, Filipinas, Sri Lanka, Tailandia, Túnez y Viet Nam </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i) Perfeccionar los conocimientos de los altos directivos de las oficinas de P.I. sobre las nuevas prácticas e instrumentos para la dirección de las oficinas de P.I.;  ii) mejorar la capacidad de los participantes para administrar con eficiencia el sistema de P.I. de acuerdo con las nuevas prácticas de dirección;  y iii) presentar a los participantes los métodos de dirección con los que las oficinas de P.I. pueden contribuir a las políticas y objetivos generales de desarrollo de un país.</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808080"/>
                <w:sz w:val="16"/>
                <w:szCs w:val="16"/>
                <w:lang w:val="es-ES_tradnl" w:eastAsia="ja-JP" w:bidi="th-TH"/>
              </w:rPr>
            </w:pPr>
            <w:r w:rsidRPr="00332758">
              <w:rPr>
                <w:rFonts w:cs="Arial"/>
                <w:sz w:val="16"/>
                <w:szCs w:val="16"/>
                <w:lang w:val="es-ES_tradnl" w:eastAsia="ja-JP" w:bidi="th-TH"/>
              </w:rPr>
              <w:t>Curso de formación para examinadores de patentes sobre tecnologías específicas (programas informáticos).</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13 a 20 de febrero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Japón/China, Indonesia, Kenya, Malasia, Marruecos, Filipinas, Singapur, Turquía y Viet Nam</w:t>
            </w:r>
          </w:p>
        </w:tc>
        <w:tc>
          <w:tcPr>
            <w:tcW w:w="4132" w:type="dxa"/>
          </w:tcPr>
          <w:p w:rsidR="00A33040" w:rsidRPr="00332758" w:rsidRDefault="00A33040" w:rsidP="00AA6702">
            <w:pPr>
              <w:autoSpaceDE w:val="0"/>
              <w:autoSpaceDN w:val="0"/>
              <w:adjustRightInd w:val="0"/>
              <w:spacing w:before="40" w:after="40"/>
              <w:rPr>
                <w:rFonts w:cs="Arial"/>
                <w:sz w:val="16"/>
                <w:szCs w:val="16"/>
                <w:lang w:val="es-ES_tradnl" w:eastAsia="ja-JP" w:bidi="th-TH"/>
              </w:rPr>
            </w:pPr>
            <w:r w:rsidRPr="00332758">
              <w:rPr>
                <w:rFonts w:cs="Arial"/>
                <w:sz w:val="16"/>
                <w:szCs w:val="16"/>
                <w:lang w:val="es-ES_tradnl" w:eastAsia="ja-JP" w:bidi="th-TH"/>
              </w:rPr>
              <w:t>i) Familiarizar a los participantes con las tendencias actuales y las nuevas prácticas para el examen de patentes en lo concerniente a los programas informáticos;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artículos programas informáticos.</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para examinadores de patentes sobre tecnologías específicas (iluminación)</w:t>
            </w:r>
            <w:r w:rsidRPr="00A34388">
              <w:rPr>
                <w:rFonts w:cs="Arial"/>
                <w:color w:val="FF00FF"/>
                <w:sz w:val="16"/>
                <w:szCs w:val="16"/>
                <w:lang w:val="es-ES_tradnl" w:eastAsia="ja-JP" w:bidi="th-TH"/>
              </w:rPr>
              <w:t>.</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21 a 28 de febrero de 2013</w:t>
            </w:r>
          </w:p>
        </w:tc>
        <w:tc>
          <w:tcPr>
            <w:tcW w:w="1978"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Japón/China, Egipto, Indonesia, Malasia, México, Marruecos, Pakistán, Filipinas, Tailandia, Viet Nam y la OAPI</w:t>
            </w:r>
          </w:p>
        </w:tc>
        <w:tc>
          <w:tcPr>
            <w:tcW w:w="4132" w:type="dxa"/>
          </w:tcPr>
          <w:p w:rsidR="00A33040" w:rsidRPr="00332758" w:rsidRDefault="00A33040" w:rsidP="00AA6702">
            <w:pPr>
              <w:autoSpaceDE w:val="0"/>
              <w:autoSpaceDN w:val="0"/>
              <w:adjustRightInd w:val="0"/>
              <w:spacing w:before="40" w:after="40"/>
              <w:rPr>
                <w:rFonts w:cs="Arial"/>
                <w:sz w:val="16"/>
                <w:szCs w:val="16"/>
                <w:lang w:val="es-ES_tradnl" w:eastAsia="ja-JP" w:bidi="th-TH"/>
              </w:rPr>
            </w:pPr>
            <w:r w:rsidRPr="00332758">
              <w:rPr>
                <w:rFonts w:cs="Arial"/>
                <w:sz w:val="16"/>
                <w:szCs w:val="16"/>
                <w:lang w:val="es-ES_tradnl" w:eastAsia="ja-JP" w:bidi="th-TH"/>
              </w:rPr>
              <w:t>i) Familiarizar a los participantes con las tendencias actuales y las nuevas prácticas para el examen de patentes en lo concerniente a la iluminación;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la iluminación.</w:t>
            </w:r>
          </w:p>
        </w:tc>
      </w:tr>
      <w:tr w:rsidR="00A33040" w:rsidRPr="00A9508D" w:rsidTr="00AA6702">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en el uso de las tecnologías de la información para la administración de la propiedad industrial.</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28 de octubre a 8 de noviembre de 2013</w:t>
            </w:r>
          </w:p>
        </w:tc>
        <w:tc>
          <w:tcPr>
            <w:tcW w:w="1978"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w:t>
            </w:r>
            <w:r w:rsidR="00A15349">
              <w:rPr>
                <w:rFonts w:cs="Arial"/>
                <w:color w:val="000000"/>
                <w:sz w:val="16"/>
                <w:szCs w:val="16"/>
                <w:lang w:val="es-ES_tradnl" w:eastAsia="ja-JP" w:bidi="th-TH"/>
              </w:rPr>
              <w:t xml:space="preserve">Bangladesh, </w:t>
            </w:r>
            <w:r w:rsidRPr="00A34388">
              <w:rPr>
                <w:rFonts w:cs="Arial"/>
                <w:color w:val="000000"/>
                <w:sz w:val="16"/>
                <w:szCs w:val="16"/>
                <w:lang w:val="es-ES_tradnl" w:eastAsia="ja-JP" w:bidi="th-TH"/>
              </w:rPr>
              <w:t xml:space="preserve">Brasil, </w:t>
            </w:r>
            <w:r w:rsidR="00A15349">
              <w:rPr>
                <w:rFonts w:cs="Arial"/>
                <w:color w:val="000000"/>
                <w:sz w:val="16"/>
                <w:szCs w:val="16"/>
                <w:lang w:val="es-ES_tradnl" w:eastAsia="ja-JP" w:bidi="th-TH"/>
              </w:rPr>
              <w:t xml:space="preserve">Brunei Darusalaam, Camboya, Chile, </w:t>
            </w:r>
            <w:r w:rsidRPr="00A34388">
              <w:rPr>
                <w:rFonts w:cs="Arial"/>
                <w:color w:val="000000"/>
                <w:sz w:val="16"/>
                <w:szCs w:val="16"/>
                <w:lang w:val="es-ES_tradnl" w:eastAsia="ja-JP" w:bidi="th-TH"/>
              </w:rPr>
              <w:t xml:space="preserve">India, Indonesia, </w:t>
            </w:r>
            <w:r w:rsidR="00A15349">
              <w:rPr>
                <w:rFonts w:cs="Arial"/>
                <w:color w:val="000000"/>
                <w:sz w:val="16"/>
                <w:szCs w:val="16"/>
                <w:lang w:val="es-ES_tradnl" w:eastAsia="ja-JP" w:bidi="th-TH"/>
              </w:rPr>
              <w:t xml:space="preserve">República Democrática Popular Lao, </w:t>
            </w:r>
            <w:r w:rsidRPr="00A34388">
              <w:rPr>
                <w:rFonts w:cs="Arial"/>
                <w:color w:val="000000"/>
                <w:sz w:val="16"/>
                <w:szCs w:val="16"/>
                <w:lang w:val="es-ES_tradnl" w:eastAsia="ja-JP" w:bidi="th-TH"/>
              </w:rPr>
              <w:t xml:space="preserve">Malasia, </w:t>
            </w:r>
            <w:r w:rsidR="00A15349">
              <w:rPr>
                <w:rFonts w:cs="Arial"/>
                <w:color w:val="000000"/>
                <w:sz w:val="16"/>
                <w:szCs w:val="16"/>
                <w:lang w:val="es-ES_tradnl" w:eastAsia="ja-JP" w:bidi="th-TH"/>
              </w:rPr>
              <w:t xml:space="preserve">Mongolia, Marruecos, </w:t>
            </w:r>
            <w:r w:rsidRPr="00A34388">
              <w:rPr>
                <w:rFonts w:cs="Arial"/>
                <w:color w:val="000000"/>
                <w:sz w:val="16"/>
                <w:szCs w:val="16"/>
                <w:lang w:val="es-ES_tradnl" w:eastAsia="ja-JP" w:bidi="th-TH"/>
              </w:rPr>
              <w:t xml:space="preserve">Filipinas, </w:t>
            </w:r>
            <w:r w:rsidR="00A15349">
              <w:rPr>
                <w:rFonts w:cs="Arial"/>
                <w:color w:val="000000"/>
                <w:sz w:val="16"/>
                <w:szCs w:val="16"/>
                <w:lang w:val="es-ES_tradnl" w:eastAsia="ja-JP" w:bidi="th-TH"/>
              </w:rPr>
              <w:t xml:space="preserve">Sri Lanka, </w:t>
            </w:r>
            <w:r w:rsidRPr="00A34388">
              <w:rPr>
                <w:rFonts w:cs="Arial"/>
                <w:color w:val="000000"/>
                <w:sz w:val="16"/>
                <w:szCs w:val="16"/>
                <w:lang w:val="es-ES_tradnl" w:eastAsia="ja-JP" w:bidi="th-TH"/>
              </w:rPr>
              <w:t xml:space="preserve">Tailandia y </w:t>
            </w:r>
            <w:r w:rsidR="00A15349">
              <w:rPr>
                <w:rFonts w:cs="Arial"/>
                <w:color w:val="000000"/>
                <w:sz w:val="16"/>
                <w:szCs w:val="16"/>
                <w:lang w:val="es-ES_tradnl" w:eastAsia="ja-JP" w:bidi="th-TH"/>
              </w:rPr>
              <w:t>Túnez</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i) Familiarizar a los participantes con las repercusiones de los últimos acontecimientos en materia de tecnologías de la información en lo que respecta a la administración de la propiedad industrial;  ii) impartir conocimientos prácticos sobre el uso de las tecnologías de la información a través de sesiones interactivas;  y iii) intercambiar opiniones sobre cuestiones concretas conexas con las anteriores, mejorando así las capacidades profesionales de los participantes en la planificación y gestión del uso de las tecnologías de la información en el ámbito de la administración de la propiedad industrial</w:t>
            </w:r>
          </w:p>
        </w:tc>
      </w:tr>
      <w:tr w:rsidR="00A33040" w:rsidRPr="00A9508D" w:rsidTr="00AA6702">
        <w:tc>
          <w:tcPr>
            <w:tcW w:w="1847"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Curso de formación sobre la práctica de</w:t>
            </w:r>
            <w:r w:rsidR="00A15349">
              <w:rPr>
                <w:rFonts w:cs="Arial"/>
                <w:sz w:val="16"/>
                <w:szCs w:val="16"/>
                <w:lang w:val="es-ES_tradnl" w:eastAsia="ja-JP" w:bidi="th-TH"/>
              </w:rPr>
              <w:t>l</w:t>
            </w:r>
            <w:r w:rsidRPr="00332758">
              <w:rPr>
                <w:rFonts w:cs="Arial"/>
                <w:sz w:val="16"/>
                <w:szCs w:val="16"/>
                <w:lang w:val="es-ES_tradnl" w:eastAsia="ja-JP" w:bidi="th-TH"/>
              </w:rPr>
              <w:t xml:space="preserve"> examen en el ámbito de la propiedad industrial </w:t>
            </w:r>
            <w:r w:rsidR="00A15349">
              <w:rPr>
                <w:rFonts w:cs="Arial"/>
                <w:sz w:val="16"/>
                <w:szCs w:val="16"/>
                <w:lang w:val="es-ES_tradnl" w:eastAsia="ja-JP" w:bidi="th-TH"/>
              </w:rPr>
              <w:t>(</w:t>
            </w:r>
            <w:r w:rsidRPr="00332758">
              <w:rPr>
                <w:rFonts w:cs="Arial"/>
                <w:sz w:val="16"/>
                <w:szCs w:val="16"/>
                <w:lang w:val="es-ES_tradnl" w:eastAsia="ja-JP" w:bidi="th-TH"/>
              </w:rPr>
              <w:t>Programa avanzado</w:t>
            </w:r>
            <w:r w:rsidR="00A15349">
              <w:rPr>
                <w:rFonts w:cs="Arial"/>
                <w:sz w:val="16"/>
                <w:szCs w:val="16"/>
                <w:lang w:val="es-ES_tradnl" w:eastAsia="ja-JP" w:bidi="th-TH"/>
              </w:rPr>
              <w:t>)</w:t>
            </w:r>
            <w:r w:rsidRPr="00A34388">
              <w:rPr>
                <w:rFonts w:cs="Arial"/>
                <w:color w:val="000000"/>
                <w:sz w:val="16"/>
                <w:szCs w:val="16"/>
                <w:lang w:val="es-ES_tradnl" w:eastAsia="ja-JP" w:bidi="th-TH"/>
              </w:rPr>
              <w:t xml:space="preserve"> </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11 a 22 de noviembre de 2013</w:t>
            </w:r>
          </w:p>
        </w:tc>
        <w:tc>
          <w:tcPr>
            <w:tcW w:w="1978"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w:t>
            </w:r>
            <w:r w:rsidR="00A15349">
              <w:rPr>
                <w:rFonts w:cs="Arial"/>
                <w:color w:val="000000"/>
                <w:sz w:val="16"/>
                <w:szCs w:val="16"/>
                <w:lang w:val="es-ES_tradnl" w:eastAsia="ja-JP" w:bidi="th-TH"/>
              </w:rPr>
              <w:t>Brasil</w:t>
            </w:r>
            <w:r w:rsidRPr="00A34388">
              <w:rPr>
                <w:rFonts w:cs="Arial"/>
                <w:color w:val="000000"/>
                <w:sz w:val="16"/>
                <w:szCs w:val="16"/>
                <w:lang w:val="es-ES_tradnl" w:eastAsia="ja-JP" w:bidi="th-TH"/>
              </w:rPr>
              <w:t xml:space="preserve">, China, </w:t>
            </w:r>
            <w:r w:rsidR="00A15349">
              <w:rPr>
                <w:rFonts w:cs="Arial"/>
                <w:color w:val="000000"/>
                <w:sz w:val="16"/>
                <w:szCs w:val="16"/>
                <w:lang w:val="es-ES_tradnl" w:eastAsia="ja-JP" w:bidi="th-TH"/>
              </w:rPr>
              <w:t>India</w:t>
            </w:r>
            <w:r w:rsidRPr="00A34388">
              <w:rPr>
                <w:rFonts w:cs="Arial"/>
                <w:color w:val="000000"/>
                <w:sz w:val="16"/>
                <w:szCs w:val="16"/>
                <w:lang w:val="es-ES_tradnl" w:eastAsia="ja-JP" w:bidi="th-TH"/>
              </w:rPr>
              <w:t xml:space="preserve">, Indonesia, </w:t>
            </w:r>
            <w:r w:rsidR="00A15349">
              <w:rPr>
                <w:rFonts w:cs="Arial"/>
                <w:color w:val="000000"/>
                <w:sz w:val="16"/>
                <w:szCs w:val="16"/>
                <w:lang w:val="es-ES_tradnl" w:eastAsia="ja-JP" w:bidi="th-TH"/>
              </w:rPr>
              <w:t>Malasia, Pakistán, Filipinas</w:t>
            </w:r>
            <w:r w:rsidRPr="00A34388">
              <w:rPr>
                <w:rFonts w:cs="Arial"/>
                <w:color w:val="000000"/>
                <w:sz w:val="16"/>
                <w:szCs w:val="16"/>
                <w:lang w:val="es-ES_tradnl" w:eastAsia="ja-JP" w:bidi="th-TH"/>
              </w:rPr>
              <w:t>, Tailandia</w:t>
            </w:r>
            <w:r w:rsidR="00A15349">
              <w:rPr>
                <w:rFonts w:cs="Arial"/>
                <w:color w:val="000000"/>
                <w:sz w:val="16"/>
                <w:szCs w:val="16"/>
                <w:lang w:val="es-ES_tradnl" w:eastAsia="ja-JP" w:bidi="th-TH"/>
              </w:rPr>
              <w:t>, Turquía</w:t>
            </w:r>
            <w:r w:rsidRPr="00A34388">
              <w:rPr>
                <w:rFonts w:cs="Arial"/>
                <w:color w:val="000000"/>
                <w:sz w:val="16"/>
                <w:szCs w:val="16"/>
                <w:lang w:val="es-ES_tradnl" w:eastAsia="ja-JP" w:bidi="th-TH"/>
              </w:rPr>
              <w:t xml:space="preserve"> y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Impartir conocimientos sobre las leyes y los procedimientos de examen de fondo en el ámbito del examen de la propiedad industrial </w:t>
            </w:r>
          </w:p>
        </w:tc>
      </w:tr>
      <w:tr w:rsidR="00A33040" w:rsidRPr="00A9508D" w:rsidTr="00AA6702">
        <w:trPr>
          <w:trHeight w:val="1655"/>
        </w:trPr>
        <w:tc>
          <w:tcPr>
            <w:tcW w:w="1847" w:type="dxa"/>
          </w:tcPr>
          <w:p w:rsidR="00A33040" w:rsidRPr="00A34388" w:rsidRDefault="00A33040" w:rsidP="00AA6702">
            <w:pPr>
              <w:autoSpaceDE w:val="0"/>
              <w:autoSpaceDN w:val="0"/>
              <w:adjustRightInd w:val="0"/>
              <w:spacing w:before="40" w:after="40"/>
              <w:rPr>
                <w:rFonts w:cs="Arial"/>
                <w:color w:val="808080"/>
                <w:sz w:val="16"/>
                <w:szCs w:val="16"/>
                <w:lang w:val="es-ES_tradnl" w:eastAsia="ja-JP" w:bidi="th-TH"/>
              </w:rPr>
            </w:pPr>
            <w:r w:rsidRPr="00332758">
              <w:rPr>
                <w:rFonts w:cs="Arial"/>
                <w:sz w:val="16"/>
                <w:szCs w:val="16"/>
                <w:lang w:val="es-ES_tradnl" w:eastAsia="ja-JP" w:bidi="th-TH"/>
              </w:rPr>
              <w:lastRenderedPageBreak/>
              <w:t>Curso de formación sobre observancia de los derechos de propiedad intelectual.</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2 a 13 de diciembre de 2013</w:t>
            </w:r>
          </w:p>
        </w:tc>
        <w:tc>
          <w:tcPr>
            <w:tcW w:w="1978"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Japón/</w:t>
            </w:r>
            <w:r w:rsidR="00A15349">
              <w:rPr>
                <w:rFonts w:cs="Arial"/>
                <w:color w:val="000000"/>
                <w:sz w:val="16"/>
                <w:szCs w:val="16"/>
                <w:lang w:val="es-ES_tradnl" w:eastAsia="ja-JP" w:bidi="th-TH"/>
              </w:rPr>
              <w:t>Argelia</w:t>
            </w:r>
            <w:r w:rsidRPr="00A34388">
              <w:rPr>
                <w:rFonts w:cs="Arial"/>
                <w:color w:val="000000"/>
                <w:sz w:val="16"/>
                <w:szCs w:val="16"/>
                <w:lang w:val="es-ES_tradnl" w:eastAsia="ja-JP" w:bidi="th-TH"/>
              </w:rPr>
              <w:t>, B</w:t>
            </w:r>
            <w:r w:rsidR="00A15349">
              <w:rPr>
                <w:rFonts w:cs="Arial"/>
                <w:color w:val="000000"/>
                <w:sz w:val="16"/>
                <w:szCs w:val="16"/>
                <w:lang w:val="es-ES_tradnl" w:eastAsia="ja-JP" w:bidi="th-TH"/>
              </w:rPr>
              <w:t>hután</w:t>
            </w:r>
            <w:r w:rsidRPr="00A34388">
              <w:rPr>
                <w:rFonts w:cs="Arial"/>
                <w:color w:val="000000"/>
                <w:sz w:val="16"/>
                <w:szCs w:val="16"/>
                <w:lang w:val="es-ES_tradnl" w:eastAsia="ja-JP" w:bidi="th-TH"/>
              </w:rPr>
              <w:t>,</w:t>
            </w:r>
            <w:r w:rsidR="00A15349">
              <w:rPr>
                <w:rFonts w:cs="Arial"/>
                <w:color w:val="000000"/>
                <w:sz w:val="16"/>
                <w:szCs w:val="16"/>
                <w:lang w:val="es-ES_tradnl" w:eastAsia="ja-JP" w:bidi="th-TH"/>
              </w:rPr>
              <w:t xml:space="preserve"> Camboya, China</w:t>
            </w:r>
            <w:r w:rsidRPr="00A34388">
              <w:rPr>
                <w:rFonts w:cs="Arial"/>
                <w:color w:val="000000"/>
                <w:sz w:val="16"/>
                <w:szCs w:val="16"/>
                <w:lang w:val="es-ES_tradnl" w:eastAsia="ja-JP" w:bidi="th-TH"/>
              </w:rPr>
              <w:t xml:space="preserve">, Indonesia, República Democrática Popular Lao, Malasia, </w:t>
            </w:r>
            <w:r w:rsidR="00A15349">
              <w:rPr>
                <w:rFonts w:cs="Arial"/>
                <w:color w:val="000000"/>
                <w:sz w:val="16"/>
                <w:szCs w:val="16"/>
                <w:lang w:val="es-ES_tradnl" w:eastAsia="ja-JP" w:bidi="th-TH"/>
              </w:rPr>
              <w:t>Marruecos, Myanmar</w:t>
            </w:r>
            <w:r w:rsidRPr="00A34388">
              <w:rPr>
                <w:rFonts w:cs="Arial"/>
                <w:color w:val="000000"/>
                <w:sz w:val="16"/>
                <w:szCs w:val="16"/>
                <w:lang w:val="es-ES_tradnl" w:eastAsia="ja-JP" w:bidi="th-TH"/>
              </w:rPr>
              <w:t>, Pakistán, Filipinas, Tailandia</w:t>
            </w:r>
            <w:r w:rsidR="00A15349">
              <w:rPr>
                <w:rFonts w:cs="Arial"/>
                <w:color w:val="000000"/>
                <w:sz w:val="16"/>
                <w:szCs w:val="16"/>
                <w:lang w:val="es-ES_tradnl" w:eastAsia="ja-JP" w:bidi="th-TH"/>
              </w:rPr>
              <w:t xml:space="preserve"> y</w:t>
            </w:r>
            <w:r w:rsidRPr="00A34388">
              <w:rPr>
                <w:rFonts w:cs="Arial"/>
                <w:color w:val="000000"/>
                <w:sz w:val="16"/>
                <w:szCs w:val="16"/>
                <w:lang w:val="es-ES_tradnl" w:eastAsia="ja-JP" w:bidi="th-TH"/>
              </w:rPr>
              <w:t xml:space="preserve"> Viet Nam</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i) Estudiar las tendencias y las prácticas actuales en la esfera de la observancia de los derechos de P.I.;  ii) examinar la justificación, los componentes, la investigación, el procesamiento de los delitos e infracciones en materia de P.I. así como las responsabilidades que se derivan de ellos;  y iv) debatir distintas cuestiones de actualidad en materia de políticas relacionadas con la observancia de la P.I.</w:t>
            </w:r>
          </w:p>
        </w:tc>
      </w:tr>
      <w:tr w:rsidR="00A33040" w:rsidRPr="00A34388" w:rsidTr="00AA6702">
        <w:trPr>
          <w:trHeight w:val="1161"/>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Investigación por la oficina de la OMPI en </w:t>
            </w:r>
            <w:r w:rsidR="00584235" w:rsidRPr="00A34388">
              <w:rPr>
                <w:rFonts w:cs="Arial"/>
                <w:color w:val="000000"/>
                <w:sz w:val="16"/>
                <w:szCs w:val="16"/>
                <w:lang w:val="es-ES_tradnl" w:eastAsia="ja-JP" w:bidi="th-TH"/>
              </w:rPr>
              <w:t xml:space="preserve">el </w:t>
            </w:r>
            <w:r w:rsidRPr="00A34388">
              <w:rPr>
                <w:rFonts w:cs="Arial"/>
                <w:color w:val="000000"/>
                <w:sz w:val="16"/>
                <w:szCs w:val="16"/>
                <w:lang w:val="es-ES_tradnl" w:eastAsia="ja-JP" w:bidi="th-TH"/>
              </w:rPr>
              <w:t>Japón de casos de éxito que vinculan negocio y P.I.</w:t>
            </w:r>
          </w:p>
        </w:tc>
        <w:tc>
          <w:tcPr>
            <w:tcW w:w="1140"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Enero a diciembre de 2013</w:t>
            </w:r>
          </w:p>
        </w:tc>
        <w:tc>
          <w:tcPr>
            <w:tcW w:w="1978" w:type="dxa"/>
          </w:tcPr>
          <w:p w:rsidR="00A33040" w:rsidRPr="00A34388" w:rsidRDefault="00A33040" w:rsidP="00AA6702">
            <w:pPr>
              <w:autoSpaceDE w:val="0"/>
              <w:autoSpaceDN w:val="0"/>
              <w:adjustRightInd w:val="0"/>
              <w:spacing w:before="40" w:after="40"/>
              <w:rPr>
                <w:rFonts w:cs="Arial"/>
                <w:color w:val="000000"/>
                <w:spacing w:val="-2"/>
                <w:sz w:val="16"/>
                <w:szCs w:val="16"/>
                <w:lang w:val="es-ES_tradnl" w:eastAsia="ja-JP" w:bidi="th-TH"/>
              </w:rPr>
            </w:pPr>
            <w:r w:rsidRPr="00332758">
              <w:rPr>
                <w:rFonts w:cs="Arial"/>
                <w:spacing w:val="-2"/>
                <w:sz w:val="16"/>
                <w:szCs w:val="16"/>
                <w:lang w:val="es-ES_tradnl" w:eastAsia="ja-JP" w:bidi="th-TH"/>
              </w:rPr>
              <w:t>Todos los Estados miembros de la OMPI</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Realizar una búsqueda y recopilación de casos de éxito en los que se aúnen negocio y P.I. a cargo de la oficina de la OMPI en el Japón, con especial hincapié en los casos relacionados con los países en desarrollo.  Esto enriquecería también la base de datos </w:t>
            </w:r>
            <w:r w:rsidRPr="00BE2BAE">
              <w:rPr>
                <w:rFonts w:cs="Arial"/>
                <w:i/>
                <w:color w:val="000000"/>
                <w:sz w:val="16"/>
                <w:szCs w:val="16"/>
                <w:lang w:val="es-ES_tradnl" w:eastAsia="ja-JP" w:bidi="th-TH"/>
              </w:rPr>
              <w:t>IP Advantage</w:t>
            </w:r>
          </w:p>
        </w:tc>
      </w:tr>
      <w:tr w:rsidR="00A33040" w:rsidRPr="00A9508D" w:rsidTr="00AA6702">
        <w:trPr>
          <w:trHeight w:val="806"/>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de una publicación de la OMPI</w:t>
            </w:r>
          </w:p>
        </w:tc>
        <w:tc>
          <w:tcPr>
            <w:tcW w:w="1140" w:type="dxa"/>
          </w:tcPr>
          <w:p w:rsidR="00A33040" w:rsidRPr="00A34388" w:rsidRDefault="00A33040" w:rsidP="00A15349">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Enero a diciembre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Viet Nam</w:t>
            </w:r>
          </w:p>
        </w:tc>
        <w:tc>
          <w:tcPr>
            <w:tcW w:w="4132" w:type="dxa"/>
          </w:tcPr>
          <w:p w:rsidR="00A33040" w:rsidRPr="00A34388" w:rsidRDefault="00A33040" w:rsidP="00BE2BAE">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al vietnamita, actualmente en curso, de la publicación de la OMPI titulada “La propiedad intelectual al servicio de las empresas” (publicaci</w:t>
            </w:r>
            <w:r w:rsidR="00BE2BAE">
              <w:rPr>
                <w:rFonts w:cs="Arial"/>
                <w:color w:val="000000"/>
                <w:sz w:val="16"/>
                <w:szCs w:val="16"/>
                <w:lang w:val="es-ES_tradnl" w:eastAsia="ja-JP" w:bidi="th-TH"/>
              </w:rPr>
              <w:t>ón</w:t>
            </w:r>
            <w:r w:rsidRPr="00A34388">
              <w:rPr>
                <w:rFonts w:cs="Arial"/>
                <w:color w:val="000000"/>
                <w:sz w:val="16"/>
                <w:szCs w:val="16"/>
                <w:lang w:val="es-ES_tradnl" w:eastAsia="ja-JP" w:bidi="th-TH"/>
              </w:rPr>
              <w:t xml:space="preserve"> de la OMPI nº 956)</w:t>
            </w:r>
          </w:p>
        </w:tc>
      </w:tr>
      <w:tr w:rsidR="00A33040" w:rsidRPr="00A9508D" w:rsidTr="00AA6702">
        <w:trPr>
          <w:trHeight w:val="816"/>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de una publicación de la OMPI</w:t>
            </w:r>
          </w:p>
        </w:tc>
        <w:tc>
          <w:tcPr>
            <w:tcW w:w="1140" w:type="dxa"/>
          </w:tcPr>
          <w:p w:rsidR="00A33040" w:rsidRPr="00A34388" w:rsidRDefault="00A33040" w:rsidP="00BE2BAE">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Enero a diciembre de 2013</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Camboya</w:t>
            </w:r>
          </w:p>
        </w:tc>
        <w:tc>
          <w:tcPr>
            <w:tcW w:w="4132" w:type="dxa"/>
          </w:tcPr>
          <w:p w:rsidR="00A33040" w:rsidRPr="00A34388" w:rsidRDefault="00A33040" w:rsidP="00BE2BAE">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Traducción al </w:t>
            </w:r>
            <w:r w:rsidR="00BE2BAE">
              <w:rPr>
                <w:rFonts w:cs="Arial"/>
                <w:color w:val="000000"/>
                <w:sz w:val="16"/>
                <w:szCs w:val="16"/>
                <w:lang w:val="es-ES_tradnl" w:eastAsia="ja-JP" w:bidi="th-TH"/>
              </w:rPr>
              <w:t>k</w:t>
            </w:r>
            <w:r w:rsidRPr="00A34388">
              <w:rPr>
                <w:rFonts w:cs="Arial"/>
                <w:color w:val="000000"/>
                <w:sz w:val="16"/>
                <w:szCs w:val="16"/>
                <w:lang w:val="es-ES_tradnl" w:eastAsia="ja-JP" w:bidi="th-TH"/>
              </w:rPr>
              <w:t>hmer, actualmente en curso, de la publicación de la OMPI titulada “Guía para el registro inter</w:t>
            </w:r>
            <w:r w:rsidR="00BE2BAE">
              <w:rPr>
                <w:rFonts w:cs="Arial"/>
                <w:color w:val="000000"/>
                <w:sz w:val="16"/>
                <w:szCs w:val="16"/>
                <w:lang w:val="es-ES_tradnl" w:eastAsia="ja-JP" w:bidi="th-TH"/>
              </w:rPr>
              <w:t>nacional de marcas” (publicación</w:t>
            </w:r>
            <w:r w:rsidRPr="00A34388">
              <w:rPr>
                <w:rFonts w:cs="Arial"/>
                <w:color w:val="000000"/>
                <w:sz w:val="16"/>
                <w:szCs w:val="16"/>
                <w:lang w:val="es-ES_tradnl" w:eastAsia="ja-JP" w:bidi="th-TH"/>
              </w:rPr>
              <w:t xml:space="preserve"> de la OMPI nº</w:t>
            </w:r>
            <w:r w:rsidR="00BE2BAE">
              <w:rPr>
                <w:rFonts w:cs="Arial"/>
                <w:color w:val="000000"/>
                <w:sz w:val="16"/>
                <w:szCs w:val="16"/>
                <w:lang w:val="es-ES_tradnl" w:eastAsia="ja-JP" w:bidi="th-TH"/>
              </w:rPr>
              <w:t> </w:t>
            </w:r>
            <w:r w:rsidRPr="00A34388">
              <w:rPr>
                <w:rFonts w:cs="Arial"/>
                <w:color w:val="000000"/>
                <w:sz w:val="16"/>
                <w:szCs w:val="16"/>
                <w:lang w:val="es-ES_tradnl" w:eastAsia="ja-JP" w:bidi="th-TH"/>
              </w:rPr>
              <w:t>455)</w:t>
            </w:r>
            <w:r w:rsidR="00BE2BAE">
              <w:rPr>
                <w:rFonts w:cs="Arial"/>
                <w:color w:val="000000"/>
                <w:sz w:val="16"/>
                <w:szCs w:val="16"/>
                <w:lang w:val="es-ES_tradnl" w:eastAsia="ja-JP" w:bidi="th-TH"/>
              </w:rPr>
              <w:t>;  Arreglo de Madrid relativo al Registro Internacional de Marcas (publicación de la OMPI nº 204)</w:t>
            </w:r>
          </w:p>
        </w:tc>
      </w:tr>
      <w:tr w:rsidR="00A33040" w:rsidRPr="00A9508D" w:rsidTr="00AA6702">
        <w:trPr>
          <w:trHeight w:val="881"/>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de una publicación de la OMPI</w:t>
            </w:r>
          </w:p>
        </w:tc>
        <w:tc>
          <w:tcPr>
            <w:tcW w:w="1140" w:type="dxa"/>
          </w:tcPr>
          <w:p w:rsidR="00A33040" w:rsidRPr="00A34388" w:rsidRDefault="00A33040" w:rsidP="00BE2BAE">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Enero a diciembre de 2013</w:t>
            </w:r>
          </w:p>
        </w:tc>
        <w:tc>
          <w:tcPr>
            <w:tcW w:w="1978" w:type="dxa"/>
          </w:tcPr>
          <w:p w:rsidR="00A33040" w:rsidRPr="00332758" w:rsidRDefault="00A33040" w:rsidP="00AA6702">
            <w:pPr>
              <w:autoSpaceDE w:val="0"/>
              <w:autoSpaceDN w:val="0"/>
              <w:adjustRightInd w:val="0"/>
              <w:spacing w:before="40" w:after="40"/>
              <w:rPr>
                <w:rFonts w:cs="Arial"/>
                <w:sz w:val="16"/>
                <w:szCs w:val="16"/>
                <w:lang w:val="es-ES_tradnl" w:eastAsia="ja-JP" w:bidi="th-TH"/>
              </w:rPr>
            </w:pPr>
            <w:r w:rsidRPr="00332758">
              <w:rPr>
                <w:rFonts w:cs="Arial"/>
                <w:sz w:val="16"/>
                <w:szCs w:val="16"/>
                <w:lang w:val="es-ES_tradnl" w:eastAsia="ja-JP" w:bidi="th-TH"/>
              </w:rPr>
              <w:t>Todos los Estados miembros de la ASEAN</w:t>
            </w:r>
          </w:p>
        </w:tc>
        <w:tc>
          <w:tcPr>
            <w:tcW w:w="4132" w:type="dxa"/>
          </w:tcPr>
          <w:p w:rsidR="00A33040" w:rsidRPr="00A34388" w:rsidRDefault="00A33040" w:rsidP="00BE2BAE">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La traducción e impresión de “HONMONO” a idiomas de los países de la </w:t>
            </w:r>
            <w:r w:rsidR="00BE2BAE">
              <w:rPr>
                <w:rFonts w:cs="Arial"/>
                <w:color w:val="000000"/>
                <w:sz w:val="16"/>
                <w:szCs w:val="16"/>
                <w:lang w:val="es-ES_tradnl" w:eastAsia="ja-JP" w:bidi="th-TH"/>
              </w:rPr>
              <w:t>ASEAN está en marcha (publicació</w:t>
            </w:r>
            <w:r w:rsidRPr="00A34388">
              <w:rPr>
                <w:rFonts w:cs="Arial"/>
                <w:color w:val="000000"/>
                <w:sz w:val="16"/>
                <w:szCs w:val="16"/>
                <w:lang w:val="es-ES_tradnl" w:eastAsia="ja-JP" w:bidi="th-TH"/>
              </w:rPr>
              <w:t>n de la OMPI nº 1028)</w:t>
            </w:r>
          </w:p>
        </w:tc>
      </w:tr>
      <w:tr w:rsidR="00A33040" w:rsidRPr="00A9508D" w:rsidTr="00AA6702">
        <w:trPr>
          <w:trHeight w:val="634"/>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Traducción de leyes</w:t>
            </w:r>
          </w:p>
        </w:tc>
        <w:tc>
          <w:tcPr>
            <w:tcW w:w="1140" w:type="dxa"/>
          </w:tcPr>
          <w:p w:rsidR="00A33040" w:rsidRPr="00A34388" w:rsidRDefault="00A33040" w:rsidP="00BE2BAE">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Julio </w:t>
            </w:r>
            <w:r w:rsidR="00BE2BAE">
              <w:rPr>
                <w:rFonts w:cs="Arial"/>
                <w:color w:val="000000"/>
                <w:sz w:val="16"/>
                <w:szCs w:val="16"/>
                <w:lang w:val="es-ES_tradnl" w:eastAsia="ja-JP" w:bidi="th-TH"/>
              </w:rPr>
              <w:t xml:space="preserve">a diciembre </w:t>
            </w:r>
            <w:r w:rsidRPr="00A34388">
              <w:rPr>
                <w:rFonts w:cs="Arial"/>
                <w:color w:val="000000"/>
                <w:sz w:val="16"/>
                <w:szCs w:val="16"/>
                <w:lang w:val="es-ES_tradnl" w:eastAsia="ja-JP" w:bidi="th-TH"/>
              </w:rPr>
              <w:t xml:space="preserve">de 2013 </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Maldivas</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Los proyectos de leyes nacionales sobre marcas e indicaciones geográficas están siendo traducidos al idioma local</w:t>
            </w:r>
          </w:p>
        </w:tc>
      </w:tr>
      <w:tr w:rsidR="00A33040" w:rsidRPr="00A9508D" w:rsidTr="00AA6702">
        <w:trPr>
          <w:trHeight w:val="387"/>
        </w:trPr>
        <w:tc>
          <w:tcPr>
            <w:tcW w:w="1847"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332758">
              <w:rPr>
                <w:rFonts w:cs="Arial"/>
                <w:sz w:val="16"/>
                <w:szCs w:val="16"/>
                <w:lang w:val="es-ES_tradnl" w:eastAsia="ja-JP" w:bidi="th-TH"/>
              </w:rPr>
              <w:t>Suministro de material de referencia sobre P.I.</w:t>
            </w:r>
            <w:r w:rsidRPr="00A34388">
              <w:rPr>
                <w:rFonts w:cs="Arial"/>
                <w:color w:val="000000"/>
                <w:sz w:val="16"/>
                <w:szCs w:val="16"/>
                <w:lang w:val="es-ES_tradnl" w:eastAsia="ja-JP" w:bidi="th-TH"/>
              </w:rPr>
              <w:t xml:space="preserve"> </w:t>
            </w:r>
          </w:p>
        </w:tc>
        <w:tc>
          <w:tcPr>
            <w:tcW w:w="1140" w:type="dxa"/>
          </w:tcPr>
          <w:p w:rsidR="00A33040" w:rsidRPr="00A34388" w:rsidRDefault="00A33040" w:rsidP="00BE2BAE">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Noviembre 2013 </w:t>
            </w:r>
          </w:p>
        </w:tc>
        <w:tc>
          <w:tcPr>
            <w:tcW w:w="1978"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Camboya y Myanmar</w:t>
            </w:r>
          </w:p>
        </w:tc>
        <w:tc>
          <w:tcPr>
            <w:tcW w:w="4132" w:type="dxa"/>
          </w:tcPr>
          <w:p w:rsidR="00A33040" w:rsidRPr="00A34388" w:rsidRDefault="00A33040" w:rsidP="00AA6702">
            <w:pPr>
              <w:autoSpaceDE w:val="0"/>
              <w:autoSpaceDN w:val="0"/>
              <w:adjustRightInd w:val="0"/>
              <w:spacing w:before="40" w:after="40"/>
              <w:rPr>
                <w:rFonts w:cs="Arial"/>
                <w:color w:val="000000"/>
                <w:sz w:val="16"/>
                <w:szCs w:val="16"/>
                <w:lang w:val="es-ES_tradnl" w:eastAsia="ja-JP" w:bidi="th-TH"/>
              </w:rPr>
            </w:pPr>
            <w:r w:rsidRPr="00A34388">
              <w:rPr>
                <w:rFonts w:cs="Arial"/>
                <w:color w:val="000000"/>
                <w:sz w:val="16"/>
                <w:szCs w:val="16"/>
                <w:lang w:val="es-ES_tradnl" w:eastAsia="ja-JP" w:bidi="th-TH"/>
              </w:rPr>
              <w:t xml:space="preserve">Se facilitó al Ministerio de Ciencia y Tecnología de Myanmar  un conjunto de materiales de referencia de P.I., y otro conjunto de materiales va a ponerse a disposición del Ministerio de Comercio de Camboya </w:t>
            </w:r>
          </w:p>
        </w:tc>
      </w:tr>
    </w:tbl>
    <w:p w:rsidR="00A33040" w:rsidRPr="00332758" w:rsidRDefault="00A33040" w:rsidP="00A33040">
      <w:pPr>
        <w:keepNext/>
        <w:keepLines/>
        <w:rPr>
          <w:rFonts w:cs="Arial"/>
          <w:b/>
          <w:szCs w:val="20"/>
          <w:lang w:val="es-ES_tradnl"/>
        </w:rPr>
      </w:pPr>
    </w:p>
    <w:p w:rsidR="00A33040" w:rsidRPr="00332758" w:rsidRDefault="00A33040" w:rsidP="00A33040">
      <w:pPr>
        <w:rPr>
          <w:rFonts w:cs="Arial"/>
          <w:sz w:val="18"/>
          <w:szCs w:val="18"/>
          <w:lang w:val="es-ES_tradnl"/>
        </w:rPr>
      </w:pPr>
    </w:p>
    <w:p w:rsidR="00A33040" w:rsidRPr="00332758" w:rsidRDefault="00A33040" w:rsidP="00A33040">
      <w:pPr>
        <w:rPr>
          <w:rFonts w:cs="Arial"/>
          <w:b/>
          <w:szCs w:val="20"/>
          <w:lang w:val="es-ES_tradnl"/>
        </w:rPr>
      </w:pPr>
      <w:r w:rsidRPr="00332758">
        <w:rPr>
          <w:rFonts w:cs="Arial"/>
          <w:b/>
          <w:szCs w:val="20"/>
          <w:lang w:val="es-ES_tradnl"/>
        </w:rPr>
        <w:t>JAPÓN – PROPIEDAD INDUSTRIAL – Contribuciones de donantes y gastos en 2013</w:t>
      </w:r>
      <w:r w:rsidRPr="00332758">
        <w:rPr>
          <w:rFonts w:cs="Arial"/>
          <w:b/>
          <w:szCs w:val="20"/>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516"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78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85"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2278"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1.914.176</w:t>
            </w:r>
          </w:p>
        </w:tc>
        <w:tc>
          <w:tcPr>
            <w:tcW w:w="1516"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4.332.131</w:t>
            </w:r>
          </w:p>
        </w:tc>
        <w:tc>
          <w:tcPr>
            <w:tcW w:w="178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1.958.836</w:t>
            </w:r>
          </w:p>
        </w:tc>
        <w:tc>
          <w:tcPr>
            <w:tcW w:w="1685"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2278"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4.287.471</w:t>
            </w:r>
          </w:p>
        </w:tc>
      </w:tr>
    </w:tbl>
    <w:p w:rsidR="00A33040" w:rsidRPr="00332758" w:rsidRDefault="00A33040" w:rsidP="00A33040">
      <w:pPr>
        <w:spacing w:before="120"/>
        <w:rPr>
          <w:sz w:val="18"/>
          <w:szCs w:val="18"/>
          <w:lang w:val="es-ES_tradnl"/>
        </w:rPr>
      </w:pPr>
      <w:r w:rsidRPr="00332758">
        <w:rPr>
          <w:i/>
          <w:sz w:val="18"/>
          <w:szCs w:val="18"/>
          <w:vertAlign w:val="superscript"/>
          <w:lang w:val="es-ES_tradnl"/>
        </w:rPr>
        <w:t xml:space="preserve">1 </w:t>
      </w:r>
      <w:r w:rsidRPr="00BE2BAE">
        <w:rPr>
          <w:i/>
          <w:sz w:val="18"/>
          <w:szCs w:val="18"/>
          <w:lang w:val="es-ES_tradnl"/>
        </w:rPr>
        <w:t>Estados financieros de la OMPI de 2013 (Anexo III)</w:t>
      </w:r>
    </w:p>
    <w:p w:rsidR="00A33040" w:rsidRPr="00332758" w:rsidRDefault="00A33040" w:rsidP="00A33040">
      <w:pPr>
        <w:rPr>
          <w:rFonts w:cs="Arial"/>
          <w:b/>
          <w:szCs w:val="20"/>
          <w:lang w:val="es-ES_tradnl"/>
        </w:rPr>
      </w:pPr>
    </w:p>
    <w:p w:rsidR="00A33040" w:rsidRPr="00332758" w:rsidRDefault="00A33040" w:rsidP="00A33040">
      <w:pPr>
        <w:rPr>
          <w:rFonts w:cs="Arial"/>
          <w:b/>
          <w:szCs w:val="2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JAPÓN – P.I./ÁFRICA–PMA</w:t>
      </w:r>
    </w:p>
    <w:p w:rsidR="00A33040" w:rsidRPr="00A34388" w:rsidRDefault="00A33040" w:rsidP="00A33040">
      <w:pPr>
        <w:keepNext/>
        <w:keepLines/>
        <w:rPr>
          <w:rFonts w:cs="Arial"/>
          <w:b/>
          <w:szCs w:val="20"/>
          <w:lang w:val="es-ES_tradnl"/>
        </w:rPr>
      </w:pPr>
    </w:p>
    <w:tbl>
      <w:tblPr>
        <w:tblW w:w="9075"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7"/>
        <w:gridCol w:w="1985"/>
        <w:gridCol w:w="4110"/>
      </w:tblGrid>
      <w:tr w:rsidR="00A33040" w:rsidRPr="00A9508D" w:rsidTr="00AA6702">
        <w:tc>
          <w:tcPr>
            <w:tcW w:w="9075" w:type="dxa"/>
            <w:gridSpan w:val="4"/>
            <w:tcBorders>
              <w:top w:val="single" w:sz="4" w:space="0" w:color="auto"/>
              <w:bottom w:val="single" w:sz="4" w:space="0" w:color="auto"/>
            </w:tcBorders>
            <w:shd w:val="clear" w:color="auto" w:fill="CCFFFF"/>
            <w:vAlign w:val="center"/>
          </w:tcPr>
          <w:p w:rsidR="00A33040" w:rsidRPr="00332758" w:rsidRDefault="00A33040" w:rsidP="00AA6702">
            <w:pPr>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en la infraestructura técnica y de conocimientos de las oficinas y demás instituciones de P.I. que les permite prestar mejores servicios</w:t>
            </w:r>
          </w:p>
        </w:tc>
      </w:tr>
      <w:tr w:rsidR="00A33040" w:rsidRPr="00A34388" w:rsidTr="00AA6702">
        <w:tc>
          <w:tcPr>
            <w:tcW w:w="1843" w:type="dxa"/>
            <w:tcBorders>
              <w:top w:val="single" w:sz="4" w:space="0" w:color="auto"/>
            </w:tcBorders>
            <w:vAlign w:val="center"/>
          </w:tcPr>
          <w:p w:rsidR="00A33040" w:rsidRPr="00A34388" w:rsidRDefault="00A33040" w:rsidP="00AA6702">
            <w:pPr>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auto"/>
            </w:tcBorders>
            <w:shd w:val="clear" w:color="auto" w:fill="auto"/>
            <w:tcMar>
              <w:top w:w="110" w:type="dxa"/>
            </w:tcMar>
            <w:vAlign w:val="center"/>
          </w:tcPr>
          <w:p w:rsidR="00A33040" w:rsidRPr="00A34388" w:rsidRDefault="00A33040" w:rsidP="00BE2BAE">
            <w:pPr>
              <w:rPr>
                <w:rFonts w:cs="Arial"/>
                <w:color w:val="808080"/>
                <w:sz w:val="16"/>
                <w:szCs w:val="16"/>
                <w:lang w:val="es-ES_tradnl"/>
              </w:rPr>
            </w:pPr>
            <w:r w:rsidRPr="00332758">
              <w:rPr>
                <w:rFonts w:cs="Arial"/>
                <w:b/>
                <w:sz w:val="16"/>
                <w:szCs w:val="16"/>
                <w:lang w:val="es-ES_tradnl"/>
              </w:rPr>
              <w:t>País anfitrión</w:t>
            </w:r>
            <w:r w:rsidR="00BE2BAE">
              <w:rPr>
                <w:rFonts w:cs="Arial"/>
                <w:b/>
                <w:sz w:val="16"/>
                <w:szCs w:val="16"/>
                <w:lang w:val="es-ES_tradnl"/>
              </w:rPr>
              <w:t xml:space="preserve"> </w:t>
            </w:r>
            <w:r w:rsidRPr="00332758">
              <w:rPr>
                <w:rFonts w:cs="Arial"/>
                <w:b/>
                <w:sz w:val="16"/>
                <w:szCs w:val="16"/>
                <w:lang w:val="es-ES_tradnl"/>
              </w:rPr>
              <w:t>/</w:t>
            </w:r>
            <w:r w:rsidR="00BE2BAE">
              <w:rPr>
                <w:rFonts w:cs="Arial"/>
                <w:b/>
                <w:sz w:val="16"/>
                <w:szCs w:val="16"/>
                <w:lang w:val="es-ES_tradnl"/>
              </w:rPr>
              <w:t xml:space="preserve"> B</w:t>
            </w:r>
            <w:r w:rsidRPr="00332758">
              <w:rPr>
                <w:rFonts w:cs="Arial"/>
                <w:b/>
                <w:sz w:val="16"/>
                <w:szCs w:val="16"/>
                <w:lang w:val="es-ES_tradnl"/>
              </w:rPr>
              <w:t>eneficiarios</w:t>
            </w:r>
          </w:p>
        </w:tc>
        <w:tc>
          <w:tcPr>
            <w:tcW w:w="4110" w:type="dxa"/>
            <w:tcBorders>
              <w:top w:val="single" w:sz="4" w:space="0" w:color="auto"/>
            </w:tcBorders>
            <w:shd w:val="clear" w:color="auto" w:fill="FFFFFF"/>
            <w:tcMar>
              <w:top w:w="110" w:type="dxa"/>
            </w:tcMar>
            <w:vAlign w:val="center"/>
          </w:tcPr>
          <w:p w:rsidR="00A33040" w:rsidRPr="00332758" w:rsidRDefault="00A33040" w:rsidP="00AA6702">
            <w:pPr>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43" w:type="dxa"/>
          </w:tcPr>
          <w:p w:rsidR="00A33040" w:rsidRPr="00332758" w:rsidRDefault="00A33040" w:rsidP="00AA6702">
            <w:pPr>
              <w:autoSpaceDE w:val="0"/>
              <w:autoSpaceDN w:val="0"/>
              <w:adjustRightInd w:val="0"/>
              <w:spacing w:before="120" w:after="120"/>
              <w:rPr>
                <w:rFonts w:cs="Arial"/>
                <w:sz w:val="16"/>
                <w:szCs w:val="16"/>
                <w:lang w:val="es-ES_tradnl" w:eastAsia="ja-JP" w:bidi="th-TH"/>
              </w:rPr>
            </w:pPr>
            <w:r w:rsidRPr="00332758">
              <w:rPr>
                <w:rFonts w:cs="Arial"/>
                <w:sz w:val="16"/>
                <w:szCs w:val="16"/>
                <w:lang w:val="es-ES_tradnl" w:eastAsia="ja-JP" w:bidi="th-TH"/>
              </w:rPr>
              <w:t>Taller Regional para examinadores de patentes de países de habla francesa sobre utilización de resultados de examen de otras oficinas de P.I.</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30 de enero a 1 de febrero de 2013</w:t>
            </w:r>
          </w:p>
        </w:tc>
        <w:tc>
          <w:tcPr>
            <w:tcW w:w="1985" w:type="dxa"/>
          </w:tcPr>
          <w:p w:rsidR="00A33040" w:rsidRPr="00A34388" w:rsidRDefault="00A33040" w:rsidP="00AA6702">
            <w:pPr>
              <w:autoSpaceDE w:val="0"/>
              <w:autoSpaceDN w:val="0"/>
              <w:adjustRightInd w:val="0"/>
              <w:spacing w:before="120" w:after="120"/>
              <w:rPr>
                <w:rFonts w:cs="Arial"/>
                <w:color w:val="808080"/>
                <w:sz w:val="16"/>
                <w:szCs w:val="16"/>
                <w:lang w:val="es-ES_tradnl" w:eastAsia="ja-JP" w:bidi="th-TH"/>
              </w:rPr>
            </w:pPr>
            <w:r w:rsidRPr="00332758">
              <w:rPr>
                <w:rFonts w:cs="Arial"/>
                <w:sz w:val="16"/>
                <w:szCs w:val="16"/>
                <w:lang w:val="es-ES_tradnl" w:eastAsia="ja-JP" w:bidi="th-TH"/>
              </w:rPr>
              <w:t>Camerún/17 participantes de 17 países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 xml:space="preserve">Los objetivos del Taller fueron los siguientes:  i) ofrecer a los participantes la oportunidad de comprender la eficacia de utilizar los resultados del examen preliminar (informes de búsqueda y/o examen) preparados por otras oficinas de P.I. en la fase nacional del PCT, o los resultados del examen final (reivindicaciones concedidas o rechazadas) para reducir el volumen de trabajo de las oficinas y agilizar los procedimientos de obtención de patentes;  ii) desarrollar técnicas para utilizar servicios como el de cooperación internacional en el examen, de la OMPI, y la </w:t>
            </w:r>
            <w:r w:rsidRPr="00332758">
              <w:rPr>
                <w:rFonts w:cs="Arial"/>
                <w:i/>
                <w:sz w:val="16"/>
                <w:szCs w:val="16"/>
                <w:lang w:val="es-ES_tradnl" w:eastAsia="ja-JP" w:bidi="th-TH"/>
              </w:rPr>
              <w:t>Advanced Industrial Property Network</w:t>
            </w:r>
            <w:r w:rsidRPr="00332758">
              <w:rPr>
                <w:rFonts w:cs="Arial"/>
                <w:sz w:val="16"/>
                <w:szCs w:val="16"/>
                <w:lang w:val="es-ES_tradnl" w:eastAsia="ja-JP" w:bidi="th-TH"/>
              </w:rPr>
              <w:t xml:space="preserve"> de la Oficina </w:t>
            </w:r>
            <w:r w:rsidRPr="00332758">
              <w:rPr>
                <w:rFonts w:cs="Arial"/>
                <w:sz w:val="16"/>
                <w:szCs w:val="16"/>
                <w:lang w:val="es-ES_tradnl" w:eastAsia="ja-JP" w:bidi="th-TH"/>
              </w:rPr>
              <w:lastRenderedPageBreak/>
              <w:t>Japonesa de Patentes;  y iii) intercambiar las prácticas óptimas de distintas oficinas de P.I. y examinadores sobre los problemas a los que se enfrentan al agilizar los procesos de examen y mejorar la calidad de las patentes.</w:t>
            </w:r>
          </w:p>
        </w:tc>
      </w:tr>
      <w:tr w:rsidR="00A33040" w:rsidRPr="00A9508D" w:rsidTr="00AA6702">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lastRenderedPageBreak/>
              <w:t>Puesta en marcha de proyectos de captura de datos</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Enero a diciembre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Mauricio y Zimbabwe</w:t>
            </w:r>
          </w:p>
        </w:tc>
        <w:tc>
          <w:tcPr>
            <w:tcW w:w="4110" w:type="dxa"/>
          </w:tcPr>
          <w:p w:rsidR="00A33040" w:rsidRPr="00A34388" w:rsidRDefault="00A33040" w:rsidP="00BE2BAE">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Prestar asistencia en la captura y plasmación en formato electrónico de expedientes de marcas mantenidos aún en formato papel, en preparación para el despliegue del Sistema de Automatización de la Propiedad Industrial (IPAS) mediante la subcontratación de un contratista especializado local.  El objetivo es desarrollar y alimentar una base de datos existente que contiene información bibliográfica textual, imágenes digitalizadas seleccionadas, e información de flujo de trabajo de los expedientes de propiedad industrial que se mantienen </w:t>
            </w:r>
            <w:r w:rsidR="00BE2BAE">
              <w:rPr>
                <w:rFonts w:cs="Arial"/>
                <w:color w:val="000000"/>
                <w:sz w:val="16"/>
                <w:szCs w:val="16"/>
                <w:lang w:val="es-ES_tradnl" w:eastAsia="ja-JP" w:bidi="th-TH"/>
              </w:rPr>
              <w:t xml:space="preserve">en las oficinas de </w:t>
            </w:r>
            <w:r w:rsidRPr="00A34388">
              <w:rPr>
                <w:rFonts w:cs="Arial"/>
                <w:color w:val="000000"/>
                <w:sz w:val="16"/>
                <w:szCs w:val="16"/>
                <w:lang w:val="es-ES_tradnl" w:eastAsia="ja-JP" w:bidi="th-TH"/>
              </w:rPr>
              <w:t>P.I.</w:t>
            </w:r>
          </w:p>
        </w:tc>
      </w:tr>
      <w:tr w:rsidR="00A33040" w:rsidRPr="00A9508D" w:rsidTr="00AA6702">
        <w:tc>
          <w:tcPr>
            <w:tcW w:w="1843" w:type="dxa"/>
          </w:tcPr>
          <w:p w:rsidR="00A33040" w:rsidRPr="00A34388" w:rsidRDefault="00A33040" w:rsidP="00AA6702">
            <w:pPr>
              <w:autoSpaceDE w:val="0"/>
              <w:autoSpaceDN w:val="0"/>
              <w:adjustRightInd w:val="0"/>
              <w:spacing w:before="120" w:after="60"/>
              <w:rPr>
                <w:rFonts w:cs="Arial"/>
                <w:color w:val="000000"/>
                <w:sz w:val="16"/>
                <w:szCs w:val="16"/>
                <w:lang w:val="es-ES_tradnl" w:eastAsia="ja-JP" w:bidi="th-TH"/>
              </w:rPr>
            </w:pPr>
            <w:r w:rsidRPr="00A34388">
              <w:rPr>
                <w:rFonts w:cs="Arial"/>
                <w:color w:val="000000"/>
                <w:sz w:val="16"/>
                <w:szCs w:val="16"/>
                <w:lang w:val="es-ES_tradnl" w:eastAsia="ja-JP" w:bidi="th-TH"/>
              </w:rPr>
              <w:t xml:space="preserve">Segundo taller del centro de apoyo a la tecnología y la innovación (CATI) sobre el desarrollo del proyecto CATI, la búsqueda de patentes y publicaciones científicas y técnicas, y la puesta en marcha de centros CATI  </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25 a 27 de marzo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Rwanda/50 participantes locales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i) Debatir con las autoridades nacionales la planificación del proyecto CATI;  ii) crear concienciación y formar a investigadores, profesores universitarios y estudiantes en la búsqueda y utilización de información sobre patentes y bibliografía ajena a las patentes;  y iii) formar a los formadores para que realicen presentaciones sobre los CATI y pongan en marcha la red de CATIS del país</w:t>
            </w:r>
          </w:p>
        </w:tc>
      </w:tr>
      <w:tr w:rsidR="00A33040" w:rsidRPr="00A9508D" w:rsidTr="00AA6702">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Taller regional de formación de la OMPI sobre el sistema IPAS para Estados miembros africanos</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14 a 18 de octubre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Zimbabwe/21 participantes africanos</w:t>
            </w:r>
          </w:p>
        </w:tc>
        <w:tc>
          <w:tcPr>
            <w:tcW w:w="4110" w:type="dxa"/>
          </w:tcPr>
          <w:p w:rsidR="00A33040" w:rsidRPr="00A34388" w:rsidRDefault="00A33040" w:rsidP="00AA6702">
            <w:pPr>
              <w:autoSpaceDE w:val="0"/>
              <w:autoSpaceDN w:val="0"/>
              <w:adjustRightInd w:val="0"/>
              <w:spacing w:before="120" w:after="60"/>
              <w:rPr>
                <w:rFonts w:cs="Arial"/>
                <w:color w:val="000000"/>
                <w:sz w:val="16"/>
                <w:szCs w:val="16"/>
                <w:lang w:val="es-ES_tradnl" w:eastAsia="ja-JP" w:bidi="th-TH"/>
              </w:rPr>
            </w:pPr>
            <w:r w:rsidRPr="00A34388">
              <w:rPr>
                <w:rFonts w:cs="Arial"/>
                <w:color w:val="000000"/>
                <w:sz w:val="16"/>
                <w:szCs w:val="16"/>
                <w:lang w:val="es-ES_tradnl" w:eastAsia="ja-JP" w:bidi="th-TH"/>
              </w:rPr>
              <w:t>i) Fortalecer la capacidad y destrezas técnicas de los centros del IPAS, tanto de tipo técnico como operativo;  ii) mejorar el conocimiento sobre la arquitectura de ambos sistemas y poner en marcha una red regional de apoyo al mismo;  y iii) intercambiar conocimientos y experiencias sobre apoyo y solución de problemas del IPAS en la región</w:t>
            </w:r>
          </w:p>
        </w:tc>
      </w:tr>
      <w:tr w:rsidR="00A33040" w:rsidRPr="00A9508D" w:rsidTr="00AA6702">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Puesta en marcha de CATI en la República Unida de Tanzanía, Dar es Salaam </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30 de julio a 1 de agosto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República Unida de Tanzanía /50 participantes locales </w:t>
            </w:r>
          </w:p>
        </w:tc>
        <w:tc>
          <w:tcPr>
            <w:tcW w:w="4110" w:type="dxa"/>
          </w:tcPr>
          <w:p w:rsidR="00A33040" w:rsidRPr="00A34388" w:rsidRDefault="00A33040" w:rsidP="00AA6702">
            <w:pPr>
              <w:autoSpaceDE w:val="0"/>
              <w:autoSpaceDN w:val="0"/>
              <w:adjustRightInd w:val="0"/>
              <w:spacing w:before="120" w:after="60"/>
              <w:rPr>
                <w:rFonts w:cs="Arial"/>
                <w:color w:val="000000"/>
                <w:sz w:val="16"/>
                <w:szCs w:val="16"/>
                <w:lang w:val="es-ES_tradnl" w:eastAsia="ja-JP" w:bidi="th-TH"/>
              </w:rPr>
            </w:pPr>
            <w:r w:rsidRPr="00A34388">
              <w:rPr>
                <w:rFonts w:cs="Arial"/>
                <w:color w:val="000000"/>
                <w:sz w:val="16"/>
                <w:szCs w:val="16"/>
                <w:lang w:val="es-ES_tradnl" w:eastAsia="ja-JP" w:bidi="th-TH"/>
              </w:rPr>
              <w:t xml:space="preserve">Ofrecer infraestructura básica válida para acceder a Internet y formar personal acerca de los CATI para que preste asistencia a los usuarios de los países en desarrollo con el fin de que usen y aprovechen eficazmente las tecnologías que se encuentran en las bases de datos de Internet </w:t>
            </w:r>
          </w:p>
        </w:tc>
      </w:tr>
      <w:tr w:rsidR="00A33040" w:rsidRPr="00A9508D" w:rsidTr="00AA6702">
        <w:tc>
          <w:tcPr>
            <w:tcW w:w="1843"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Reunión del centro de apoyo a la tecnología y la innovación (CATI) sobre el desarrollo del proyecto CATI y la búsqueda de patentes y de bases de datos de publicaciones técnicas y científicas  </w:t>
            </w:r>
          </w:p>
        </w:tc>
        <w:tc>
          <w:tcPr>
            <w:tcW w:w="1137"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16 a 18 de julio de 2013</w:t>
            </w:r>
          </w:p>
        </w:tc>
        <w:tc>
          <w:tcPr>
            <w:tcW w:w="1985"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Zambia/35 participantes locales</w:t>
            </w:r>
          </w:p>
        </w:tc>
        <w:tc>
          <w:tcPr>
            <w:tcW w:w="411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i) Reunirse con las partes interesadas de los CATI para revisar el documento del proyecto CATI y debatir la planificación y detalles de aplicación a nivel nacional en Zambia;  ii) realizar un segundo seminario CATI de formación de un día sobre la búsqueda de información de patentes, en particular sobre los tipos de búsqueda en bases de datos de patentes y la búsqueda en bases de datos científicas y técnicas;  y iii) realizar un taller de un día de formación de formadores para proporcionar una formación en profundidad al personal CATI y a los representantes de diversas partes interesadas</w:t>
            </w:r>
          </w:p>
        </w:tc>
      </w:tr>
      <w:tr w:rsidR="00A33040" w:rsidRPr="00A9508D" w:rsidTr="00AA6702">
        <w:tc>
          <w:tcPr>
            <w:tcW w:w="9075"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1" w:hanging="1741"/>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w:t>
            </w:r>
          </w:p>
        </w:tc>
      </w:tr>
      <w:tr w:rsidR="00A33040" w:rsidRPr="00A34388" w:rsidTr="004C0FD5">
        <w:tc>
          <w:tcPr>
            <w:tcW w:w="1843" w:type="dxa"/>
            <w:tcBorders>
              <w:top w:val="single" w:sz="4" w:space="0" w:color="auto"/>
            </w:tcBorders>
            <w:vAlign w:val="center"/>
          </w:tcPr>
          <w:p w:rsidR="00A33040" w:rsidRPr="00A34388" w:rsidRDefault="00A33040" w:rsidP="00AA6702">
            <w:pPr>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País anfitrión</w:t>
            </w:r>
            <w:r w:rsidR="00BE2BAE">
              <w:rPr>
                <w:rFonts w:cs="Arial"/>
                <w:b/>
                <w:sz w:val="16"/>
                <w:szCs w:val="16"/>
                <w:lang w:val="es-ES_tradnl"/>
              </w:rPr>
              <w:t xml:space="preserve"> </w:t>
            </w:r>
            <w:r w:rsidRPr="00332758">
              <w:rPr>
                <w:rFonts w:cs="Arial"/>
                <w:b/>
                <w:sz w:val="16"/>
                <w:szCs w:val="16"/>
                <w:lang w:val="es-ES_tradnl"/>
              </w:rPr>
              <w:t>/</w:t>
            </w:r>
            <w:r w:rsidR="00BE2BAE">
              <w:rPr>
                <w:rFonts w:cs="Arial"/>
                <w:b/>
                <w:sz w:val="16"/>
                <w:szCs w:val="16"/>
                <w:lang w:val="es-ES_tradnl"/>
              </w:rPr>
              <w:t xml:space="preserve"> </w:t>
            </w:r>
            <w:r w:rsidRPr="00332758">
              <w:rPr>
                <w:rFonts w:cs="Arial"/>
                <w:b/>
                <w:sz w:val="16"/>
                <w:szCs w:val="16"/>
                <w:lang w:val="es-ES_tradnl"/>
              </w:rPr>
              <w:t>Beneficiarios</w:t>
            </w:r>
          </w:p>
        </w:tc>
        <w:tc>
          <w:tcPr>
            <w:tcW w:w="4110" w:type="dxa"/>
            <w:tcBorders>
              <w:top w:val="single" w:sz="4" w:space="0" w:color="auto"/>
            </w:tcBorders>
            <w:shd w:val="clear" w:color="auto" w:fill="FFFFFF"/>
            <w:tcMar>
              <w:top w:w="110" w:type="dxa"/>
            </w:tcMar>
            <w:vAlign w:val="center"/>
          </w:tcPr>
          <w:p w:rsidR="00A33040" w:rsidRPr="00332758" w:rsidRDefault="00A33040" w:rsidP="00AA6702">
            <w:pPr>
              <w:rPr>
                <w:rFonts w:cs="Arial"/>
                <w:sz w:val="16"/>
                <w:szCs w:val="16"/>
                <w:lang w:val="es-ES_tradnl"/>
              </w:rPr>
            </w:pPr>
            <w:r w:rsidRPr="00332758">
              <w:rPr>
                <w:rFonts w:cs="Arial"/>
                <w:b/>
                <w:sz w:val="16"/>
                <w:szCs w:val="16"/>
                <w:lang w:val="es-ES_tradnl"/>
              </w:rPr>
              <w:t>Propósito(s)/Descripción</w:t>
            </w:r>
          </w:p>
        </w:tc>
      </w:tr>
      <w:tr w:rsidR="00A33040" w:rsidRPr="00A9508D" w:rsidTr="004C0FD5">
        <w:tc>
          <w:tcPr>
            <w:tcW w:w="1843" w:type="dxa"/>
          </w:tcPr>
          <w:p w:rsidR="00A33040" w:rsidRPr="00A34388" w:rsidRDefault="00BE2BAE" w:rsidP="00BE2BAE">
            <w:pPr>
              <w:autoSpaceDE w:val="0"/>
              <w:autoSpaceDN w:val="0"/>
              <w:adjustRightInd w:val="0"/>
              <w:spacing w:before="120" w:after="120"/>
              <w:rPr>
                <w:rFonts w:cs="Arial"/>
                <w:color w:val="000000"/>
                <w:sz w:val="16"/>
                <w:szCs w:val="16"/>
                <w:lang w:val="es-ES_tradnl"/>
              </w:rPr>
            </w:pPr>
            <w:r>
              <w:rPr>
                <w:rFonts w:cs="Arial"/>
                <w:color w:val="000000"/>
                <w:sz w:val="16"/>
                <w:szCs w:val="16"/>
                <w:lang w:val="es-ES_tradnl"/>
              </w:rPr>
              <w:t>Curso de formación sobre la p</w:t>
            </w:r>
            <w:r w:rsidR="00A33040" w:rsidRPr="00A34388">
              <w:rPr>
                <w:rFonts w:cs="Arial"/>
                <w:color w:val="000000"/>
                <w:sz w:val="16"/>
                <w:szCs w:val="16"/>
                <w:lang w:val="es-ES_tradnl"/>
              </w:rPr>
              <w:t>ráctica de examen en el ámbito de la propiedad industrial (programa básico)</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21 de enero a 1 de febrero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Japón/3 participantes africanos </w:t>
            </w:r>
            <w:r w:rsidR="00BE2BAE">
              <w:rPr>
                <w:rFonts w:cs="Arial"/>
                <w:color w:val="000000"/>
                <w:sz w:val="16"/>
                <w:szCs w:val="16"/>
                <w:lang w:val="es-ES_tradnl"/>
              </w:rPr>
              <w:t>de Etiopía, Marruecos y Nigeria</w:t>
            </w:r>
          </w:p>
        </w:tc>
        <w:tc>
          <w:tcPr>
            <w:tcW w:w="4110" w:type="dxa"/>
          </w:tcPr>
          <w:p w:rsidR="00A33040" w:rsidRPr="00A34388" w:rsidRDefault="00A33040" w:rsidP="00AA6702">
            <w:pPr>
              <w:autoSpaceDE w:val="0"/>
              <w:autoSpaceDN w:val="0"/>
              <w:adjustRightInd w:val="0"/>
              <w:spacing w:before="120" w:after="80"/>
              <w:rPr>
                <w:rFonts w:cs="Arial"/>
                <w:color w:val="000000"/>
                <w:sz w:val="16"/>
                <w:szCs w:val="16"/>
                <w:lang w:val="es-ES_tradnl" w:eastAsia="ja-JP" w:bidi="th-TH"/>
              </w:rPr>
            </w:pPr>
            <w:r w:rsidRPr="00332758">
              <w:rPr>
                <w:rFonts w:cs="Arial"/>
                <w:sz w:val="16"/>
                <w:szCs w:val="16"/>
                <w:lang w:val="es-ES_tradnl" w:eastAsia="ja-JP" w:bidi="th-TH"/>
              </w:rPr>
              <w:t>Ayudar a los participantes a adquirir conocimientos básicos sobre el derecho y los procedimientos de examen de fondo en la esfera del examen de los derechos de propiedad industrial a través de ponencias, prácticas y estudios de casos.</w:t>
            </w:r>
          </w:p>
        </w:tc>
      </w:tr>
      <w:tr w:rsidR="00A33040" w:rsidRPr="00A9508D" w:rsidTr="004C0FD5">
        <w:tc>
          <w:tcPr>
            <w:tcW w:w="1843" w:type="dxa"/>
          </w:tcPr>
          <w:p w:rsidR="00A33040" w:rsidRPr="00A34388" w:rsidRDefault="00BE2BAE" w:rsidP="00BE2BAE">
            <w:pPr>
              <w:keepNext/>
              <w:autoSpaceDE w:val="0"/>
              <w:autoSpaceDN w:val="0"/>
              <w:adjustRightInd w:val="0"/>
              <w:spacing w:before="120" w:after="120"/>
              <w:rPr>
                <w:rFonts w:cs="Arial"/>
                <w:color w:val="000000"/>
                <w:sz w:val="16"/>
                <w:szCs w:val="16"/>
                <w:lang w:val="es-ES_tradnl"/>
              </w:rPr>
            </w:pPr>
            <w:r>
              <w:rPr>
                <w:rFonts w:cs="Arial"/>
                <w:color w:val="000000"/>
                <w:sz w:val="16"/>
                <w:szCs w:val="16"/>
                <w:lang w:val="es-ES_tradnl"/>
              </w:rPr>
              <w:lastRenderedPageBreak/>
              <w:t>Curso de formación en la a</w:t>
            </w:r>
            <w:r w:rsidR="00A33040" w:rsidRPr="00A34388">
              <w:rPr>
                <w:rFonts w:cs="Arial"/>
                <w:color w:val="000000"/>
                <w:sz w:val="16"/>
                <w:szCs w:val="16"/>
                <w:lang w:val="es-ES_tradnl"/>
              </w:rPr>
              <w:t>dministración de la propiedad industrial</w:t>
            </w:r>
          </w:p>
        </w:tc>
        <w:tc>
          <w:tcPr>
            <w:tcW w:w="1137"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4 a 8 de febrero de 2013</w:t>
            </w:r>
          </w:p>
        </w:tc>
        <w:tc>
          <w:tcPr>
            <w:tcW w:w="1985"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Japón/participante de Túnez</w:t>
            </w:r>
          </w:p>
        </w:tc>
        <w:tc>
          <w:tcPr>
            <w:tcW w:w="4110" w:type="dxa"/>
          </w:tcPr>
          <w:p w:rsidR="00A33040" w:rsidRPr="00A34388" w:rsidRDefault="00A33040" w:rsidP="00AA6702">
            <w:pPr>
              <w:keepNext/>
              <w:autoSpaceDE w:val="0"/>
              <w:autoSpaceDN w:val="0"/>
              <w:adjustRightInd w:val="0"/>
              <w:spacing w:before="120" w:after="80"/>
              <w:rPr>
                <w:rFonts w:cs="Arial"/>
                <w:color w:val="000000"/>
                <w:sz w:val="16"/>
                <w:szCs w:val="16"/>
                <w:lang w:val="es-ES_tradnl" w:eastAsia="ja-JP" w:bidi="th-TH"/>
              </w:rPr>
            </w:pPr>
            <w:r w:rsidRPr="00A34388">
              <w:rPr>
                <w:rFonts w:cs="Arial"/>
                <w:color w:val="000000"/>
                <w:sz w:val="16"/>
                <w:szCs w:val="16"/>
                <w:lang w:val="es-ES_tradnl" w:eastAsia="ja-JP" w:bidi="th-TH"/>
              </w:rPr>
              <w:t xml:space="preserve">i) Ampliar los conocimientos de los participantes sobre prácticas modernas de gestión de la P.I.;  y ii) mejorar la capacidad de los participantes de formular, aplicar y evaluar planes de oficina de P.I. sujetos a plazo, orientados a resultados y con unos efectos mensurables </w:t>
            </w:r>
          </w:p>
        </w:tc>
      </w:tr>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Curso de formación para examinadores de patentes sobre tecnologías específicas  (programa informático)</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13 a 20 de febrero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Japón/2 participantes africanos </w:t>
            </w:r>
            <w:r w:rsidR="00BE2BAE">
              <w:rPr>
                <w:rFonts w:cs="Arial"/>
                <w:color w:val="000000"/>
                <w:sz w:val="16"/>
                <w:szCs w:val="16"/>
                <w:lang w:val="es-ES_tradnl"/>
              </w:rPr>
              <w:t>de Marruecos y Kenya</w:t>
            </w:r>
          </w:p>
        </w:tc>
        <w:tc>
          <w:tcPr>
            <w:tcW w:w="4110" w:type="dxa"/>
          </w:tcPr>
          <w:p w:rsidR="00A33040" w:rsidRPr="00332758" w:rsidRDefault="00A33040" w:rsidP="00AA6702">
            <w:pPr>
              <w:autoSpaceDE w:val="0"/>
              <w:autoSpaceDN w:val="0"/>
              <w:adjustRightInd w:val="0"/>
              <w:spacing w:before="120" w:after="120"/>
              <w:rPr>
                <w:rFonts w:cs="Arial"/>
                <w:sz w:val="16"/>
                <w:szCs w:val="16"/>
                <w:lang w:val="es-ES_tradnl" w:eastAsia="ja-JP" w:bidi="th-TH"/>
              </w:rPr>
            </w:pPr>
            <w:r w:rsidRPr="00332758">
              <w:rPr>
                <w:rFonts w:cs="Arial"/>
                <w:sz w:val="16"/>
                <w:szCs w:val="16"/>
                <w:lang w:val="es-ES_tradnl" w:eastAsia="ja-JP" w:bidi="th-TH"/>
              </w:rPr>
              <w:t>i) Familiarizar a los participantes con las tendencias actuales y las nuevas prácticas para el examen de patentes en lo concerniente a los programas informáticos;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los programas informáticos.</w:t>
            </w:r>
          </w:p>
        </w:tc>
      </w:tr>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Curso de formación para examinadores de patentes sobre tecnologías específicas (iluminación).</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21 a 28 de febrero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Japón/3 participantes africanos</w:t>
            </w:r>
            <w:r w:rsidR="00BE2BAE">
              <w:rPr>
                <w:rFonts w:cs="Arial"/>
                <w:color w:val="000000"/>
                <w:sz w:val="16"/>
                <w:szCs w:val="16"/>
                <w:lang w:val="es-ES_tradnl"/>
              </w:rPr>
              <w:t xml:space="preserve"> de Egipto, Marruecos y la OAPI</w:t>
            </w:r>
          </w:p>
        </w:tc>
        <w:tc>
          <w:tcPr>
            <w:tcW w:w="4110" w:type="dxa"/>
          </w:tcPr>
          <w:p w:rsidR="00A33040" w:rsidRPr="00332758" w:rsidRDefault="00A33040" w:rsidP="00AA6702">
            <w:pPr>
              <w:rPr>
                <w:rFonts w:cs="Arial"/>
                <w:sz w:val="16"/>
                <w:szCs w:val="16"/>
                <w:lang w:val="es-ES_tradnl" w:eastAsia="ja-JP" w:bidi="th-TH"/>
              </w:rPr>
            </w:pPr>
            <w:r w:rsidRPr="00332758">
              <w:rPr>
                <w:rFonts w:cs="Arial"/>
                <w:sz w:val="16"/>
                <w:szCs w:val="16"/>
                <w:lang w:val="es-ES_tradnl" w:eastAsia="ja-JP" w:bidi="th-TH"/>
              </w:rPr>
              <w:t>i) Familiarizar a los participantes con las tendencias actuales y las nuevas prácticas para el examen de patentes en lo concerniente a la iluminación;  ii) ofrecer ideas y conocimientos prácticos sobre metodologías de examen;  iii) brindar la oportunidad a los participantes de compartir experiencias y opiniones sobre cuestiones relativas al examen de patentes;  y iv) fortalecer las capacidades profesionales de los participantes para el examen en el ámbito de la iluminación.</w:t>
            </w:r>
          </w:p>
        </w:tc>
      </w:tr>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de la OMPI sobre la utilización eficaz de resultados de búsqueda y comunicaciones derivadas del sistema del Tratado de Cooperación en materia de Patentes (PCT) en la fase nacional</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de febrero a 1 de marzo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Japón/3 participantes africanos de Egipto, Burundi y Madagascar</w:t>
            </w:r>
          </w:p>
        </w:tc>
        <w:tc>
          <w:tcPr>
            <w:tcW w:w="4110" w:type="dxa"/>
          </w:tcPr>
          <w:p w:rsidR="00A33040" w:rsidRPr="00332758" w:rsidRDefault="00A33040" w:rsidP="00AA6702">
            <w:pPr>
              <w:autoSpaceDE w:val="0"/>
              <w:autoSpaceDN w:val="0"/>
              <w:adjustRightInd w:val="0"/>
              <w:spacing w:before="120" w:after="80"/>
              <w:rPr>
                <w:rFonts w:cs="Arial"/>
                <w:sz w:val="16"/>
                <w:szCs w:val="16"/>
                <w:lang w:val="es-ES_tradnl" w:eastAsia="ja-JP" w:bidi="th-TH"/>
              </w:rPr>
            </w:pPr>
            <w:r w:rsidRPr="00332758">
              <w:rPr>
                <w:rFonts w:cs="Arial"/>
                <w:sz w:val="16"/>
                <w:szCs w:val="16"/>
                <w:lang w:val="es-ES_tradnl" w:eastAsia="ja-JP" w:bidi="th-TH"/>
              </w:rPr>
              <w:t>i) Dar la oportunidad de intercambiar información sobre los desafíos y las prácticas óptimas relativos a la utilización eficaz de la información sobre el examen de patentes realizado por otras oficinas de P.I.;  ii) estudiar y examinar las maneras de crear una plataforma destinada a facilitar el acceso a esa información, en particular, en relación con los proyectos internacionales en curso;  y iii) mejorar la comprensión de las tecnologías de la información aplicadas al desarrollo de una plataforma de cooperación regional e internacional en el examen de patentes.</w:t>
            </w:r>
          </w:p>
        </w:tc>
      </w:tr>
      <w:tr w:rsidR="00A33040" w:rsidRPr="00A9508D" w:rsidTr="004C0FD5">
        <w:tc>
          <w:tcPr>
            <w:tcW w:w="1843" w:type="dxa"/>
          </w:tcPr>
          <w:p w:rsidR="00A33040" w:rsidRPr="00A34388" w:rsidRDefault="00A33040" w:rsidP="00AA6702">
            <w:pPr>
              <w:autoSpaceDE w:val="0"/>
              <w:autoSpaceDN w:val="0"/>
              <w:adjustRightInd w:val="0"/>
              <w:spacing w:before="120" w:after="80"/>
              <w:rPr>
                <w:rFonts w:cs="Arial"/>
                <w:color w:val="000000"/>
                <w:sz w:val="16"/>
                <w:szCs w:val="16"/>
                <w:lang w:val="es-ES_tradnl"/>
              </w:rPr>
            </w:pPr>
            <w:r w:rsidRPr="00A34388">
              <w:rPr>
                <w:rFonts w:cs="Arial"/>
                <w:color w:val="000000"/>
                <w:sz w:val="16"/>
                <w:szCs w:val="16"/>
                <w:lang w:val="es-ES_tradnl" w:eastAsia="ja-JP" w:bidi="th-TH"/>
              </w:rPr>
              <w:t>Conferencia africana sobre la importancia estratégica de las políticas de propiedad intelectual (IP) para el fomento de la innovación, la creación de valor y la competitividad, y la reunión preparatoria regional del ECOSOC para África</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12 y 14 de marzo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eastAsia="ja-JP" w:bidi="th-TH"/>
              </w:rPr>
              <w:t>República Unida de Tanzanía/más de 200 participantes africanos</w:t>
            </w:r>
          </w:p>
        </w:tc>
        <w:tc>
          <w:tcPr>
            <w:tcW w:w="4110" w:type="dxa"/>
          </w:tcPr>
          <w:p w:rsidR="000F2E30" w:rsidRDefault="000F2E30" w:rsidP="00AA6702">
            <w:pPr>
              <w:autoSpaceDE w:val="0"/>
              <w:autoSpaceDN w:val="0"/>
              <w:adjustRightInd w:val="0"/>
              <w:spacing w:before="120" w:after="120"/>
              <w:rPr>
                <w:rFonts w:cs="Arial"/>
                <w:color w:val="000000"/>
                <w:sz w:val="16"/>
                <w:szCs w:val="16"/>
                <w:lang w:val="es-ES_tradnl" w:eastAsia="ja-JP" w:bidi="th-TH"/>
              </w:rPr>
            </w:pPr>
            <w:r>
              <w:rPr>
                <w:rFonts w:cs="Arial"/>
                <w:color w:val="000000"/>
                <w:sz w:val="16"/>
                <w:szCs w:val="16"/>
                <w:lang w:val="es-ES_tradnl" w:eastAsia="ja-JP" w:bidi="th-TH"/>
              </w:rPr>
              <w:t>El objetivo de la conferencia era subrayar la importancia de la propiedad intelectual para el desarrollo empresarial, la creación de riqueza, el crecimiento económico global así como la eficacia de las políticas de P.I. en los planos nacional, institucional y empresarial para aprovechar las oportunidades que brinda el sistema de P.I.</w:t>
            </w:r>
          </w:p>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La reunión abordó:  i) el estado actual y la importancia de la innovación para encontrar soluciones ante los desafíos del desarrollo;  ii) la forma de crear, promover y mantener un entorno innovador;  y iii) el modo de convertir las soluciones innovadoras en productos comercializables</w:t>
            </w:r>
          </w:p>
        </w:tc>
      </w:tr>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WIPO GREEN -cambio climático e innovación en África: </w:t>
            </w:r>
            <w:r w:rsidR="007E4D96" w:rsidRPr="00A34388">
              <w:rPr>
                <w:rFonts w:cs="Arial"/>
                <w:color w:val="000000"/>
                <w:sz w:val="16"/>
                <w:szCs w:val="16"/>
                <w:lang w:val="es-ES_tradnl"/>
              </w:rPr>
              <w:t xml:space="preserve"> </w:t>
            </w:r>
            <w:r w:rsidRPr="00A34388">
              <w:rPr>
                <w:rFonts w:cs="Arial"/>
                <w:color w:val="000000"/>
                <w:sz w:val="16"/>
                <w:szCs w:val="16"/>
                <w:lang w:val="es-ES_tradnl"/>
              </w:rPr>
              <w:t>el clima para un desarrollo sostenible</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24 a 26 de junio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Kenya/200 participantes representando a 13 países africanos</w:t>
            </w:r>
          </w:p>
        </w:tc>
        <w:tc>
          <w:tcPr>
            <w:tcW w:w="4110" w:type="dxa"/>
          </w:tcPr>
          <w:p w:rsidR="00A33040" w:rsidRPr="00A34388" w:rsidRDefault="00A33040" w:rsidP="00AA6702">
            <w:pPr>
              <w:autoSpaceDE w:val="0"/>
              <w:autoSpaceDN w:val="0"/>
              <w:adjustRightInd w:val="0"/>
              <w:spacing w:before="120" w:after="80"/>
              <w:rPr>
                <w:rFonts w:cs="Arial"/>
                <w:color w:val="000000"/>
                <w:sz w:val="16"/>
                <w:szCs w:val="16"/>
                <w:lang w:val="es-ES_tradnl" w:eastAsia="ja-JP" w:bidi="th-TH"/>
              </w:rPr>
            </w:pPr>
            <w:r w:rsidRPr="00A34388">
              <w:rPr>
                <w:rFonts w:cs="Arial"/>
                <w:color w:val="000000"/>
                <w:sz w:val="16"/>
                <w:szCs w:val="16"/>
                <w:lang w:val="es-ES_tradnl" w:eastAsia="ja-JP" w:bidi="th-TH"/>
              </w:rPr>
              <w:t>Establecer un foro de diálogo con varias partes interesadas en el cambio climático, la innovación y el desarrollo en África para:  i) intercambiar conocimientos, trabajar en red y facilitar la transferencia de tecnologías sostenibles;  ii) fomentar las iniciativas innovadoras y la colaboración para abordar el cambio climático en África;  iii) concienciar sobre el modo en que la P.I. puede utilizarse eficazmente para apoyar la innovación y la transferencia de tecnología;  y iv) defender la urgencia y la necesidad de conseguir un desarrollo resistente al clima en África, y especialmente en África oriental, mediante políticas, prácticas e innovaciones más informadas</w:t>
            </w:r>
          </w:p>
        </w:tc>
      </w:tr>
    </w:tbl>
    <w:p w:rsidR="000F2E30" w:rsidRPr="00A9508D" w:rsidRDefault="000F2E30">
      <w:pPr>
        <w:rPr>
          <w:lang w:val="es-ES"/>
        </w:rPr>
      </w:pPr>
      <w:r w:rsidRPr="00A9508D">
        <w:rPr>
          <w:lang w:val="es-ES"/>
        </w:rPr>
        <w:br w:type="page"/>
      </w:r>
    </w:p>
    <w:tbl>
      <w:tblPr>
        <w:tblW w:w="9075"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7"/>
        <w:gridCol w:w="1985"/>
        <w:gridCol w:w="4110"/>
      </w:tblGrid>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lastRenderedPageBreak/>
              <w:t>Seminario regional PCT para los Estados miembros de la ARIPO</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332758">
              <w:rPr>
                <w:rFonts w:cs="Arial"/>
                <w:sz w:val="16"/>
                <w:szCs w:val="16"/>
                <w:lang w:val="es-ES_tradnl" w:eastAsia="ja-JP" w:bidi="th-TH"/>
              </w:rPr>
              <w:t>25 a 27 de junio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Namibia/30 participantes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Favorecer el intercambio de experiencias entre los Estados miembros del PCT y los que están considerando su adhesión al mismo, e informar de los últimos acontecimientos que atañen al PCT en el marco de la ARIPO como organización regional en materia de patentes</w:t>
            </w:r>
          </w:p>
        </w:tc>
      </w:tr>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Asociación entre la OMPI/la OAPI (Centro de formación Denis Ekani) y la Universidad de Yaundé II</w:t>
            </w:r>
          </w:p>
        </w:tc>
        <w:tc>
          <w:tcPr>
            <w:tcW w:w="1137" w:type="dxa"/>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3 de octubre de 2012 a 30 de junio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Camerún/10 becas destinadas a estudiantes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Brindar oportunidades para el desarrollo de los recursos humanos y el fortalecimiento de capacidades mediante la formación y la enseñanza en P.I. a personas que se dedican a la investigación y la docencia sobre esta materia en universidades y otras instituciones </w:t>
            </w:r>
          </w:p>
        </w:tc>
      </w:tr>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 xml:space="preserve">Asociación entre la OMPI/ARIPO y la </w:t>
            </w:r>
            <w:r w:rsidRPr="00A34388">
              <w:rPr>
                <w:rFonts w:cs="Arial"/>
                <w:i/>
                <w:color w:val="000000"/>
                <w:sz w:val="16"/>
                <w:szCs w:val="16"/>
                <w:lang w:val="es-ES_tradnl"/>
              </w:rPr>
              <w:t>Africa University</w:t>
            </w:r>
            <w:r w:rsidRPr="00332758">
              <w:rPr>
                <w:rFonts w:cs="Arial"/>
                <w:sz w:val="16"/>
                <w:szCs w:val="16"/>
                <w:lang w:val="es-ES_tradnl"/>
              </w:rPr>
              <w:t>, en Mutare (Zimbabwe).</w:t>
            </w:r>
          </w:p>
        </w:tc>
        <w:tc>
          <w:tcPr>
            <w:tcW w:w="1137" w:type="dxa"/>
          </w:tcPr>
          <w:p w:rsidR="00A33040" w:rsidRPr="00A34388" w:rsidRDefault="000F2E30" w:rsidP="000F2E30">
            <w:pPr>
              <w:autoSpaceDE w:val="0"/>
              <w:autoSpaceDN w:val="0"/>
              <w:adjustRightInd w:val="0"/>
              <w:spacing w:before="120" w:after="120"/>
              <w:rPr>
                <w:rFonts w:cs="Arial"/>
                <w:color w:val="000000"/>
                <w:sz w:val="16"/>
                <w:szCs w:val="16"/>
                <w:lang w:val="es-ES_tradnl"/>
              </w:rPr>
            </w:pPr>
            <w:r>
              <w:rPr>
                <w:rFonts w:cs="Arial"/>
                <w:color w:val="000000"/>
                <w:sz w:val="16"/>
                <w:szCs w:val="16"/>
                <w:lang w:val="es-ES_tradnl"/>
              </w:rPr>
              <w:t>15 de agosto de 2012</w:t>
            </w:r>
            <w:r w:rsidR="00A33040" w:rsidRPr="00A34388">
              <w:rPr>
                <w:rFonts w:cs="Arial"/>
                <w:color w:val="000000"/>
                <w:sz w:val="16"/>
                <w:szCs w:val="16"/>
                <w:lang w:val="es-ES_tradnl"/>
              </w:rPr>
              <w:t xml:space="preserve"> a 27 de julio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Zimbabwe/8 becas destinadas a estudiantes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Brindar oportunidades para el desarrollo de los recursos humanos y el fortalecimiento de capacidades mediante la formación y la enseñanza en P.I. a personas que se dedican a la investigación y la docencia sobre esta materia en universidades y otras instituciones</w:t>
            </w:r>
          </w:p>
        </w:tc>
      </w:tr>
      <w:tr w:rsidR="00A33040" w:rsidRPr="00A9508D" w:rsidTr="004C0FD5">
        <w:tc>
          <w:tcPr>
            <w:tcW w:w="1843"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Curso subregional de formación sobre gestión de P.I. y formulación y aplicación de planes de oficina de P.I. basados en resultados</w:t>
            </w:r>
          </w:p>
        </w:tc>
        <w:tc>
          <w:tcPr>
            <w:tcW w:w="1137"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y 30 de agosto de 2013</w:t>
            </w:r>
          </w:p>
        </w:tc>
        <w:tc>
          <w:tcPr>
            <w:tcW w:w="1985" w:type="dxa"/>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Camerún/14 jefes de oficinas nacionales de enlace de la OAPI </w:t>
            </w:r>
          </w:p>
        </w:tc>
        <w:tc>
          <w:tcPr>
            <w:tcW w:w="4110"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El curso abordó los retos principales a los que se enfrentan las oficinas de P.I., entre los cuales están la prestación de servicios de P.I. eficaces y eficientes;  la contribución al desarrollo y a la aplicación de las estrategias nacionales de P.I. e innovación;  la promoción de la P.I. entre las Pymes y las entidades dedicadas a la investigación;  la promoción del uso de la P.I. para mejorar la competitividad de las Pymes;  la promoción de la innovación;  la promoción de la utilización de la P.I. en la industria agrícola mediante el desarrollo de marcas (presentaciones a cargo del CCI);   y prácticas de gestión sobre la base de resultados centradas en la formulación, seguimiento y evaluación de los planes de oficina de P.I., en el marco general de las estrategias nacionales de P.I.</w:t>
            </w:r>
          </w:p>
        </w:tc>
      </w:tr>
      <w:tr w:rsidR="00A33040" w:rsidRPr="00A9508D" w:rsidTr="004C0FD5">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nil"/>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regional sobre la promoción del respeto por la P.I. para los funcionarios judiciales y otros funcionarios encargados de la observancia de las leyes de los Estados miembros de la Comunidad del África Meridional para el Desarrollo (SADC) y la Organización Regional Africana de la Propiedad Industrial (ARIPO)</w:t>
            </w:r>
          </w:p>
        </w:tc>
        <w:tc>
          <w:tcPr>
            <w:tcW w:w="1137" w:type="dxa"/>
            <w:tcBorders>
              <w:top w:val="nil"/>
              <w:bottom w:val="nil"/>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30 y 31 de octubre de 2013</w:t>
            </w:r>
          </w:p>
        </w:tc>
        <w:tc>
          <w:tcPr>
            <w:tcW w:w="1985" w:type="dxa"/>
            <w:tcBorders>
              <w:top w:val="nil"/>
              <w:bottom w:val="nil"/>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Namibia/48 participantes africanos</w:t>
            </w:r>
          </w:p>
        </w:tc>
        <w:tc>
          <w:tcPr>
            <w:tcW w:w="4110" w:type="dxa"/>
            <w:tcBorders>
              <w:top w:val="nil"/>
              <w:bottom w:val="nil"/>
              <w:right w:val="single" w:sz="4" w:space="0" w:color="auto"/>
            </w:tcBorders>
          </w:tcPr>
          <w:p w:rsidR="00A33040" w:rsidRPr="00332758" w:rsidRDefault="00A33040" w:rsidP="00AA6702">
            <w:pPr>
              <w:keepNext/>
              <w:keepLines/>
              <w:autoSpaceDE w:val="0"/>
              <w:autoSpaceDN w:val="0"/>
              <w:adjustRightInd w:val="0"/>
              <w:spacing w:before="120" w:after="120"/>
              <w:rPr>
                <w:rFonts w:cs="Arial"/>
                <w:sz w:val="16"/>
                <w:szCs w:val="16"/>
                <w:lang w:val="es-ES_tradnl" w:eastAsia="ja-JP" w:bidi="th-TH"/>
              </w:rPr>
            </w:pPr>
            <w:r w:rsidRPr="00332758">
              <w:rPr>
                <w:rFonts w:cs="Arial"/>
                <w:sz w:val="16"/>
                <w:szCs w:val="16"/>
                <w:lang w:val="es-ES_tradnl" w:eastAsia="ja-JP" w:bidi="th-TH"/>
              </w:rPr>
              <w:t>En el marco de la meta estratégica VI:  i) considerar el valor de la protección y la observancia de la P.I. para el desarrollo social y económico de los países participantes;  ii) examinar las normas mínimas y las flexibilidades contenidas en la parte III del Acuerdo sobre los ADPIC;  iii) examinar cuestiones de actualidad, por ejemplo, la sensibilización de los consumidores como medida preventiva y la forma equitativa de disponer de los productos infractores;  y iv) prever estrategias nacionales y regionales de cooperación eficaz, entre otras cosas, alianzas entre los sectores público y privado, teniendo presentes las necesidades en materia de fortalecimiento de las capacidades.</w:t>
            </w:r>
          </w:p>
        </w:tc>
      </w:tr>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Curso de formación en el uso de las tecnologías de la información para la administración de la propiedad industrial.</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28 de octubre a 8 de noviembre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Japón/</w:t>
            </w:r>
            <w:r w:rsidR="000F2E30">
              <w:rPr>
                <w:rFonts w:cs="Arial"/>
                <w:color w:val="000000"/>
                <w:sz w:val="16"/>
                <w:szCs w:val="16"/>
                <w:lang w:val="es-ES_tradnl"/>
              </w:rPr>
              <w:t xml:space="preserve">2 </w:t>
            </w:r>
            <w:r w:rsidRPr="00A34388">
              <w:rPr>
                <w:rFonts w:cs="Arial"/>
                <w:color w:val="000000"/>
                <w:sz w:val="16"/>
                <w:szCs w:val="16"/>
                <w:lang w:val="es-ES_tradnl"/>
              </w:rPr>
              <w:t xml:space="preserve">participantes </w:t>
            </w:r>
            <w:r w:rsidR="000F2E30">
              <w:rPr>
                <w:rFonts w:cs="Arial"/>
                <w:color w:val="000000"/>
                <w:sz w:val="16"/>
                <w:szCs w:val="16"/>
                <w:lang w:val="es-ES_tradnl"/>
              </w:rPr>
              <w:t xml:space="preserve">africanos </w:t>
            </w:r>
            <w:r w:rsidRPr="00A34388">
              <w:rPr>
                <w:rFonts w:cs="Arial"/>
                <w:color w:val="000000"/>
                <w:sz w:val="16"/>
                <w:szCs w:val="16"/>
                <w:lang w:val="es-ES_tradnl"/>
              </w:rPr>
              <w:t xml:space="preserve">de Marruecos y Túnez </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Familiarizar a los participantes con las últimas novedades en materia de tecnologías de la información en relación con:  i) la administración de la propiedad industrial, la divulgación de la información sobre propiedad industrial y la prestación de servicios en línea;  ii) conocimientos prácticos sobre las herramientas y tecnologías más recientes mediante sesiones interactivas, así como a través de visitas a las instituciones privadas pertinentes;  y iii) brindar una oportunidad para el intercambio de opiniones y preocupaciones entre los participantes sobre cuestiones conexas, ampliando así las capacidades profesionales de los participantes en la planificación del uso de las tecnologías de información para la administración de la propiedad intelectual </w:t>
            </w:r>
          </w:p>
        </w:tc>
      </w:tr>
    </w:tbl>
    <w:p w:rsidR="000F2E30" w:rsidRPr="00A9508D" w:rsidRDefault="000F2E30">
      <w:pPr>
        <w:rPr>
          <w:lang w:val="es-ES"/>
        </w:rPr>
      </w:pPr>
      <w:r w:rsidRPr="00A9508D">
        <w:rPr>
          <w:lang w:val="es-ES"/>
        </w:rPr>
        <w:br w:type="page"/>
      </w:r>
    </w:p>
    <w:tbl>
      <w:tblPr>
        <w:tblW w:w="9075"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7"/>
        <w:gridCol w:w="1985"/>
        <w:gridCol w:w="4110"/>
      </w:tblGrid>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lastRenderedPageBreak/>
              <w:t>Taller subregional y curso de formación sobre gestión de P.I., y formulación y aplicación de planes de oficina de. P.I. basados en resultados (para los Estados miembros de la ARIPO y los países africanos de habla inglesa)</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19 a 22 de noviembre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Uganda/20 participantes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i) Ampliar los conocimientos de los participantes sobre prácticas modernas de gestión de la P.I.;  y ii) mejorar la capacidad de los participantes de formular, aplicar y evaluar planes de oficina de P.I. sujetos a plazos, orientados hacia los resultados y con unos efectos mensurables </w:t>
            </w:r>
          </w:p>
        </w:tc>
      </w:tr>
      <w:tr w:rsidR="00A33040" w:rsidRPr="00A9508D" w:rsidTr="004C0FD5">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Seminario regional de la OMPI sobre la utilización eficaz del Tratado de Cooperación en materia de Patentes (PCT) e </w:t>
            </w:r>
            <w:r w:rsidRPr="00A34388">
              <w:rPr>
                <w:rFonts w:cs="Arial"/>
                <w:color w:val="000000"/>
                <w:sz w:val="16"/>
                <w:szCs w:val="16"/>
                <w:lang w:val="es-ES_tradnl" w:eastAsia="ja-JP" w:bidi="th-TH"/>
              </w:rPr>
              <w:t>iniciativas internacionales de distribución del trabajo</w:t>
            </w:r>
          </w:p>
        </w:tc>
        <w:tc>
          <w:tcPr>
            <w:tcW w:w="113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a 28 de noviembre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Japón/4 participantes africanos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Mejorar los conocimientos sobre:  i) las funciones y ventajas del PCT;  ii) el modo de conseguir informes positivos de la Autoridad de Búsqueda Internacional (ISA)/autoridad interna de examen preliminar (IPEA);  y </w:t>
            </w:r>
            <w:r w:rsidR="009F4808" w:rsidRPr="00A34388">
              <w:rPr>
                <w:rFonts w:cs="Arial"/>
                <w:color w:val="000000"/>
                <w:sz w:val="16"/>
                <w:szCs w:val="16"/>
                <w:lang w:val="es-ES_tradnl" w:eastAsia="ja-JP" w:bidi="th-TH"/>
              </w:rPr>
              <w:t>iii)</w:t>
            </w:r>
            <w:r w:rsidRPr="00A34388">
              <w:rPr>
                <w:rFonts w:cs="Arial"/>
                <w:color w:val="000000"/>
                <w:sz w:val="16"/>
                <w:szCs w:val="16"/>
                <w:lang w:val="es-ES_tradnl" w:eastAsia="ja-JP" w:bidi="th-TH"/>
              </w:rPr>
              <w:t xml:space="preserve"> la forma en que las oficinas nacionales pueden utilizar de modo efectivo estos informes.  Asimismo, la actividad ofreció una oportunidad para intercambiar opiniones y experiencias sobre la utilización de los marcos de distribución del trabajo, incluido el PCT y el procedimiento acelerado de examen de las solicitudes de patente (PPH) </w:t>
            </w:r>
          </w:p>
        </w:tc>
      </w:tr>
      <w:tr w:rsidR="00A33040" w:rsidRPr="00A9508D" w:rsidTr="004C0FD5">
        <w:tc>
          <w:tcPr>
            <w:tcW w:w="1843" w:type="dxa"/>
            <w:tcBorders>
              <w:bottom w:val="nil"/>
            </w:tcBorders>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Curso avanzado de verano de la OMPI-Sudáfrica sobre propiedad intelectual y transferencia de tecnología</w:t>
            </w:r>
          </w:p>
        </w:tc>
        <w:tc>
          <w:tcPr>
            <w:tcW w:w="1137" w:type="dxa"/>
            <w:tcBorders>
              <w:bottom w:val="nil"/>
            </w:tcBorders>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25 de noviembre al 6 de diciembre de 2013</w:t>
            </w:r>
          </w:p>
        </w:tc>
        <w:tc>
          <w:tcPr>
            <w:tcW w:w="1985" w:type="dxa"/>
            <w:tcBorders>
              <w:bottom w:val="nil"/>
            </w:tcBorders>
          </w:tcPr>
          <w:p w:rsidR="00A33040" w:rsidRPr="00A34388" w:rsidRDefault="00A33040" w:rsidP="00AA6702">
            <w:pPr>
              <w:keepNext/>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Sudáfrica/10 participantes africanos</w:t>
            </w:r>
          </w:p>
        </w:tc>
        <w:tc>
          <w:tcPr>
            <w:tcW w:w="4110" w:type="dxa"/>
            <w:tcBorders>
              <w:bottom w:val="nil"/>
            </w:tcBorders>
          </w:tcPr>
          <w:p w:rsidR="00A33040" w:rsidRPr="00A34388" w:rsidRDefault="00A33040" w:rsidP="00AA6702">
            <w:pPr>
              <w:keepNext/>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 xml:space="preserve">i) Brindar una oportunidad a estudiantes (de grado y posgrado) y profesionales jóvenes de adquirir unos conocimientos más profundos sobre la propiedad intelectual y la transferencia de tecnología;  ii) debatir acerca de cuestiones actuales del ámbito de la gestión y la comercialización de la propiedad intelectual;  y iii) enseñar a los alumnos la función que desempeña la OMPI en la administración a escala internacional de la propiedad intelectual con el fin de mejorar la transferencia de tecnología </w:t>
            </w:r>
          </w:p>
        </w:tc>
      </w:tr>
      <w:tr w:rsidR="00A33040" w:rsidRPr="00A9508D" w:rsidTr="004C0FD5">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single" w:sz="4" w:space="0" w:color="auto"/>
            </w:tcBorders>
          </w:tcPr>
          <w:p w:rsidR="00A33040" w:rsidRPr="00A34388" w:rsidRDefault="000F2E30" w:rsidP="000F2E30">
            <w:pPr>
              <w:autoSpaceDE w:val="0"/>
              <w:autoSpaceDN w:val="0"/>
              <w:adjustRightInd w:val="0"/>
              <w:spacing w:before="120" w:after="120"/>
              <w:rPr>
                <w:rFonts w:cs="Arial"/>
                <w:color w:val="000000"/>
                <w:sz w:val="16"/>
                <w:szCs w:val="16"/>
                <w:lang w:val="es-ES_tradnl"/>
              </w:rPr>
            </w:pPr>
            <w:r>
              <w:rPr>
                <w:rFonts w:cs="Arial"/>
                <w:sz w:val="16"/>
                <w:szCs w:val="16"/>
                <w:lang w:val="es-ES_tradnl"/>
              </w:rPr>
              <w:t>Curso de formación sobre la o</w:t>
            </w:r>
            <w:r w:rsidR="00A33040" w:rsidRPr="00332758">
              <w:rPr>
                <w:rFonts w:cs="Arial"/>
                <w:sz w:val="16"/>
                <w:szCs w:val="16"/>
                <w:lang w:val="es-ES_tradnl"/>
              </w:rPr>
              <w:t>bservancia de los derechos de propiedad intelectual.</w:t>
            </w:r>
          </w:p>
        </w:tc>
        <w:tc>
          <w:tcPr>
            <w:tcW w:w="1137" w:type="dxa"/>
            <w:tcBorders>
              <w:top w:val="nil"/>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 a 13 de diciembre de 2013</w:t>
            </w:r>
          </w:p>
        </w:tc>
        <w:tc>
          <w:tcPr>
            <w:tcW w:w="1985" w:type="dxa"/>
            <w:tcBorders>
              <w:top w:val="nil"/>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Japón/2 participantes africanos</w:t>
            </w:r>
            <w:r w:rsidR="000F2E30">
              <w:rPr>
                <w:rFonts w:cs="Arial"/>
                <w:color w:val="000000"/>
                <w:sz w:val="16"/>
                <w:szCs w:val="16"/>
                <w:lang w:val="es-ES_tradnl"/>
              </w:rPr>
              <w:t xml:space="preserve"> de Argelia y Marruecos</w:t>
            </w:r>
          </w:p>
        </w:tc>
        <w:tc>
          <w:tcPr>
            <w:tcW w:w="4110" w:type="dxa"/>
            <w:tcBorders>
              <w:top w:val="nil"/>
              <w:bottom w:val="single" w:sz="4" w:space="0" w:color="auto"/>
              <w:right w:val="single" w:sz="4" w:space="0" w:color="auto"/>
            </w:tcBorders>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ja-JP" w:bidi="th-TH"/>
              </w:rPr>
            </w:pPr>
            <w:r w:rsidRPr="00A34388">
              <w:rPr>
                <w:rFonts w:cs="Arial"/>
                <w:color w:val="000000"/>
                <w:sz w:val="16"/>
                <w:szCs w:val="16"/>
                <w:lang w:val="es-ES_tradnl" w:eastAsia="ja-JP" w:bidi="th-TH"/>
              </w:rPr>
              <w:t>i) Examinar las normas mínimas y opciones incluidas en la parte III del Acuerdo sobre los Aspectos de los Derechos de Propiedad Intelectual Relacionados con el Comercio (ADPIC);  ii) debatir distintas cuestiones relativas a la promoción del respeto por la propiedad intelectual (P.I.) y la observancia en esta materia, como modelos alternativos para hacer frente a la falsificación, la piratería, la eliminación y destrucción de los productos infractores, las actitudes de los consumidores frente a la falsificación y la piratería, y la evolución reciente de la jurisprudencia;  iii) examinar la motivación, los elementos, la investigación y sanción de los delitos e infracciones en materia de P.I., incluidas las sentencias dictadas y su proporcionalidad;  y iv) analizar el papel que desempeñan los distintos sectores interesados de cara a una cooperación estratégica y eficaz</w:t>
            </w:r>
          </w:p>
        </w:tc>
      </w:tr>
    </w:tbl>
    <w:p w:rsidR="00A33040" w:rsidRPr="00A34388" w:rsidRDefault="00A33040" w:rsidP="00A33040">
      <w:pPr>
        <w:keepNext/>
        <w:keepLines/>
        <w:rPr>
          <w:rFonts w:cs="Arial"/>
          <w:b/>
          <w:szCs w:val="20"/>
          <w:lang w:val="es-ES_tradnl"/>
        </w:rPr>
      </w:pPr>
    </w:p>
    <w:p w:rsidR="00A33040" w:rsidRPr="00332758" w:rsidRDefault="00A33040" w:rsidP="00A33040">
      <w:pPr>
        <w:keepNext/>
        <w:keepLines/>
        <w:rPr>
          <w:rFonts w:cs="Arial"/>
          <w:b/>
          <w:szCs w:val="20"/>
          <w:lang w:val="es-ES_tradnl"/>
        </w:rPr>
      </w:pPr>
    </w:p>
    <w:p w:rsidR="00A33040" w:rsidRPr="00332758" w:rsidRDefault="00A33040" w:rsidP="00A33040">
      <w:pPr>
        <w:rPr>
          <w:rFonts w:cs="Arial"/>
          <w:b/>
          <w:sz w:val="18"/>
          <w:szCs w:val="18"/>
          <w:lang w:val="es-ES_tradnl"/>
        </w:rPr>
      </w:pPr>
      <w:r w:rsidRPr="00332758">
        <w:rPr>
          <w:rFonts w:cs="Arial"/>
          <w:b/>
          <w:sz w:val="18"/>
          <w:szCs w:val="18"/>
          <w:lang w:val="es-ES_tradnl"/>
        </w:rPr>
        <w:t>JAPÓN – P.I./ÁFRICA–PMA – Contribuciones de donantes y gastos en 2013</w:t>
      </w:r>
      <w:r w:rsidRPr="00332758">
        <w:rPr>
          <w:rFonts w:cs="Arial"/>
          <w:b/>
          <w:sz w:val="18"/>
          <w:szCs w:val="18"/>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1.507.801</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1.100.656</w:t>
            </w:r>
          </w:p>
        </w:tc>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1.216.674</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1.391.783</w:t>
            </w:r>
          </w:p>
        </w:tc>
      </w:tr>
    </w:tbl>
    <w:p w:rsidR="00A33040" w:rsidRPr="000F2E30" w:rsidRDefault="00A33040" w:rsidP="00A33040">
      <w:pPr>
        <w:spacing w:before="120"/>
        <w:rPr>
          <w:sz w:val="18"/>
          <w:szCs w:val="18"/>
          <w:lang w:val="es-ES_tradnl"/>
        </w:rPr>
      </w:pPr>
      <w:r w:rsidRPr="00332758">
        <w:rPr>
          <w:i/>
          <w:sz w:val="18"/>
          <w:szCs w:val="18"/>
          <w:vertAlign w:val="superscript"/>
          <w:lang w:val="es-ES_tradnl"/>
        </w:rPr>
        <w:t xml:space="preserve">1 </w:t>
      </w:r>
      <w:r w:rsidRPr="000F2E30">
        <w:rPr>
          <w:i/>
          <w:sz w:val="18"/>
          <w:szCs w:val="18"/>
          <w:lang w:val="es-ES_tradnl"/>
        </w:rPr>
        <w:t>Estados financieros de la OMPI de 2013 (Anexo III)</w:t>
      </w:r>
    </w:p>
    <w:p w:rsidR="00A33040" w:rsidRPr="00A34388" w:rsidRDefault="00A33040" w:rsidP="00A33040">
      <w:pPr>
        <w:keepNext/>
        <w:keepLines/>
        <w:rPr>
          <w:rFonts w:cs="Arial"/>
          <w:b/>
          <w:szCs w:val="20"/>
          <w:lang w:val="es-ES_tradnl"/>
        </w:rPr>
      </w:pPr>
    </w:p>
    <w:p w:rsidR="00A33040" w:rsidRPr="00A34388" w:rsidRDefault="00A33040" w:rsidP="00A33040">
      <w:pPr>
        <w:keepNext/>
        <w:keepLines/>
        <w:rPr>
          <w:rFonts w:cs="Arial"/>
          <w:b/>
          <w:sz w:val="18"/>
          <w:szCs w:val="18"/>
          <w:lang w:val="es-ES_tradnl"/>
        </w:rPr>
      </w:pPr>
    </w:p>
    <w:p w:rsidR="00A33040" w:rsidRPr="00A34388" w:rsidRDefault="00A33040" w:rsidP="00A33040">
      <w:pPr>
        <w:rPr>
          <w:sz w:val="16"/>
          <w:szCs w:val="16"/>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lastRenderedPageBreak/>
        <w:t>REPÚBLICA DE COREA – DERECHO DE AUTOR</w:t>
      </w:r>
    </w:p>
    <w:p w:rsidR="00A33040" w:rsidRPr="00A34388" w:rsidRDefault="00A33040" w:rsidP="00A33040">
      <w:pPr>
        <w:keepNext/>
        <w:keepLines/>
        <w:rPr>
          <w:rFonts w:cs="Arial"/>
          <w:b/>
          <w:sz w:val="16"/>
          <w:szCs w:val="16"/>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252"/>
      </w:tblGrid>
      <w:tr w:rsidR="00A33040" w:rsidRPr="00A9508D" w:rsidTr="00AA6702">
        <w:tc>
          <w:tcPr>
            <w:tcW w:w="9102"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keepLines/>
              <w:spacing w:before="120" w:after="60"/>
              <w:ind w:left="1701" w:hanging="1701"/>
              <w:rPr>
                <w:rFonts w:cs="Arial"/>
                <w:bCs/>
                <w:sz w:val="16"/>
                <w:szCs w:val="16"/>
                <w:lang w:val="es-ES_tradnl"/>
              </w:rPr>
            </w:pPr>
            <w:r w:rsidRPr="00332758">
              <w:rPr>
                <w:rFonts w:cs="Arial"/>
                <w:b/>
                <w:bCs/>
                <w:sz w:val="16"/>
                <w:szCs w:val="16"/>
                <w:lang w:val="es-ES_tradnl"/>
              </w:rPr>
              <w:t>RESULTADO:</w:t>
            </w:r>
            <w:r w:rsidRPr="00332758">
              <w:rPr>
                <w:rFonts w:cs="Arial"/>
                <w:b/>
                <w:bCs/>
                <w:sz w:val="16"/>
                <w:szCs w:val="16"/>
                <w:lang w:val="es-ES_tradnl"/>
              </w:rPr>
              <w:tab/>
            </w:r>
            <w:r w:rsidRPr="00332758">
              <w:rPr>
                <w:rFonts w:cs="Arial"/>
                <w:bCs/>
                <w:sz w:val="16"/>
                <w:szCs w:val="16"/>
                <w:lang w:val="es-ES_tradnl"/>
              </w:rPr>
              <w:t>Mayor sensibilización y capacidad de los Estados miembros en materia de derecho de autor y derechos conexos.</w:t>
            </w:r>
          </w:p>
          <w:p w:rsidR="00A33040" w:rsidRPr="00A34388" w:rsidRDefault="00A33040" w:rsidP="00AA6702">
            <w:pPr>
              <w:keepNext/>
              <w:keepLines/>
              <w:spacing w:before="120" w:after="120"/>
              <w:ind w:left="1701"/>
              <w:rPr>
                <w:rFonts w:cs="Arial"/>
                <w:bCs/>
                <w:sz w:val="16"/>
                <w:szCs w:val="16"/>
                <w:lang w:val="es-ES_tradnl"/>
              </w:rPr>
            </w:pPr>
            <w:r w:rsidRPr="00332758">
              <w:rPr>
                <w:rFonts w:cs="Arial"/>
                <w:bCs/>
                <w:sz w:val="16"/>
                <w:szCs w:val="16"/>
                <w:lang w:val="es-ES_tradnl"/>
              </w:rPr>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A33040" w:rsidRPr="00A34388" w:rsidTr="00AA6702">
        <w:tc>
          <w:tcPr>
            <w:tcW w:w="1873" w:type="dxa"/>
            <w:tcBorders>
              <w:top w:val="single" w:sz="4" w:space="0" w:color="000000"/>
            </w:tcBorders>
            <w:vAlign w:val="center"/>
          </w:tcPr>
          <w:p w:rsidR="00A33040" w:rsidRPr="00A34388" w:rsidRDefault="00A33040" w:rsidP="00AA6702">
            <w:pPr>
              <w:keepNext/>
              <w:keepLines/>
              <w:rPr>
                <w:rFonts w:cs="Arial"/>
                <w:b/>
                <w:bCs/>
                <w:sz w:val="16"/>
                <w:szCs w:val="16"/>
                <w:lang w:val="es-ES_tradnl"/>
              </w:rPr>
            </w:pPr>
            <w:r w:rsidRPr="00A34388">
              <w:rPr>
                <w:rFonts w:cs="Arial"/>
                <w:b/>
                <w:bCs/>
                <w:color w:val="000000"/>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b/>
                <w:bCs/>
                <w:sz w:val="16"/>
                <w:szCs w:val="16"/>
                <w:lang w:val="es-ES_tradnl"/>
              </w:rPr>
            </w:pPr>
            <w:r w:rsidRPr="00A34388">
              <w:rPr>
                <w:rFonts w:cs="Arial"/>
                <w:b/>
                <w:bCs/>
                <w:color w:val="000000"/>
                <w:sz w:val="16"/>
                <w:szCs w:val="16"/>
                <w:lang w:val="es-ES_tradnl"/>
              </w:rPr>
              <w:t>Fecha</w:t>
            </w:r>
          </w:p>
        </w:tc>
        <w:tc>
          <w:tcPr>
            <w:tcW w:w="1843"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sz w:val="16"/>
                <w:szCs w:val="16"/>
                <w:lang w:val="es-ES_tradnl"/>
              </w:rPr>
            </w:pPr>
            <w:r w:rsidRPr="00A34388">
              <w:rPr>
                <w:rFonts w:cs="Arial"/>
                <w:b/>
                <w:color w:val="000000"/>
                <w:sz w:val="16"/>
                <w:szCs w:val="16"/>
                <w:lang w:val="es-ES_tradnl"/>
              </w:rPr>
              <w:t>País anfitrión</w:t>
            </w:r>
            <w:r w:rsidR="000F2E30">
              <w:rPr>
                <w:rFonts w:cs="Arial"/>
                <w:b/>
                <w:color w:val="000000"/>
                <w:sz w:val="16"/>
                <w:szCs w:val="16"/>
                <w:lang w:val="es-ES_tradnl"/>
              </w:rPr>
              <w:t xml:space="preserve"> </w:t>
            </w:r>
            <w:r w:rsidRPr="00A34388">
              <w:rPr>
                <w:rFonts w:cs="Arial"/>
                <w:b/>
                <w:color w:val="000000"/>
                <w:sz w:val="16"/>
                <w:szCs w:val="16"/>
                <w:lang w:val="es-ES_tradnl"/>
              </w:rPr>
              <w:t>/</w:t>
            </w:r>
            <w:r w:rsidR="000F2E30">
              <w:rPr>
                <w:rFonts w:cs="Arial"/>
                <w:b/>
                <w:color w:val="000000"/>
                <w:sz w:val="16"/>
                <w:szCs w:val="16"/>
                <w:lang w:val="es-ES_tradnl"/>
              </w:rPr>
              <w:t xml:space="preserve"> </w:t>
            </w:r>
            <w:r w:rsidRPr="00A34388">
              <w:rPr>
                <w:rFonts w:cs="Arial"/>
                <w:b/>
                <w:color w:val="000000"/>
                <w:sz w:val="16"/>
                <w:szCs w:val="16"/>
                <w:lang w:val="es-ES_tradnl"/>
              </w:rPr>
              <w:t>Beneficiarios</w:t>
            </w:r>
          </w:p>
        </w:tc>
        <w:tc>
          <w:tcPr>
            <w:tcW w:w="4252" w:type="dxa"/>
            <w:tcBorders>
              <w:top w:val="single" w:sz="4" w:space="0" w:color="000000"/>
            </w:tcBorders>
            <w:shd w:val="clear" w:color="auto" w:fill="FFFFFF"/>
            <w:tcMar>
              <w:top w:w="110" w:type="dxa"/>
            </w:tcMar>
            <w:vAlign w:val="center"/>
          </w:tcPr>
          <w:p w:rsidR="00A33040" w:rsidRPr="00A34388" w:rsidRDefault="00A33040" w:rsidP="00AA6702">
            <w:pPr>
              <w:keepNext/>
              <w:keepLines/>
              <w:rPr>
                <w:rFonts w:cs="Arial"/>
                <w:sz w:val="16"/>
                <w:szCs w:val="16"/>
                <w:lang w:val="es-ES_tradnl"/>
              </w:rPr>
            </w:pPr>
            <w:r w:rsidRPr="00A34388">
              <w:rPr>
                <w:rFonts w:cs="Arial"/>
                <w:b/>
                <w:color w:val="000000"/>
                <w:sz w:val="16"/>
                <w:szCs w:val="16"/>
                <w:lang w:val="es-ES_tradnl"/>
              </w:rPr>
              <w:t>Propósito(s)/Descripción</w:t>
            </w:r>
          </w:p>
        </w:tc>
      </w:tr>
      <w:tr w:rsidR="00A33040" w:rsidRPr="00A9508D"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eastAsia="Batang" w:cs="Arial"/>
                <w:color w:val="000000"/>
                <w:sz w:val="16"/>
                <w:szCs w:val="16"/>
                <w:lang w:val="es-ES_tradnl" w:eastAsia="ko-KR"/>
              </w:rPr>
              <w:t xml:space="preserve">Taller interregional para expertos locales sobre fortalecimiento de capacidades en materia de derecho de autor </w:t>
            </w:r>
          </w:p>
        </w:tc>
        <w:tc>
          <w:tcPr>
            <w:tcW w:w="1134" w:type="dxa"/>
            <w:shd w:val="clear" w:color="auto" w:fill="auto"/>
            <w:tcMar>
              <w:top w:w="110" w:type="dxa"/>
            </w:tcMar>
          </w:tcPr>
          <w:p w:rsidR="00A33040" w:rsidRPr="00A34388" w:rsidRDefault="00A33040" w:rsidP="00AA6702">
            <w:pPr>
              <w:keepNext/>
              <w:keepLines/>
              <w:rPr>
                <w:rFonts w:cs="Arial"/>
                <w:bCs/>
                <w:sz w:val="16"/>
                <w:szCs w:val="16"/>
                <w:lang w:val="es-ES_tradnl"/>
              </w:rPr>
            </w:pPr>
            <w:r w:rsidRPr="00332758">
              <w:rPr>
                <w:rFonts w:cs="Arial"/>
                <w:bCs/>
                <w:sz w:val="16"/>
                <w:szCs w:val="16"/>
                <w:lang w:val="es-ES_tradnl"/>
              </w:rPr>
              <w:t>22 a 25 de abril de 2013</w:t>
            </w:r>
          </w:p>
        </w:tc>
        <w:tc>
          <w:tcPr>
            <w:tcW w:w="1843" w:type="dxa"/>
            <w:shd w:val="clear" w:color="auto" w:fill="auto"/>
            <w:tcMar>
              <w:top w:w="110" w:type="dxa"/>
            </w:tcMar>
          </w:tcPr>
          <w:p w:rsidR="00A33040" w:rsidRPr="00A34388" w:rsidRDefault="00A33040" w:rsidP="000F2E30">
            <w:pPr>
              <w:rPr>
                <w:rFonts w:cs="Arial"/>
                <w:bCs/>
                <w:kern w:val="36"/>
                <w:sz w:val="16"/>
                <w:szCs w:val="16"/>
                <w:lang w:val="es-ES_tradnl" w:eastAsia="ko-KR"/>
              </w:rPr>
            </w:pPr>
            <w:r w:rsidRPr="00A34388">
              <w:rPr>
                <w:rFonts w:cs="Arial"/>
                <w:sz w:val="16"/>
                <w:szCs w:val="16"/>
                <w:lang w:val="es-ES_tradnl"/>
              </w:rPr>
              <w:t>República de Corea/12 participantes extranjeros de Brasil, China, Egipto, India, Jordania, Kenya, Mozambique, Senegal, Tailandia y OAPI</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Formar a los expertos locales en fortalecimiento de capacidades en materia de derecho de autor para actualizar sus conocimientos, compartir sus experiencias sobre este tema, intercambiar opiniones sobre las metodologías aplicadas a diversos programas de fortalecimiento de capacidades, y debatir sobre el modo de mejorar los programas de fortalecimiento de capacidades en materia de derecho de autor a nivel nacional, regional e internacional</w:t>
            </w:r>
          </w:p>
        </w:tc>
      </w:tr>
      <w:tr w:rsidR="00A33040" w:rsidRPr="00A9508D" w:rsidTr="00AA6702">
        <w:tc>
          <w:tcPr>
            <w:tcW w:w="1873" w:type="dxa"/>
          </w:tcPr>
          <w:p w:rsidR="00A33040" w:rsidRPr="00A34388" w:rsidRDefault="00A33040" w:rsidP="00AA6702">
            <w:pPr>
              <w:rPr>
                <w:rFonts w:eastAsia="Batang" w:cs="Arial"/>
                <w:color w:val="000000"/>
                <w:sz w:val="16"/>
                <w:szCs w:val="16"/>
                <w:lang w:val="es-ES_tradnl" w:eastAsia="ko-KR"/>
              </w:rPr>
            </w:pPr>
            <w:r w:rsidRPr="00332758">
              <w:rPr>
                <w:rFonts w:eastAsia="Batang" w:cs="Arial"/>
                <w:sz w:val="16"/>
                <w:szCs w:val="16"/>
                <w:lang w:val="es-ES_tradnl" w:eastAsia="ko-KR"/>
              </w:rPr>
              <w:t>Seminario nacional sobre el derecho de autor y los derechos conexos.</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23 y 24 de mayo de 2013</w:t>
            </w:r>
          </w:p>
        </w:tc>
        <w:tc>
          <w:tcPr>
            <w:tcW w:w="1843" w:type="dxa"/>
            <w:shd w:val="clear" w:color="auto" w:fill="auto"/>
            <w:tcMar>
              <w:top w:w="110" w:type="dxa"/>
            </w:tcMar>
          </w:tcPr>
          <w:p w:rsidR="00A33040" w:rsidRPr="00A34388" w:rsidRDefault="00A33040" w:rsidP="00AA6702">
            <w:pPr>
              <w:rPr>
                <w:rFonts w:cs="Arial"/>
                <w:bCs/>
                <w:kern w:val="36"/>
                <w:sz w:val="16"/>
                <w:szCs w:val="16"/>
                <w:lang w:val="es-ES_tradnl" w:eastAsia="ko-KR"/>
              </w:rPr>
            </w:pPr>
            <w:r w:rsidRPr="00A34388">
              <w:rPr>
                <w:rFonts w:cs="Arial"/>
                <w:sz w:val="16"/>
                <w:szCs w:val="16"/>
                <w:lang w:val="es-ES_tradnl"/>
              </w:rPr>
              <w:t>Mongolia/75 participantes locales</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 xml:space="preserve">Potenciar, entre los funcionarios gubernamentales, expertos jurídicos y titulares de derechos, la comprensión de la importancia del derecho de autor y de los métodos y enfoques para fomentar la concienciación sobre este tipo de derecho entre diferentes grupos objetivo </w:t>
            </w:r>
          </w:p>
        </w:tc>
      </w:tr>
      <w:tr w:rsidR="00A33040" w:rsidRPr="00A9508D" w:rsidTr="00AA6702">
        <w:tc>
          <w:tcPr>
            <w:tcW w:w="1873" w:type="dxa"/>
          </w:tcPr>
          <w:p w:rsidR="00A33040" w:rsidRPr="00A34388" w:rsidRDefault="00A33040" w:rsidP="00AA6702">
            <w:pPr>
              <w:rPr>
                <w:rFonts w:eastAsia="Batang" w:cs="Arial"/>
                <w:color w:val="000000"/>
                <w:sz w:val="16"/>
                <w:szCs w:val="16"/>
                <w:lang w:val="es-ES_tradnl" w:eastAsia="ko-KR"/>
              </w:rPr>
            </w:pPr>
            <w:r w:rsidRPr="00332758">
              <w:rPr>
                <w:rFonts w:eastAsia="Batang" w:cs="Arial"/>
                <w:sz w:val="16"/>
                <w:szCs w:val="16"/>
                <w:lang w:val="es-ES_tradnl" w:eastAsia="ko-KR"/>
              </w:rPr>
              <w:t>Seminario nacional sobre el derecho de autor y los derechos conexos.</w:t>
            </w:r>
          </w:p>
        </w:tc>
        <w:tc>
          <w:tcPr>
            <w:tcW w:w="1134" w:type="dxa"/>
            <w:shd w:val="clear" w:color="auto" w:fill="auto"/>
            <w:tcMar>
              <w:top w:w="110" w:type="dxa"/>
            </w:tcMar>
          </w:tcPr>
          <w:p w:rsidR="00A33040" w:rsidRPr="00A34388" w:rsidRDefault="00A33040" w:rsidP="00AA6702">
            <w:pPr>
              <w:rPr>
                <w:rFonts w:cs="Arial"/>
                <w:color w:val="808080"/>
                <w:sz w:val="16"/>
                <w:szCs w:val="16"/>
                <w:lang w:val="es-ES_tradnl"/>
              </w:rPr>
            </w:pPr>
            <w:r w:rsidRPr="00332758">
              <w:rPr>
                <w:rFonts w:cs="Arial"/>
                <w:sz w:val="16"/>
                <w:szCs w:val="16"/>
                <w:lang w:val="es-ES_tradnl"/>
              </w:rPr>
              <w:t>6 y 7 de junio de 2013</w:t>
            </w:r>
          </w:p>
        </w:tc>
        <w:tc>
          <w:tcPr>
            <w:tcW w:w="1843" w:type="dxa"/>
            <w:shd w:val="clear" w:color="auto" w:fill="auto"/>
            <w:tcMar>
              <w:top w:w="110" w:type="dxa"/>
            </w:tcMar>
          </w:tcPr>
          <w:p w:rsidR="00A33040" w:rsidRPr="00A34388" w:rsidRDefault="00A33040" w:rsidP="00AA6702">
            <w:pPr>
              <w:rPr>
                <w:rFonts w:cs="Arial"/>
                <w:bCs/>
                <w:kern w:val="36"/>
                <w:sz w:val="16"/>
                <w:szCs w:val="16"/>
                <w:lang w:val="es-ES_tradnl" w:eastAsia="ko-KR"/>
              </w:rPr>
            </w:pPr>
            <w:r w:rsidRPr="00332758">
              <w:rPr>
                <w:rFonts w:cs="Arial"/>
                <w:bCs/>
                <w:kern w:val="36"/>
                <w:sz w:val="16"/>
                <w:szCs w:val="16"/>
                <w:lang w:val="es-ES_tradnl" w:eastAsia="ko-KR"/>
              </w:rPr>
              <w:t>Camboya:  85 participantes locales</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Ayudar al país a fortalecer su oficina de derecho de autor y proporcionarle información sobre el contenido y las ventajas de los tratados internacionales en el ámbito del derecho de autor y derechos conexos</w:t>
            </w:r>
          </w:p>
        </w:tc>
      </w:tr>
      <w:tr w:rsidR="00A33040" w:rsidRPr="00A9508D" w:rsidTr="00AA6702">
        <w:tc>
          <w:tcPr>
            <w:tcW w:w="1873" w:type="dxa"/>
          </w:tcPr>
          <w:p w:rsidR="00A33040" w:rsidRPr="00A34388" w:rsidRDefault="00A33040" w:rsidP="00AA6702">
            <w:pPr>
              <w:rPr>
                <w:rFonts w:eastAsia="Batang" w:cs="Arial"/>
                <w:color w:val="000000"/>
                <w:sz w:val="16"/>
                <w:szCs w:val="16"/>
                <w:lang w:val="es-ES_tradnl" w:eastAsia="ko-KR"/>
              </w:rPr>
            </w:pPr>
            <w:r w:rsidRPr="00332758">
              <w:rPr>
                <w:rFonts w:eastAsia="Batang" w:cs="Arial"/>
                <w:sz w:val="16"/>
                <w:szCs w:val="16"/>
                <w:lang w:val="es-ES_tradnl" w:eastAsia="ko-KR"/>
              </w:rPr>
              <w:t>Taller nacional sobre el derecho de autor y las industrias creativas.</w:t>
            </w:r>
          </w:p>
        </w:tc>
        <w:tc>
          <w:tcPr>
            <w:tcW w:w="1134" w:type="dxa"/>
            <w:shd w:val="clear" w:color="auto" w:fill="auto"/>
            <w:tcMar>
              <w:top w:w="110" w:type="dxa"/>
            </w:tcMar>
          </w:tcPr>
          <w:p w:rsidR="00A33040" w:rsidRPr="00332758" w:rsidRDefault="00A33040" w:rsidP="00AA6702">
            <w:pPr>
              <w:rPr>
                <w:rFonts w:cs="Arial"/>
                <w:sz w:val="16"/>
                <w:szCs w:val="16"/>
                <w:lang w:val="es-ES_tradnl"/>
              </w:rPr>
            </w:pPr>
            <w:r w:rsidRPr="00332758">
              <w:rPr>
                <w:rFonts w:cs="Arial"/>
                <w:sz w:val="16"/>
                <w:szCs w:val="16"/>
                <w:lang w:val="es-ES_tradnl"/>
              </w:rPr>
              <w:t>23 y 24 de julio de 2013</w:t>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A34388">
              <w:rPr>
                <w:rFonts w:cs="Arial"/>
                <w:sz w:val="16"/>
                <w:szCs w:val="16"/>
                <w:lang w:val="es-ES_tradnl"/>
              </w:rPr>
              <w:t>Filipinas/100 participantes locales</w:t>
            </w:r>
          </w:p>
        </w:tc>
        <w:tc>
          <w:tcPr>
            <w:tcW w:w="4252" w:type="dxa"/>
            <w:shd w:val="clear" w:color="auto" w:fill="FFFFFF"/>
            <w:tcMar>
              <w:top w:w="110" w:type="dxa"/>
            </w:tcMar>
          </w:tcPr>
          <w:p w:rsidR="00A33040" w:rsidRPr="00332758" w:rsidRDefault="00A33040" w:rsidP="00AA6702">
            <w:pPr>
              <w:rPr>
                <w:rFonts w:cs="Arial"/>
                <w:sz w:val="16"/>
                <w:szCs w:val="16"/>
                <w:lang w:val="es-ES_tradnl" w:eastAsia="ko-KR"/>
              </w:rPr>
            </w:pPr>
            <w:r w:rsidRPr="00332758">
              <w:rPr>
                <w:rFonts w:cs="Arial"/>
                <w:sz w:val="16"/>
                <w:szCs w:val="16"/>
                <w:lang w:val="es-ES_tradnl" w:eastAsia="ko-KR"/>
              </w:rPr>
              <w:t>Sensibilizar a los encargados de la adopción de políticas y los principales sectores interesados acerca de la importancia del derecho de autor para velar por un crecimiento sostenido de las industrias creativas, así como por la prosperidad cultural;  e impartirles conocimientos prácticos que les sirvan para elaborar y mantener políticas y estrategias adecuadas en materia de derecho de autor.</w:t>
            </w:r>
          </w:p>
        </w:tc>
      </w:tr>
      <w:tr w:rsidR="00A33040" w:rsidRPr="00A9508D" w:rsidTr="00AA6702">
        <w:tc>
          <w:tcPr>
            <w:tcW w:w="1873" w:type="dxa"/>
            <w:tcBorders>
              <w:bottom w:val="single" w:sz="4" w:space="0" w:color="000000"/>
            </w:tcBorders>
          </w:tcPr>
          <w:p w:rsidR="00A33040" w:rsidRPr="00A34388" w:rsidRDefault="00A33040" w:rsidP="00AA6702">
            <w:pPr>
              <w:rPr>
                <w:rFonts w:eastAsia="Batang" w:cs="Arial"/>
                <w:color w:val="000000"/>
                <w:sz w:val="16"/>
                <w:szCs w:val="16"/>
                <w:lang w:val="es-ES_tradnl" w:eastAsia="ko-KR"/>
              </w:rPr>
            </w:pPr>
            <w:r w:rsidRPr="00A34388">
              <w:rPr>
                <w:rFonts w:eastAsia="Batang" w:cs="Arial"/>
                <w:color w:val="000000"/>
                <w:sz w:val="16"/>
                <w:szCs w:val="16"/>
                <w:lang w:val="es-ES_tradnl" w:eastAsia="ko-KR"/>
              </w:rPr>
              <w:t xml:space="preserve">Taller subregional sobre cooperación en materia de derecho de autor y derechos conexos  </w:t>
            </w:r>
          </w:p>
        </w:tc>
        <w:tc>
          <w:tcPr>
            <w:tcW w:w="1134" w:type="dxa"/>
            <w:tcBorders>
              <w:bottom w:val="single" w:sz="4" w:space="0" w:color="000000"/>
            </w:tcBorders>
            <w:shd w:val="clear" w:color="auto" w:fill="auto"/>
            <w:tcMar>
              <w:top w:w="110" w:type="dxa"/>
            </w:tcMar>
          </w:tcPr>
          <w:p w:rsidR="00A33040" w:rsidRPr="00A34388" w:rsidRDefault="00A33040" w:rsidP="00AA6702">
            <w:pPr>
              <w:rPr>
                <w:rFonts w:cs="Arial"/>
                <w:color w:val="000000"/>
                <w:sz w:val="16"/>
                <w:szCs w:val="16"/>
                <w:lang w:val="es-ES_tradnl"/>
              </w:rPr>
            </w:pPr>
            <w:r w:rsidRPr="00332758">
              <w:rPr>
                <w:rFonts w:cs="Arial"/>
                <w:sz w:val="16"/>
                <w:szCs w:val="16"/>
                <w:lang w:val="es-ES_tradnl"/>
              </w:rPr>
              <w:t>28 de agosto de 2013</w:t>
            </w:r>
          </w:p>
        </w:tc>
        <w:tc>
          <w:tcPr>
            <w:tcW w:w="1843" w:type="dxa"/>
            <w:tcBorders>
              <w:bottom w:val="single" w:sz="4" w:space="0" w:color="000000"/>
            </w:tcBorders>
            <w:shd w:val="clear" w:color="auto" w:fill="auto"/>
            <w:tcMar>
              <w:top w:w="110" w:type="dxa"/>
            </w:tcMar>
          </w:tcPr>
          <w:p w:rsidR="00A33040" w:rsidRPr="00A34388" w:rsidRDefault="00A33040" w:rsidP="00AA6702">
            <w:pPr>
              <w:rPr>
                <w:rFonts w:cs="Arial"/>
                <w:sz w:val="16"/>
                <w:szCs w:val="16"/>
                <w:lang w:val="es-ES_tradnl"/>
              </w:rPr>
            </w:pPr>
            <w:r w:rsidRPr="00A34388">
              <w:rPr>
                <w:rFonts w:cs="Arial"/>
                <w:sz w:val="16"/>
                <w:szCs w:val="16"/>
                <w:lang w:val="es-ES_tradnl"/>
              </w:rPr>
              <w:t>China/9 participantes de Mongolia, República de Corea y Federación de Rusia, y 12 participantes locales</w:t>
            </w:r>
          </w:p>
          <w:p w:rsidR="00A33040" w:rsidRPr="00A34388" w:rsidRDefault="00A33040" w:rsidP="00AA6702">
            <w:pPr>
              <w:rPr>
                <w:rFonts w:cs="Arial"/>
                <w:sz w:val="16"/>
                <w:szCs w:val="16"/>
                <w:lang w:val="es-ES_tradnl"/>
              </w:rPr>
            </w:pPr>
          </w:p>
        </w:tc>
        <w:tc>
          <w:tcPr>
            <w:tcW w:w="4252" w:type="dxa"/>
            <w:tcBorders>
              <w:bottom w:val="single" w:sz="4" w:space="0" w:color="000000"/>
            </w:tcBorders>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 xml:space="preserve">Brindar una oportunidad para el intercambio de información y experiencias entre países vecinos en relación con las cuestiones que atañen al sistema de derecho de autor y a su desarrollo, y explorar posibles colaboraciones ulteriores en lo que respecta al derecho de autor y los derechos conexos </w:t>
            </w:r>
          </w:p>
        </w:tc>
      </w:tr>
      <w:tr w:rsidR="00A33040" w:rsidRPr="00A9508D" w:rsidTr="00AA6702">
        <w:tc>
          <w:tcPr>
            <w:tcW w:w="9102" w:type="dxa"/>
            <w:gridSpan w:val="4"/>
            <w:tcBorders>
              <w:top w:val="single" w:sz="4" w:space="0" w:color="000000"/>
              <w:bottom w:val="single" w:sz="4" w:space="0" w:color="000000"/>
            </w:tcBorders>
            <w:shd w:val="clear" w:color="auto" w:fill="CCFFFF"/>
            <w:vAlign w:val="center"/>
          </w:tcPr>
          <w:p w:rsidR="00A33040" w:rsidRPr="002770F6" w:rsidRDefault="00A33040" w:rsidP="00AA6702">
            <w:pPr>
              <w:keepNext/>
              <w:keepLines/>
              <w:tabs>
                <w:tab w:val="left" w:pos="1740"/>
              </w:tabs>
              <w:spacing w:before="120" w:after="120"/>
              <w:ind w:left="1701" w:hanging="1701"/>
              <w:rPr>
                <w:rFonts w:cs="Arial"/>
                <w:bCs/>
                <w:sz w:val="16"/>
                <w:szCs w:val="16"/>
                <w:lang w:val="es-ES_tradnl"/>
              </w:rPr>
            </w:pPr>
            <w:r w:rsidRPr="00A34388">
              <w:rPr>
                <w:rFonts w:cs="Arial"/>
                <w:b/>
                <w:bCs/>
                <w:color w:val="000000"/>
                <w:sz w:val="16"/>
                <w:szCs w:val="16"/>
                <w:lang w:val="es-ES_tradnl"/>
              </w:rPr>
              <w:t>RESULTADO:</w:t>
            </w:r>
            <w:r w:rsidRPr="00332758">
              <w:rPr>
                <w:rFonts w:cs="Arial"/>
                <w:bCs/>
                <w:sz w:val="16"/>
                <w:szCs w:val="16"/>
                <w:lang w:val="es-ES_tradnl"/>
              </w:rPr>
              <w:tab/>
              <w:t xml:space="preserve">Mayor sensibilización y capacidad de los Estados miembros en materia de derecho de autor y derechos </w:t>
            </w:r>
            <w:r w:rsidRPr="002770F6">
              <w:rPr>
                <w:rFonts w:cs="Arial"/>
                <w:bCs/>
                <w:sz w:val="16"/>
                <w:szCs w:val="16"/>
                <w:lang w:val="es-ES_tradnl"/>
              </w:rPr>
              <w:t>conexos.</w:t>
            </w:r>
          </w:p>
          <w:p w:rsidR="00A33040" w:rsidRPr="00A34388" w:rsidRDefault="00A33040" w:rsidP="00AA6702">
            <w:pPr>
              <w:keepNext/>
              <w:keepLines/>
              <w:ind w:left="1701"/>
              <w:rPr>
                <w:rFonts w:cs="Arial"/>
                <w:bCs/>
                <w:sz w:val="16"/>
                <w:szCs w:val="16"/>
                <w:lang w:val="es-ES_tradnl"/>
              </w:rPr>
            </w:pPr>
            <w:r w:rsidRPr="00332758">
              <w:rPr>
                <w:rFonts w:cs="Arial"/>
                <w:bCs/>
                <w:sz w:val="16"/>
                <w:szCs w:val="16"/>
                <w:lang w:val="es-ES_tradnl"/>
              </w:rPr>
              <w:t>Mejora en la infraestructura técnica y de conocimientos de las oficinas y demás instituciones de P.I. que les permite prestar mejores servicios (más económicos, más rápidos y de mejor calidad) a sus usuarios</w:t>
            </w:r>
          </w:p>
          <w:p w:rsidR="00A33040" w:rsidRPr="00A34388" w:rsidRDefault="00A33040" w:rsidP="00AA6702">
            <w:pPr>
              <w:keepNext/>
              <w:keepLines/>
              <w:ind w:left="1701"/>
              <w:rPr>
                <w:rFonts w:cs="Arial"/>
                <w:bCs/>
                <w:sz w:val="16"/>
                <w:szCs w:val="16"/>
                <w:lang w:val="es-ES_tradnl"/>
              </w:rPr>
            </w:pPr>
          </w:p>
        </w:tc>
      </w:tr>
      <w:tr w:rsidR="00A33040" w:rsidRPr="00A34388" w:rsidTr="00AA6702">
        <w:tc>
          <w:tcPr>
            <w:tcW w:w="1873"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843"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0F2E30">
              <w:rPr>
                <w:rFonts w:cs="Arial"/>
                <w:b/>
                <w:sz w:val="16"/>
                <w:szCs w:val="16"/>
                <w:lang w:val="es-ES_tradnl"/>
              </w:rPr>
              <w:t xml:space="preserve"> </w:t>
            </w:r>
            <w:r w:rsidRPr="00332758">
              <w:rPr>
                <w:rFonts w:cs="Arial"/>
                <w:b/>
                <w:sz w:val="16"/>
                <w:szCs w:val="16"/>
                <w:lang w:val="es-ES_tradnl"/>
              </w:rPr>
              <w:t>/</w:t>
            </w:r>
            <w:r w:rsidR="000F2E30">
              <w:rPr>
                <w:rFonts w:cs="Arial"/>
                <w:b/>
                <w:sz w:val="16"/>
                <w:szCs w:val="16"/>
                <w:lang w:val="es-ES_tradnl"/>
              </w:rPr>
              <w:t xml:space="preserve"> </w:t>
            </w:r>
            <w:r w:rsidRPr="00332758">
              <w:rPr>
                <w:rFonts w:cs="Arial"/>
                <w:b/>
                <w:sz w:val="16"/>
                <w:szCs w:val="16"/>
                <w:lang w:val="es-ES_tradnl"/>
              </w:rPr>
              <w:t>Beneficiarios</w:t>
            </w:r>
          </w:p>
        </w:tc>
        <w:tc>
          <w:tcPr>
            <w:tcW w:w="4252"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eastAsia="Batang" w:cs="Arial"/>
                <w:color w:val="000000"/>
                <w:sz w:val="16"/>
                <w:szCs w:val="16"/>
                <w:lang w:val="es-ES_tradnl" w:eastAsia="ko-KR"/>
              </w:rPr>
              <w:t>Traducción al bengalí e impresión de las publicaciones de la OMPI “From Artist to Audience” y “Las creaciones artísticas y el derecho de autor”, de la serie “Aprender del pasado para crear el futuro”</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Julio de 2012 a julio de 2013</w:t>
            </w:r>
          </w:p>
        </w:tc>
        <w:tc>
          <w:tcPr>
            <w:tcW w:w="1843" w:type="dxa"/>
            <w:shd w:val="clear" w:color="auto" w:fill="auto"/>
            <w:tcMar>
              <w:top w:w="110" w:type="dxa"/>
            </w:tcMar>
          </w:tcPr>
          <w:p w:rsidR="00A33040" w:rsidRPr="00332758" w:rsidRDefault="00A33040" w:rsidP="00AA6702">
            <w:pPr>
              <w:rPr>
                <w:rFonts w:cs="Arial"/>
                <w:sz w:val="16"/>
                <w:szCs w:val="16"/>
                <w:lang w:val="es-ES_tradnl"/>
              </w:rPr>
            </w:pPr>
            <w:r w:rsidRPr="00332758">
              <w:rPr>
                <w:rFonts w:cs="Arial"/>
                <w:sz w:val="16"/>
                <w:szCs w:val="16"/>
                <w:lang w:val="es-ES_tradnl"/>
              </w:rPr>
              <w:t>Bangladesh</w:t>
            </w:r>
          </w:p>
        </w:tc>
        <w:tc>
          <w:tcPr>
            <w:tcW w:w="4252" w:type="dxa"/>
            <w:shd w:val="clear" w:color="auto" w:fill="FFFFFF"/>
            <w:tcMar>
              <w:top w:w="110" w:type="dxa"/>
            </w:tcMar>
          </w:tcPr>
          <w:p w:rsidR="00A33040" w:rsidRPr="00A34388" w:rsidRDefault="00A33040" w:rsidP="00AA6702">
            <w:pPr>
              <w:rPr>
                <w:rFonts w:cs="Arial"/>
                <w:kern w:val="2"/>
                <w:sz w:val="16"/>
                <w:szCs w:val="16"/>
                <w:lang w:val="es-ES_tradnl" w:eastAsia="ko-KR"/>
              </w:rPr>
            </w:pPr>
            <w:r w:rsidRPr="00A34388">
              <w:rPr>
                <w:rFonts w:cs="Arial"/>
                <w:sz w:val="16"/>
                <w:szCs w:val="16"/>
                <w:lang w:val="es-ES_tradnl" w:eastAsia="ko-KR"/>
              </w:rPr>
              <w:t>Potenciar la concienciación sobre el derecho de autor y derechos conexos entre funcionarios gubernamentales y expertos jurídicos, así como entre titulares de derechos y usuarios, mediante la traducción a los idiomas locales de publicaciones de la OMPI sobre derecho de autor y derechos conexos</w:t>
            </w:r>
          </w:p>
        </w:tc>
      </w:tr>
    </w:tbl>
    <w:p w:rsidR="000F2E30" w:rsidRPr="00A9508D" w:rsidRDefault="000F2E30">
      <w:pPr>
        <w:rPr>
          <w:lang w:val="es-ES"/>
        </w:rPr>
      </w:pPr>
      <w:r w:rsidRPr="00A9508D">
        <w:rPr>
          <w:lang w:val="es-ES"/>
        </w:rPr>
        <w:br w:type="page"/>
      </w: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252"/>
      </w:tblGrid>
      <w:tr w:rsidR="00A33040" w:rsidRPr="00A9508D"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cs="Arial"/>
                <w:color w:val="000000"/>
                <w:sz w:val="16"/>
                <w:szCs w:val="16"/>
                <w:lang w:val="es-ES_tradnl"/>
              </w:rPr>
              <w:lastRenderedPageBreak/>
              <w:t xml:space="preserve">Traducción e impresión del Tratado de la OMPI sobre Derecho de Autor y el Tratado de la OMPI sobre Interpretación o Ejecución y Fonogramas en el idioma local de Camboya </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 xml:space="preserve">Marzo de 2013 13 de junio de 2013 </w:t>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332758">
              <w:rPr>
                <w:rFonts w:cs="Arial"/>
                <w:sz w:val="16"/>
                <w:szCs w:val="16"/>
                <w:lang w:val="es-ES_tradnl"/>
              </w:rPr>
              <w:t>Camboya</w:t>
            </w:r>
          </w:p>
        </w:tc>
        <w:tc>
          <w:tcPr>
            <w:tcW w:w="4252" w:type="dxa"/>
            <w:shd w:val="clear" w:color="auto" w:fill="FFFFFF"/>
            <w:tcMar>
              <w:top w:w="110" w:type="dxa"/>
            </w:tcMar>
          </w:tcPr>
          <w:p w:rsidR="00A33040" w:rsidRPr="00A34388" w:rsidRDefault="00A33040" w:rsidP="00AA6702">
            <w:pPr>
              <w:rPr>
                <w:rFonts w:cs="Arial"/>
                <w:kern w:val="2"/>
                <w:sz w:val="16"/>
                <w:szCs w:val="16"/>
                <w:lang w:val="es-ES_tradnl" w:eastAsia="ko-KR"/>
              </w:rPr>
            </w:pPr>
            <w:r w:rsidRPr="00A34388">
              <w:rPr>
                <w:rFonts w:cs="Arial"/>
                <w:sz w:val="16"/>
                <w:szCs w:val="16"/>
                <w:lang w:val="es-ES_tradnl" w:eastAsia="ko-KR"/>
              </w:rPr>
              <w:t xml:space="preserve">Potenciar la concienciación sobre el derecho de autor y derechos conexos entre funcionarios gubernamentales y expertos jurídicos, así como entre titulares de derechos y usuarios, mediante la traducción a los idiomas locales de los tratados de la OMPI sobre derecho de autor y derechos conexos </w:t>
            </w:r>
          </w:p>
        </w:tc>
      </w:tr>
      <w:tr w:rsidR="00A33040" w:rsidRPr="00A9508D" w:rsidTr="00AA6702">
        <w:tc>
          <w:tcPr>
            <w:tcW w:w="1873" w:type="dxa"/>
          </w:tcPr>
          <w:p w:rsidR="00A33040" w:rsidRPr="00A34388" w:rsidRDefault="00A33040" w:rsidP="00AA6702">
            <w:pPr>
              <w:rPr>
                <w:rFonts w:cs="Arial"/>
                <w:color w:val="808080"/>
                <w:sz w:val="16"/>
                <w:szCs w:val="16"/>
                <w:lang w:val="es-ES_tradnl"/>
              </w:rPr>
            </w:pPr>
            <w:r w:rsidRPr="00332758">
              <w:rPr>
                <w:rFonts w:cs="Arial"/>
                <w:sz w:val="16"/>
                <w:szCs w:val="16"/>
                <w:lang w:val="es-ES_tradnl"/>
              </w:rPr>
              <w:t>Visita de estudio a la Comisión de Derecho de Autor de la República de Corea.</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332758">
              <w:rPr>
                <w:rFonts w:cs="Arial"/>
                <w:sz w:val="16"/>
                <w:szCs w:val="16"/>
                <w:lang w:val="es-ES_tradnl"/>
              </w:rPr>
              <w:t>22 a 25 de octubre de 2013</w:t>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332758">
              <w:rPr>
                <w:rFonts w:cs="Arial"/>
                <w:sz w:val="16"/>
                <w:szCs w:val="16"/>
                <w:lang w:val="es-ES_tradnl"/>
              </w:rPr>
              <w:t>República de Corea</w:t>
            </w:r>
            <w:r w:rsidRPr="00A34388">
              <w:rPr>
                <w:rFonts w:cs="Arial"/>
                <w:sz w:val="16"/>
                <w:szCs w:val="16"/>
                <w:lang w:val="es-ES_tradnl"/>
              </w:rPr>
              <w:t xml:space="preserve"> </w:t>
            </w:r>
          </w:p>
          <w:p w:rsidR="00A33040" w:rsidRPr="00A34388" w:rsidRDefault="00A33040" w:rsidP="000F2E30">
            <w:pPr>
              <w:rPr>
                <w:rFonts w:cs="Arial"/>
                <w:sz w:val="16"/>
                <w:szCs w:val="16"/>
                <w:lang w:val="es-ES_tradnl"/>
              </w:rPr>
            </w:pPr>
            <w:r w:rsidRPr="00A34388">
              <w:rPr>
                <w:rFonts w:cs="Arial"/>
                <w:sz w:val="16"/>
                <w:szCs w:val="16"/>
                <w:lang w:val="es-ES_tradnl"/>
              </w:rPr>
              <w:t>12 participantes extranjeros de Bahrein, Brasil, Chile, Ecuador, Ghana, India, Indonesia, Malasia, Filipinas, Sudán, Tailandia y Yemen</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 xml:space="preserve">Ofrecer a los participantes la oportunidad de conocer la experiencia coreana en la administración de derechos de autor y derechos conexos como actividad que puede ayudarles a reforzar su capacidad para formular políticas de derecho de autor, modernizar sus marcos legislativo y administrativo y mejorar el funcionamiento de las entidades que gestionan derechos de autor en sus respectivos países </w:t>
            </w:r>
          </w:p>
        </w:tc>
      </w:tr>
      <w:tr w:rsidR="00A33040" w:rsidRPr="00A9508D"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cs="Arial"/>
                <w:color w:val="000000"/>
                <w:sz w:val="16"/>
                <w:szCs w:val="16"/>
                <w:lang w:val="es-ES_tradnl"/>
              </w:rPr>
              <w:t xml:space="preserve">Traducción e impresión de publicaciones de la OMPI en el idioma local de Etiopía </w:t>
            </w:r>
          </w:p>
        </w:tc>
        <w:tc>
          <w:tcPr>
            <w:tcW w:w="1134" w:type="dxa"/>
            <w:shd w:val="clear" w:color="auto" w:fill="auto"/>
            <w:tcMar>
              <w:top w:w="110" w:type="dxa"/>
            </w:tcMar>
          </w:tcPr>
          <w:p w:rsidR="00A33040" w:rsidRPr="00A34388" w:rsidRDefault="00A33040" w:rsidP="00AA6702">
            <w:pPr>
              <w:rPr>
                <w:rFonts w:cs="Arial"/>
                <w:color w:val="000000"/>
                <w:sz w:val="16"/>
                <w:szCs w:val="16"/>
                <w:lang w:val="es-ES_tradnl"/>
              </w:rPr>
            </w:pPr>
            <w:r w:rsidRPr="00332758">
              <w:rPr>
                <w:rFonts w:cs="Arial"/>
                <w:sz w:val="16"/>
                <w:szCs w:val="16"/>
                <w:lang w:val="es-ES_tradnl"/>
              </w:rPr>
              <w:t>Noviembre de 2013 a</w:t>
            </w:r>
            <w:r w:rsidRPr="00A34388">
              <w:rPr>
                <w:rFonts w:cs="Arial"/>
                <w:color w:val="000000"/>
                <w:sz w:val="16"/>
                <w:szCs w:val="16"/>
                <w:lang w:val="es-ES_tradnl"/>
              </w:rPr>
              <w:t xml:space="preserve"> </w:t>
            </w:r>
          </w:p>
          <w:p w:rsidR="00A33040" w:rsidRPr="00A34388" w:rsidRDefault="00A33040" w:rsidP="00AA6702">
            <w:pPr>
              <w:rPr>
                <w:rFonts w:cs="Arial"/>
                <w:color w:val="000000"/>
                <w:sz w:val="16"/>
                <w:szCs w:val="16"/>
                <w:lang w:val="es-ES_tradnl"/>
              </w:rPr>
            </w:pPr>
            <w:r w:rsidRPr="00332758">
              <w:rPr>
                <w:rFonts w:cs="Arial"/>
                <w:sz w:val="16"/>
                <w:szCs w:val="16"/>
                <w:lang w:val="es-ES_tradnl"/>
              </w:rPr>
              <w:t>(abril de 2014).</w:t>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332758">
              <w:rPr>
                <w:rFonts w:cs="Arial"/>
                <w:sz w:val="16"/>
                <w:szCs w:val="16"/>
                <w:lang w:val="es-ES_tradnl"/>
              </w:rPr>
              <w:t>Etiopía</w:t>
            </w:r>
          </w:p>
        </w:tc>
        <w:tc>
          <w:tcPr>
            <w:tcW w:w="4252" w:type="dxa"/>
            <w:shd w:val="clear" w:color="auto" w:fill="FFFFFF"/>
            <w:tcMar>
              <w:top w:w="110" w:type="dxa"/>
            </w:tcMar>
          </w:tcPr>
          <w:p w:rsidR="00A33040" w:rsidRPr="00A34388" w:rsidRDefault="00A33040" w:rsidP="00AA6702">
            <w:pPr>
              <w:rPr>
                <w:rFonts w:cs="Arial"/>
                <w:kern w:val="2"/>
                <w:sz w:val="16"/>
                <w:szCs w:val="16"/>
                <w:lang w:val="es-ES_tradnl" w:eastAsia="ko-KR"/>
              </w:rPr>
            </w:pPr>
            <w:r w:rsidRPr="00A34388">
              <w:rPr>
                <w:rFonts w:cs="Arial"/>
                <w:sz w:val="16"/>
                <w:szCs w:val="16"/>
                <w:lang w:val="es-ES_tradnl" w:eastAsia="ko-KR"/>
              </w:rPr>
              <w:t>Potenciar la concienciación sobre el derecho de autor y derechos conexos entre funcionarios gubernamentales y expertos jurídicos, así como entre titulares de derechos y usuarios, mediante la traducción a los idiomas locales de publicaciones de la OMPI sobre derecho de autor y derechos conexos</w:t>
            </w:r>
          </w:p>
          <w:p w:rsidR="00A33040" w:rsidRPr="00A34388" w:rsidRDefault="00A33040" w:rsidP="00AA6702">
            <w:pPr>
              <w:rPr>
                <w:rFonts w:cs="Arial"/>
                <w:kern w:val="2"/>
                <w:sz w:val="16"/>
                <w:szCs w:val="16"/>
                <w:lang w:val="es-ES_tradnl" w:eastAsia="ko-KR"/>
              </w:rPr>
            </w:pPr>
          </w:p>
        </w:tc>
      </w:tr>
      <w:tr w:rsidR="00A33040" w:rsidRPr="00A9508D" w:rsidTr="00AA6702">
        <w:tc>
          <w:tcPr>
            <w:tcW w:w="1873" w:type="dxa"/>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Proyecto nacional de aumento de la concienciación sobre el derecho de autor y derechos conexos en Bhután</w:t>
            </w:r>
          </w:p>
        </w:tc>
        <w:tc>
          <w:tcPr>
            <w:tcW w:w="1134" w:type="dxa"/>
            <w:shd w:val="clear" w:color="auto" w:fill="auto"/>
            <w:tcMar>
              <w:top w:w="110" w:type="dxa"/>
            </w:tcMar>
          </w:tcPr>
          <w:p w:rsidR="00A33040" w:rsidRPr="00332758" w:rsidRDefault="00A33040" w:rsidP="00AA6702">
            <w:pPr>
              <w:rPr>
                <w:rFonts w:cs="Arial"/>
                <w:sz w:val="16"/>
                <w:szCs w:val="16"/>
                <w:lang w:val="es-ES_tradnl"/>
              </w:rPr>
            </w:pPr>
            <w:r w:rsidRPr="00332758">
              <w:rPr>
                <w:rFonts w:cs="Arial"/>
                <w:sz w:val="16"/>
                <w:szCs w:val="16"/>
                <w:lang w:val="es-ES_tradnl"/>
              </w:rPr>
              <w:t xml:space="preserve">Noviembre a </w:t>
            </w:r>
          </w:p>
          <w:p w:rsidR="00A33040" w:rsidRPr="00A34388" w:rsidRDefault="00A33040" w:rsidP="00AA6702">
            <w:pPr>
              <w:rPr>
                <w:rFonts w:cs="Arial"/>
                <w:color w:val="000000"/>
                <w:sz w:val="16"/>
                <w:szCs w:val="16"/>
                <w:lang w:val="es-ES_tradnl"/>
              </w:rPr>
            </w:pPr>
            <w:r w:rsidRPr="00332758">
              <w:rPr>
                <w:rFonts w:cs="Arial"/>
                <w:sz w:val="16"/>
                <w:szCs w:val="16"/>
                <w:lang w:val="es-ES_tradnl"/>
              </w:rPr>
              <w:t>Diciembre de 2013</w:t>
            </w:r>
            <w:r w:rsidRPr="00332758">
              <w:rPr>
                <w:rStyle w:val="FootnoteReference"/>
                <w:rFonts w:cs="Arial"/>
                <w:sz w:val="16"/>
                <w:szCs w:val="16"/>
                <w:lang w:val="es-ES_tradnl"/>
              </w:rPr>
              <w:footnoteReference w:id="52"/>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332758">
              <w:rPr>
                <w:rFonts w:cs="Arial"/>
                <w:sz w:val="16"/>
                <w:szCs w:val="16"/>
                <w:lang w:val="es-ES_tradnl"/>
              </w:rPr>
              <w:t>Bhután</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cs="Arial"/>
                <w:sz w:val="16"/>
                <w:szCs w:val="16"/>
                <w:lang w:val="es-ES_tradnl" w:eastAsia="ko-KR"/>
              </w:rPr>
              <w:t>Mejorar la capacidad del país de poner en marcha programas sistemáticos de concienciación y fortalecimiento de capacidades, creando así un entorno adecuado para el uso y protección eficaces del derecho de autor y derechos conexos</w:t>
            </w:r>
          </w:p>
        </w:tc>
      </w:tr>
      <w:tr w:rsidR="00A33040" w:rsidRPr="00A9508D" w:rsidTr="00AA6702">
        <w:tc>
          <w:tcPr>
            <w:tcW w:w="1873" w:type="dxa"/>
          </w:tcPr>
          <w:p w:rsidR="00A33040" w:rsidRPr="00A34388" w:rsidRDefault="00A33040" w:rsidP="00AA6702">
            <w:pPr>
              <w:rPr>
                <w:rFonts w:eastAsia="Batang" w:cs="Arial"/>
                <w:color w:val="000000"/>
                <w:sz w:val="16"/>
                <w:szCs w:val="16"/>
                <w:lang w:val="es-ES_tradnl" w:eastAsia="ko-KR"/>
              </w:rPr>
            </w:pPr>
            <w:r w:rsidRPr="00A34388">
              <w:rPr>
                <w:rFonts w:cs="Arial"/>
                <w:color w:val="000000"/>
                <w:sz w:val="16"/>
                <w:szCs w:val="16"/>
                <w:lang w:val="es-ES_tradnl"/>
              </w:rPr>
              <w:t xml:space="preserve">Recopilación de casos sobre derecho de autor y derechos conexos en el ámbito de la música, en la región de Asia y el Pacífico </w:t>
            </w:r>
          </w:p>
          <w:p w:rsidR="00A33040" w:rsidRPr="00A34388" w:rsidRDefault="00A33040" w:rsidP="00AA6702">
            <w:pPr>
              <w:rPr>
                <w:rFonts w:cs="Arial"/>
                <w:color w:val="000000"/>
                <w:sz w:val="16"/>
                <w:szCs w:val="16"/>
                <w:lang w:val="es-ES_tradnl"/>
              </w:rPr>
            </w:pPr>
          </w:p>
        </w:tc>
        <w:tc>
          <w:tcPr>
            <w:tcW w:w="1134" w:type="dxa"/>
            <w:shd w:val="clear" w:color="auto" w:fill="auto"/>
            <w:tcMar>
              <w:top w:w="110" w:type="dxa"/>
            </w:tcMar>
          </w:tcPr>
          <w:p w:rsidR="00A33040" w:rsidRPr="00332758" w:rsidRDefault="00A33040" w:rsidP="00AA6702">
            <w:pPr>
              <w:rPr>
                <w:rFonts w:cs="Arial"/>
                <w:sz w:val="16"/>
                <w:szCs w:val="16"/>
                <w:lang w:val="es-ES_tradnl"/>
              </w:rPr>
            </w:pPr>
            <w:r w:rsidRPr="00332758">
              <w:rPr>
                <w:rFonts w:cs="Arial"/>
                <w:sz w:val="16"/>
                <w:szCs w:val="16"/>
                <w:lang w:val="es-ES_tradnl"/>
              </w:rPr>
              <w:t>Octubre a</w:t>
            </w:r>
          </w:p>
          <w:p w:rsidR="00A33040" w:rsidRPr="00A34388" w:rsidRDefault="00A33040" w:rsidP="00AA6702">
            <w:pPr>
              <w:rPr>
                <w:rFonts w:cs="Arial"/>
                <w:color w:val="000000"/>
                <w:sz w:val="16"/>
                <w:szCs w:val="16"/>
                <w:lang w:val="es-ES_tradnl"/>
              </w:rPr>
            </w:pPr>
            <w:r w:rsidRPr="00332758">
              <w:rPr>
                <w:rFonts w:cs="Arial"/>
                <w:sz w:val="16"/>
                <w:szCs w:val="16"/>
                <w:lang w:val="es-ES_tradnl"/>
              </w:rPr>
              <w:t>Diciembre de 2013</w:t>
            </w:r>
            <w:r w:rsidRPr="00332758">
              <w:rPr>
                <w:rStyle w:val="FootnoteReference"/>
                <w:rFonts w:cs="Arial"/>
                <w:sz w:val="16"/>
                <w:szCs w:val="16"/>
                <w:lang w:val="es-ES_tradnl"/>
              </w:rPr>
              <w:footnoteReference w:id="53"/>
            </w:r>
          </w:p>
        </w:tc>
        <w:tc>
          <w:tcPr>
            <w:tcW w:w="1843" w:type="dxa"/>
            <w:shd w:val="clear" w:color="auto" w:fill="auto"/>
            <w:tcMar>
              <w:top w:w="110" w:type="dxa"/>
            </w:tcMar>
          </w:tcPr>
          <w:p w:rsidR="00A33040" w:rsidRPr="00A34388" w:rsidRDefault="00A33040" w:rsidP="00AA6702">
            <w:pPr>
              <w:rPr>
                <w:rFonts w:cs="Arial"/>
                <w:sz w:val="16"/>
                <w:szCs w:val="16"/>
                <w:lang w:val="es-ES_tradnl"/>
              </w:rPr>
            </w:pPr>
            <w:r w:rsidRPr="00A34388">
              <w:rPr>
                <w:rFonts w:cs="Arial"/>
                <w:sz w:val="16"/>
                <w:szCs w:val="16"/>
                <w:lang w:val="es-ES_tradnl"/>
              </w:rPr>
              <w:t>Países de Asia y el Pacífico</w:t>
            </w:r>
          </w:p>
        </w:tc>
        <w:tc>
          <w:tcPr>
            <w:tcW w:w="4252" w:type="dxa"/>
            <w:shd w:val="clear" w:color="auto" w:fill="FFFFFF"/>
            <w:tcMar>
              <w:top w:w="110" w:type="dxa"/>
            </w:tcMar>
          </w:tcPr>
          <w:p w:rsidR="00A33040" w:rsidRPr="00A34388" w:rsidRDefault="00A33040" w:rsidP="00AA6702">
            <w:pPr>
              <w:rPr>
                <w:rFonts w:cs="Arial"/>
                <w:sz w:val="16"/>
                <w:szCs w:val="16"/>
                <w:lang w:val="es-ES_tradnl" w:eastAsia="ko-KR"/>
              </w:rPr>
            </w:pPr>
            <w:r w:rsidRPr="00A34388">
              <w:rPr>
                <w:rFonts w:eastAsia="Batang"/>
                <w:sz w:val="16"/>
                <w:szCs w:val="16"/>
                <w:lang w:val="es-ES_tradnl" w:eastAsia="ko-KR"/>
              </w:rPr>
              <w:t xml:space="preserve">Proporcionar información actualizada a los países en desarrollo de la región de Asia y el Pacífico acerca de los casos más recientes que atañen al derecho de autor y derechos conexos en la industria musical </w:t>
            </w:r>
          </w:p>
        </w:tc>
      </w:tr>
    </w:tbl>
    <w:p w:rsidR="00A33040" w:rsidRPr="00A34388" w:rsidRDefault="00A33040" w:rsidP="00A33040">
      <w:pPr>
        <w:keepNext/>
        <w:keepLines/>
        <w:rPr>
          <w:rFonts w:cs="Arial"/>
          <w:b/>
          <w:szCs w:val="20"/>
          <w:lang w:val="es-ES_tradnl"/>
        </w:rPr>
      </w:pPr>
    </w:p>
    <w:p w:rsidR="00A33040" w:rsidRPr="00A34388" w:rsidRDefault="00A33040" w:rsidP="00A33040">
      <w:pPr>
        <w:rPr>
          <w:szCs w:val="20"/>
          <w:lang w:val="es-ES_tradnl"/>
        </w:rPr>
      </w:pPr>
    </w:p>
    <w:p w:rsidR="00A33040" w:rsidRPr="00332758" w:rsidRDefault="00A33040" w:rsidP="00A33040">
      <w:pPr>
        <w:keepNext/>
        <w:keepLines/>
        <w:rPr>
          <w:rFonts w:cs="Arial"/>
          <w:b/>
          <w:bCs/>
          <w:szCs w:val="20"/>
          <w:lang w:val="es-ES_tradnl"/>
        </w:rPr>
      </w:pPr>
      <w:r w:rsidRPr="00332758">
        <w:rPr>
          <w:rFonts w:cs="Arial"/>
          <w:b/>
          <w:bCs/>
          <w:szCs w:val="20"/>
          <w:lang w:val="es-ES_tradnl"/>
        </w:rPr>
        <w:t>REPÚBLICA DE COREA – DERECHO DE AUTOR Contribuciones de donantes y gastos en 2013</w:t>
      </w:r>
      <w:r w:rsidRPr="00332758">
        <w:rPr>
          <w:rFonts w:cs="Arial"/>
          <w:b/>
          <w:bCs/>
          <w:szCs w:val="20"/>
          <w:vertAlign w:val="superscript"/>
          <w:lang w:val="es-ES_tradnl"/>
        </w:rPr>
        <w:t>1</w:t>
      </w:r>
    </w:p>
    <w:p w:rsidR="00A33040" w:rsidRPr="00332758" w:rsidRDefault="00A33040" w:rsidP="00A33040">
      <w:pPr>
        <w:keepNext/>
        <w:keepLines/>
        <w:rPr>
          <w:rFonts w:cs="Arial"/>
          <w:b/>
          <w:bCs/>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532.905</w:t>
            </w:r>
          </w:p>
        </w:tc>
        <w:tc>
          <w:tcPr>
            <w:tcW w:w="165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339.245</w:t>
            </w:r>
          </w:p>
        </w:tc>
        <w:tc>
          <w:tcPr>
            <w:tcW w:w="187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306.326</w:t>
            </w:r>
          </w:p>
        </w:tc>
        <w:tc>
          <w:tcPr>
            <w:tcW w:w="165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after="220"/>
              <w:jc w:val="center"/>
              <w:rPr>
                <w:rFonts w:eastAsia="MS Mincho" w:cs="Arial"/>
                <w:sz w:val="16"/>
                <w:szCs w:val="16"/>
                <w:lang w:val="es-ES_tradnl" w:eastAsia="ja-JP" w:bidi="th-TH"/>
              </w:rPr>
            </w:pPr>
            <w:r w:rsidRPr="00332758">
              <w:rPr>
                <w:rFonts w:cs="Arial"/>
                <w:sz w:val="16"/>
                <w:szCs w:val="16"/>
                <w:lang w:val="es-ES_tradnl"/>
              </w:rPr>
              <w:t>565.824</w:t>
            </w:r>
          </w:p>
        </w:tc>
      </w:tr>
    </w:tbl>
    <w:p w:rsidR="00A33040" w:rsidRPr="000F2E30" w:rsidRDefault="00A33040" w:rsidP="00A33040">
      <w:pPr>
        <w:spacing w:before="120"/>
        <w:rPr>
          <w:sz w:val="18"/>
          <w:szCs w:val="18"/>
          <w:lang w:val="es-ES_tradnl"/>
        </w:rPr>
      </w:pPr>
      <w:r w:rsidRPr="00332758">
        <w:rPr>
          <w:i/>
          <w:sz w:val="18"/>
          <w:szCs w:val="18"/>
          <w:vertAlign w:val="superscript"/>
          <w:lang w:val="es-ES_tradnl"/>
        </w:rPr>
        <w:t xml:space="preserve">1 </w:t>
      </w:r>
      <w:r w:rsidRPr="000F2E30">
        <w:rPr>
          <w:i/>
          <w:sz w:val="18"/>
          <w:szCs w:val="18"/>
          <w:lang w:val="es-ES_tradnl"/>
        </w:rPr>
        <w:t>Estados financieros de la OMPI de 2013 (Anexo III)</w:t>
      </w:r>
    </w:p>
    <w:p w:rsidR="00A33040" w:rsidRPr="00A34388" w:rsidRDefault="00A33040" w:rsidP="00A33040">
      <w:pPr>
        <w:keepNext/>
        <w:keepLines/>
        <w:rPr>
          <w:rFonts w:cs="Arial"/>
          <w:b/>
          <w:bCs/>
          <w:sz w:val="18"/>
          <w:szCs w:val="18"/>
          <w:lang w:val="es-ES_tradnl"/>
        </w:rPr>
      </w:pPr>
    </w:p>
    <w:p w:rsidR="00A33040" w:rsidRPr="00A34388" w:rsidRDefault="00A33040" w:rsidP="00A33040">
      <w:pPr>
        <w:keepNext/>
        <w:keepLines/>
        <w:rPr>
          <w:rFonts w:cs="Arial"/>
          <w:b/>
          <w:bCs/>
          <w:sz w:val="18"/>
          <w:szCs w:val="18"/>
          <w:lang w:val="es-ES_tradnl"/>
        </w:rPr>
      </w:pPr>
    </w:p>
    <w:p w:rsidR="000F2E30" w:rsidRDefault="000F2E30">
      <w:pPr>
        <w:rPr>
          <w:rFonts w:cs="Arial"/>
          <w:b/>
          <w:szCs w:val="20"/>
          <w:lang w:val="es-ES_tradnl"/>
        </w:rPr>
      </w:pPr>
      <w:r>
        <w:rPr>
          <w:rFonts w:cs="Arial"/>
          <w:b/>
          <w:szCs w:val="20"/>
          <w:lang w:val="es-ES_tradnl"/>
        </w:rPr>
        <w:br w:type="page"/>
      </w:r>
    </w:p>
    <w:p w:rsidR="00A33040" w:rsidRPr="00332758" w:rsidRDefault="00A33040" w:rsidP="00A33040">
      <w:pPr>
        <w:rPr>
          <w:rFonts w:cs="Arial"/>
          <w:b/>
          <w:szCs w:val="20"/>
          <w:lang w:val="es-ES_tradnl"/>
        </w:rPr>
      </w:pPr>
      <w:r w:rsidRPr="00332758">
        <w:rPr>
          <w:rFonts w:cs="Arial"/>
          <w:b/>
          <w:szCs w:val="20"/>
          <w:lang w:val="es-ES_tradnl"/>
        </w:rPr>
        <w:lastRenderedPageBreak/>
        <w:t>REPÚBLICA DE COREA (EDUCACIÓN) – Becas en P.I. (Academia)</w:t>
      </w:r>
    </w:p>
    <w:p w:rsidR="00A33040" w:rsidRPr="00A34388" w:rsidRDefault="00A33040" w:rsidP="00A33040">
      <w:pPr>
        <w:rPr>
          <w:rFonts w:cs="Arial"/>
          <w:b/>
          <w:szCs w:val="20"/>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2243"/>
        <w:gridCol w:w="25"/>
        <w:gridCol w:w="3827"/>
      </w:tblGrid>
      <w:tr w:rsidR="00A33040" w:rsidRPr="00A9508D" w:rsidTr="00AA6702">
        <w:tc>
          <w:tcPr>
            <w:tcW w:w="9072" w:type="dxa"/>
            <w:gridSpan w:val="5"/>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 xml:space="preserve"> </w:t>
            </w:r>
            <w:r w:rsidRPr="00332758">
              <w:rPr>
                <w:rFonts w:cs="Arial"/>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A33040" w:rsidRPr="00A34388" w:rsidTr="00AA6702">
        <w:tc>
          <w:tcPr>
            <w:tcW w:w="1843"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268" w:type="dxa"/>
            <w:gridSpan w:val="2"/>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rPr>
          <w:trHeight w:val="495"/>
        </w:trPr>
        <w:tc>
          <w:tcPr>
            <w:tcW w:w="18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Becas para el programa de Máster en Derecho de Propiedad Intelectual OMPI-QUT</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25 de febrero a 28 de octubre de 2013</w:t>
            </w:r>
          </w:p>
        </w:tc>
        <w:tc>
          <w:tcPr>
            <w:tcW w:w="2268" w:type="dxa"/>
            <w:gridSpan w:val="2"/>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Australia/República de Corea (5), Malasia (1) y Tailandia (1)</w:t>
            </w:r>
          </w:p>
        </w:tc>
        <w:tc>
          <w:tcPr>
            <w:tcW w:w="3827" w:type="dxa"/>
          </w:tcPr>
          <w:p w:rsidR="00A33040" w:rsidRPr="00A34388" w:rsidRDefault="00A33040" w:rsidP="00AA6702">
            <w:pPr>
              <w:autoSpaceDE w:val="0"/>
              <w:autoSpaceDN w:val="0"/>
              <w:adjustRightInd w:val="0"/>
              <w:spacing w:before="120" w:after="120"/>
              <w:jc w:val="both"/>
              <w:rPr>
                <w:rFonts w:cs="Arial"/>
                <w:color w:val="000000"/>
                <w:sz w:val="16"/>
                <w:szCs w:val="16"/>
                <w:lang w:val="es-ES_tradnl"/>
              </w:rPr>
            </w:pPr>
            <w:r w:rsidRPr="00A34388">
              <w:rPr>
                <w:rFonts w:cs="Arial"/>
                <w:color w:val="000000"/>
                <w:sz w:val="16"/>
                <w:szCs w:val="16"/>
                <w:lang w:val="es-ES_tradnl"/>
              </w:rPr>
              <w:t>El fondo fiduciario concedió becas a un total de cinco funcionarios gubernamentales de la Oficina de Propiedad Intelectual de la República de Corea (KIPO) y a dos estudiantes de países asiáticos en desarrollo para participar en el programa de Máster en Derecho de Propiedad Intelectual OMPI-QUT.</w:t>
            </w:r>
          </w:p>
        </w:tc>
      </w:tr>
      <w:tr w:rsidR="00A33040" w:rsidRPr="00A9508D" w:rsidTr="00AA6702">
        <w:trPr>
          <w:trHeight w:val="520"/>
        </w:trPr>
        <w:tc>
          <w:tcPr>
            <w:tcW w:w="1843" w:type="dxa"/>
          </w:tcPr>
          <w:p w:rsidR="00A33040" w:rsidRPr="00A34388" w:rsidRDefault="00A33040" w:rsidP="00FA4443">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Becas para el programa de Máster en Derecho de Propiedad Intelectual OMPI-SNU</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p>
        </w:tc>
        <w:tc>
          <w:tcPr>
            <w:tcW w:w="224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 Corea/China, , Malasia, Mongolia, Filipinas y Uzbekistán(2)</w:t>
            </w:r>
          </w:p>
        </w:tc>
        <w:tc>
          <w:tcPr>
            <w:tcW w:w="3852" w:type="dxa"/>
            <w:gridSpan w:val="2"/>
          </w:tcPr>
          <w:p w:rsidR="00A33040" w:rsidRPr="00A34388" w:rsidRDefault="00A33040" w:rsidP="00AA6702">
            <w:pPr>
              <w:autoSpaceDE w:val="0"/>
              <w:autoSpaceDN w:val="0"/>
              <w:adjustRightInd w:val="0"/>
              <w:spacing w:before="120" w:after="120"/>
              <w:jc w:val="both"/>
              <w:rPr>
                <w:rFonts w:cs="Arial"/>
                <w:color w:val="000000"/>
                <w:sz w:val="16"/>
                <w:szCs w:val="16"/>
                <w:lang w:val="es-ES_tradnl"/>
              </w:rPr>
            </w:pPr>
            <w:r w:rsidRPr="00A34388">
              <w:rPr>
                <w:rFonts w:cs="Arial"/>
                <w:color w:val="000000"/>
                <w:sz w:val="16"/>
                <w:szCs w:val="16"/>
                <w:lang w:val="es-ES_tradnl"/>
              </w:rPr>
              <w:t>En 2013, el fondo fiduciario siguió ofreciendo becas a seis estudiantes de la región de Asia y el Pacífico para participar en el programa de Máster en Derecho de Propiedad Intelectual OMPI-SNU, que se celebra en Seúl, República de Corea, y es un programa de dos años de duración (de septiembre de 2012 a junio de 2014).</w:t>
            </w:r>
          </w:p>
        </w:tc>
      </w:tr>
    </w:tbl>
    <w:p w:rsidR="00A33040" w:rsidRPr="00A34388" w:rsidRDefault="00A33040" w:rsidP="00A33040">
      <w:pPr>
        <w:rPr>
          <w:lang w:val="es-ES_tradnl"/>
        </w:rPr>
      </w:pPr>
    </w:p>
    <w:p w:rsidR="00A33040" w:rsidRPr="00A34388" w:rsidRDefault="00A33040" w:rsidP="00A33040">
      <w:pPr>
        <w:rPr>
          <w:lang w:val="es-ES_tradnl"/>
        </w:rPr>
      </w:pPr>
    </w:p>
    <w:p w:rsidR="00A33040" w:rsidRPr="00332758" w:rsidRDefault="00A33040" w:rsidP="00A33040">
      <w:pPr>
        <w:keepNext/>
        <w:keepLines/>
        <w:rPr>
          <w:rFonts w:cs="Arial"/>
          <w:b/>
          <w:bCs/>
          <w:szCs w:val="20"/>
          <w:lang w:val="es-ES_tradnl"/>
        </w:rPr>
      </w:pPr>
      <w:r w:rsidRPr="00332758">
        <w:rPr>
          <w:rFonts w:cs="Arial"/>
          <w:b/>
          <w:bCs/>
          <w:szCs w:val="20"/>
          <w:lang w:val="es-ES_tradnl"/>
        </w:rPr>
        <w:t>REPÚBLICA DE COREA (EDUCACIÓN) – Becas en P.I. (Academia) – Contribuciones de donantes y gastos en 2013</w:t>
      </w:r>
      <w:r w:rsidRPr="00332758">
        <w:rPr>
          <w:rFonts w:cs="Arial"/>
          <w:b/>
          <w:bCs/>
          <w:szCs w:val="20"/>
          <w:vertAlign w:val="superscript"/>
          <w:lang w:val="es-ES_tradnl"/>
        </w:rPr>
        <w:t>1</w:t>
      </w:r>
    </w:p>
    <w:p w:rsidR="00A33040" w:rsidRPr="00332758" w:rsidRDefault="00A33040" w:rsidP="00A33040">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17"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229.820</w:t>
            </w:r>
          </w:p>
        </w:tc>
        <w:tc>
          <w:tcPr>
            <w:tcW w:w="1650"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172.622</w:t>
            </w:r>
          </w:p>
        </w:tc>
        <w:tc>
          <w:tcPr>
            <w:tcW w:w="1817"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154.953</w:t>
            </w:r>
          </w:p>
        </w:tc>
        <w:tc>
          <w:tcPr>
            <w:tcW w:w="1703" w:type="dxa"/>
            <w:shd w:val="clear" w:color="auto" w:fill="auto"/>
            <w:vAlign w:val="center"/>
          </w:tcPr>
          <w:p w:rsidR="00A33040" w:rsidRPr="00A34388" w:rsidRDefault="00A33040" w:rsidP="00AA6702">
            <w:pPr>
              <w:autoSpaceDE w:val="0"/>
              <w:autoSpaceDN w:val="0"/>
              <w:adjustRightInd w:val="0"/>
              <w:spacing w:after="2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after="220"/>
              <w:jc w:val="center"/>
              <w:rPr>
                <w:rFonts w:eastAsia="MS Mincho" w:cs="Arial"/>
                <w:sz w:val="16"/>
                <w:szCs w:val="16"/>
                <w:lang w:val="es-ES_tradnl" w:eastAsia="ja-JP" w:bidi="th-TH"/>
              </w:rPr>
            </w:pPr>
            <w:r w:rsidRPr="00332758">
              <w:rPr>
                <w:rFonts w:cs="Arial"/>
                <w:sz w:val="16"/>
                <w:szCs w:val="16"/>
                <w:lang w:val="es-ES_tradnl"/>
              </w:rPr>
              <w:t>247.489</w:t>
            </w:r>
          </w:p>
        </w:tc>
      </w:tr>
    </w:tbl>
    <w:p w:rsidR="00A33040" w:rsidRPr="000F2E30" w:rsidRDefault="00A33040" w:rsidP="00A33040">
      <w:pPr>
        <w:spacing w:before="120"/>
        <w:rPr>
          <w:i/>
          <w:sz w:val="18"/>
          <w:szCs w:val="18"/>
          <w:lang w:val="es-ES_tradnl"/>
        </w:rPr>
      </w:pPr>
      <w:r w:rsidRPr="00332758">
        <w:rPr>
          <w:i/>
          <w:sz w:val="18"/>
          <w:szCs w:val="18"/>
          <w:vertAlign w:val="superscript"/>
          <w:lang w:val="es-ES_tradnl"/>
        </w:rPr>
        <w:t xml:space="preserve">1 </w:t>
      </w:r>
      <w:r w:rsidRPr="000F2E30">
        <w:rPr>
          <w:i/>
          <w:sz w:val="18"/>
          <w:szCs w:val="18"/>
          <w:lang w:val="es-ES_tradnl"/>
        </w:rPr>
        <w:t>Estados financieros de la OMPI de 2013 (Anexo III)</w:t>
      </w:r>
    </w:p>
    <w:p w:rsidR="00A33040" w:rsidRPr="00A34388" w:rsidRDefault="00A33040" w:rsidP="00A33040">
      <w:pPr>
        <w:spacing w:before="120"/>
        <w:rPr>
          <w:i/>
          <w:color w:val="00000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REPÚBLICA DE COREA – PROPIEDAD INTELECTUAL</w:t>
      </w:r>
    </w:p>
    <w:p w:rsidR="00A33040" w:rsidRPr="00332758" w:rsidRDefault="00A33040" w:rsidP="00A33040">
      <w:pPr>
        <w:keepNext/>
        <w:keepLines/>
        <w:rPr>
          <w:rFonts w:cs="Arial"/>
          <w:b/>
          <w:szCs w:val="20"/>
          <w:lang w:val="es-ES_tradnl"/>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110"/>
      </w:tblGrid>
      <w:tr w:rsidR="00A33040" w:rsidRPr="00A9508D" w:rsidTr="00AA6702">
        <w:tc>
          <w:tcPr>
            <w:tcW w:w="9102"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en el acceso a la información y los conocimientos sobre P.I. y su utilización por las instituciones de P.I. y el público, para fomentar la innovación y el desarrollo socioeconómico</w:t>
            </w:r>
          </w:p>
        </w:tc>
      </w:tr>
      <w:tr w:rsidR="00A33040" w:rsidRPr="00A34388" w:rsidTr="00AA6702">
        <w:tc>
          <w:tcPr>
            <w:tcW w:w="1873"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Concurso sobre tecnologías apropiadas</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Agosto</w:t>
            </w:r>
            <w:r w:rsidRPr="00A34388">
              <w:rPr>
                <w:rFonts w:cs="Arial"/>
                <w:color w:val="000000"/>
                <w:sz w:val="16"/>
                <w:szCs w:val="16"/>
                <w:lang w:val="es-ES_tradnl"/>
              </w:rPr>
              <w:t xml:space="preserve"> a noviembre de 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eastAsia="ko-KR"/>
              </w:rPr>
              <w:t>Viet Nam/300</w:t>
            </w:r>
            <w:r w:rsidRPr="00A34388">
              <w:rPr>
                <w:rFonts w:cs="Arial"/>
                <w:color w:val="000000"/>
                <w:sz w:val="16"/>
                <w:szCs w:val="16"/>
                <w:lang w:val="es-ES_tradnl"/>
              </w:rPr>
              <w:t xml:space="preserve"> participantes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332758">
              <w:rPr>
                <w:rFonts w:cs="Arial"/>
                <w:sz w:val="16"/>
                <w:szCs w:val="16"/>
                <w:lang w:val="es-ES_tradnl"/>
              </w:rPr>
              <w:t xml:space="preserve">Fomentar y recompensar la excelencia de las soluciones innovadoras a problemas frecuentes, en especial aquellas que emplean tecnologías apropiadas para las condiciones locales. </w:t>
            </w:r>
            <w:r w:rsidR="00537926" w:rsidRPr="00332758">
              <w:rPr>
                <w:rFonts w:cs="Arial"/>
                <w:sz w:val="16"/>
                <w:szCs w:val="16"/>
                <w:lang w:val="es-ES_tradnl"/>
              </w:rPr>
              <w:t xml:space="preserve"> </w:t>
            </w:r>
            <w:r w:rsidRPr="00A34388">
              <w:rPr>
                <w:rFonts w:cs="Arial"/>
                <w:color w:val="000000"/>
                <w:sz w:val="16"/>
                <w:szCs w:val="16"/>
                <w:lang w:val="es-ES_tradnl"/>
              </w:rPr>
              <w:t>La utilización de la información contenida en las patentes para diseñar las soluciones constituyó un elemento fundamental del concurso</w:t>
            </w:r>
            <w:r w:rsidRPr="00A34388">
              <w:rPr>
                <w:rFonts w:cs="Arial"/>
                <w:color w:val="000000"/>
                <w:sz w:val="16"/>
                <w:szCs w:val="16"/>
                <w:lang w:val="es-ES_tradnl"/>
              </w:rPr>
              <w:br/>
            </w:r>
            <w:r w:rsidRPr="00A34388">
              <w:rPr>
                <w:rFonts w:cs="Arial"/>
                <w:color w:val="000000"/>
                <w:sz w:val="16"/>
                <w:szCs w:val="16"/>
                <w:lang w:val="es-ES_tradnl"/>
              </w:rPr>
              <w:br/>
              <w:t xml:space="preserve">El concurso incluyó un taller de orientación (16 y 17 de septiembre de </w:t>
            </w:r>
            <w:r w:rsidRPr="00A34388">
              <w:rPr>
                <w:rFonts w:cs="Arial"/>
                <w:color w:val="000000"/>
                <w:sz w:val="16"/>
                <w:szCs w:val="16"/>
                <w:lang w:val="es-ES_tradnl" w:eastAsia="ko-KR"/>
              </w:rPr>
              <w:t>2013</w:t>
            </w:r>
            <w:r w:rsidRPr="00A34388">
              <w:rPr>
                <w:rFonts w:cs="Arial"/>
                <w:color w:val="000000"/>
                <w:sz w:val="16"/>
                <w:szCs w:val="16"/>
                <w:lang w:val="es-ES_tradnl"/>
              </w:rPr>
              <w:t>), la evaluación y preselección de propuestas presentadas (de un total de 146), presentaciones a cargo de candidatos preseleccionados y ceremonia de entrega de premios (7 a 9 de noviembre de</w:t>
            </w:r>
            <w:r w:rsidRPr="00A34388">
              <w:rPr>
                <w:rFonts w:cs="Arial"/>
                <w:color w:val="000000"/>
                <w:sz w:val="16"/>
                <w:szCs w:val="16"/>
                <w:lang w:val="es-ES_tradnl" w:eastAsia="ko-KR"/>
              </w:rPr>
              <w:t xml:space="preserve"> 2013</w:t>
            </w:r>
            <w:r w:rsidRPr="00A34388">
              <w:rPr>
                <w:rFonts w:cs="Arial"/>
                <w:color w:val="000000"/>
                <w:sz w:val="16"/>
                <w:szCs w:val="16"/>
                <w:lang w:val="es-ES_tradnl"/>
              </w:rPr>
              <w:t>)</w:t>
            </w:r>
          </w:p>
        </w:tc>
      </w:tr>
      <w:tr w:rsidR="00A33040" w:rsidRPr="00A9508D" w:rsidTr="00AA6702">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Concurso sobre tecnologías apropiadas</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 xml:space="preserve">Mayo a diciembre de </w:t>
            </w:r>
            <w:r w:rsidRPr="00A34388">
              <w:rPr>
                <w:rFonts w:cs="Arial"/>
                <w:color w:val="000000"/>
                <w:sz w:val="16"/>
                <w:szCs w:val="16"/>
                <w:lang w:val="es-ES_tradnl"/>
              </w:rPr>
              <w:t>2013</w:t>
            </w:r>
          </w:p>
        </w:tc>
        <w:tc>
          <w:tcPr>
            <w:tcW w:w="1985"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eastAsia="ko-KR"/>
              </w:rPr>
              <w:t>Zambia/60</w:t>
            </w:r>
            <w:r w:rsidRPr="00A34388">
              <w:rPr>
                <w:rFonts w:cs="Arial"/>
                <w:color w:val="000000"/>
                <w:sz w:val="16"/>
                <w:szCs w:val="16"/>
                <w:lang w:val="es-ES_tradnl"/>
              </w:rPr>
              <w:t xml:space="preserve"> participantes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rPr>
              <w:t>El concurso incluyó un taller de orientación (</w:t>
            </w:r>
            <w:r w:rsidRPr="00A34388">
              <w:rPr>
                <w:rFonts w:cs="Arial"/>
                <w:color w:val="000000"/>
                <w:sz w:val="16"/>
                <w:szCs w:val="16"/>
                <w:lang w:val="es-ES_tradnl" w:eastAsia="ko-KR"/>
              </w:rPr>
              <w:t>23 de mayo de 2013</w:t>
            </w:r>
            <w:r w:rsidRPr="00A34388">
              <w:rPr>
                <w:rFonts w:cs="Arial"/>
                <w:color w:val="000000"/>
                <w:sz w:val="16"/>
                <w:szCs w:val="16"/>
                <w:lang w:val="es-ES_tradnl"/>
              </w:rPr>
              <w:t xml:space="preserve">) y la evaluación y preselección de propuestas presentadas (de un total de 23). </w:t>
            </w:r>
            <w:r w:rsidR="00537926" w:rsidRPr="00A34388">
              <w:rPr>
                <w:rFonts w:cs="Arial"/>
                <w:color w:val="000000"/>
                <w:sz w:val="16"/>
                <w:szCs w:val="16"/>
                <w:lang w:val="es-ES_tradnl"/>
              </w:rPr>
              <w:t xml:space="preserve"> </w:t>
            </w:r>
            <w:r w:rsidRPr="00A34388">
              <w:rPr>
                <w:rFonts w:cs="Arial"/>
                <w:color w:val="000000"/>
                <w:sz w:val="16"/>
                <w:szCs w:val="16"/>
                <w:lang w:val="es-ES_tradnl"/>
              </w:rPr>
              <w:t>Del 4 al 6 de febrero de 2014 se realizarán presentaciones a cargo de candidatos preseleccionados</w:t>
            </w:r>
            <w:r w:rsidRPr="00A34388">
              <w:rPr>
                <w:rFonts w:cs="Arial"/>
                <w:color w:val="000000"/>
                <w:sz w:val="16"/>
                <w:szCs w:val="16"/>
                <w:lang w:val="es-ES_tradnl" w:eastAsia="ko-KR"/>
              </w:rPr>
              <w:t>, una ceremonia de entrega de premios y un taller sobre comercialización</w:t>
            </w:r>
          </w:p>
        </w:tc>
      </w:tr>
      <w:tr w:rsidR="00A33040" w:rsidRPr="00A9508D" w:rsidTr="00AA6702">
        <w:tc>
          <w:tcPr>
            <w:tcW w:w="1873"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lastRenderedPageBreak/>
              <w:t>Seminario subregional sobre colaboración entre entidades públicas y privadas para el desarrollo y comercialización de tecnologías apropiadas</w:t>
            </w:r>
          </w:p>
        </w:tc>
        <w:tc>
          <w:tcPr>
            <w:tcW w:w="1134"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332758">
              <w:rPr>
                <w:rFonts w:cs="Arial"/>
                <w:sz w:val="16"/>
                <w:szCs w:val="16"/>
                <w:lang w:val="es-ES_tradnl" w:eastAsia="ko-KR"/>
              </w:rPr>
              <w:t>21 y 22 de octubre de 2013</w:t>
            </w:r>
          </w:p>
        </w:tc>
        <w:tc>
          <w:tcPr>
            <w:tcW w:w="1985"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Etiopía/50 participantes de Etiopía, Ghana y Zambia</w:t>
            </w:r>
          </w:p>
        </w:tc>
        <w:tc>
          <w:tcPr>
            <w:tcW w:w="4110"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Los participantes en el seminario i) intercambiaron opiniones sobre cuestiones relacionadas con el desarrollo de tecnologías apropiadas;  y ii) identificaron modos de superar retos en el ámbito de la comercialización de tecnologías apropiadas.  En el seminario participaron autoridades gubernamentales, representantes del sector privado, inventores, abogados especializados en P.I. y otras personas.</w:t>
            </w:r>
          </w:p>
        </w:tc>
      </w:tr>
      <w:tr w:rsidR="00A33040" w:rsidRPr="00A9508D" w:rsidTr="00AA6702">
        <w:tc>
          <w:tcPr>
            <w:tcW w:w="9102" w:type="dxa"/>
            <w:gridSpan w:val="4"/>
            <w:tcBorders>
              <w:top w:val="single" w:sz="4" w:space="0" w:color="000000"/>
              <w:bottom w:val="single" w:sz="4" w:space="0" w:color="000000"/>
            </w:tcBorders>
            <w:shd w:val="clear" w:color="auto" w:fill="CCFFFF"/>
            <w:vAlign w:val="center"/>
          </w:tcPr>
          <w:p w:rsidR="00A33040" w:rsidRPr="00332758" w:rsidRDefault="00A33040" w:rsidP="00AA6702">
            <w:pPr>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Marcos de P.I. adaptados y equilibrados en el ámbito legislativo, reglamentario y de política.</w:t>
            </w:r>
          </w:p>
        </w:tc>
      </w:tr>
      <w:tr w:rsidR="00A33040" w:rsidRPr="00A34388" w:rsidTr="00AA6702">
        <w:tc>
          <w:tcPr>
            <w:tcW w:w="1873" w:type="dxa"/>
            <w:tcBorders>
              <w:top w:val="single" w:sz="4" w:space="0" w:color="000000"/>
            </w:tcBorders>
            <w:vAlign w:val="center"/>
          </w:tcPr>
          <w:p w:rsidR="00A33040" w:rsidRPr="00A34388" w:rsidRDefault="00A33040" w:rsidP="00AA6702">
            <w:pPr>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73" w:type="dxa"/>
          </w:tcPr>
          <w:p w:rsidR="00A33040" w:rsidRPr="00A34388" w:rsidRDefault="00A33040" w:rsidP="00AA6702">
            <w:pPr>
              <w:spacing w:before="120" w:after="120"/>
              <w:rPr>
                <w:rFonts w:cs="Arial"/>
                <w:color w:val="000000"/>
                <w:sz w:val="16"/>
                <w:szCs w:val="16"/>
                <w:lang w:val="es-ES_tradnl" w:eastAsia="ko-KR"/>
              </w:rPr>
            </w:pPr>
            <w:r w:rsidRPr="00332758">
              <w:rPr>
                <w:rFonts w:cs="Arial"/>
                <w:sz w:val="16"/>
                <w:szCs w:val="16"/>
                <w:lang w:val="es-ES_tradnl" w:eastAsia="ko-KR"/>
              </w:rPr>
              <w:t>Misión de expertos.</w:t>
            </w:r>
          </w:p>
        </w:tc>
        <w:tc>
          <w:tcPr>
            <w:tcW w:w="1134" w:type="dxa"/>
            <w:shd w:val="clear" w:color="auto" w:fill="auto"/>
            <w:tcMar>
              <w:top w:w="110" w:type="dxa"/>
            </w:tcMar>
          </w:tcPr>
          <w:p w:rsidR="00A33040" w:rsidRPr="00A34388" w:rsidRDefault="00A33040" w:rsidP="00AA6702">
            <w:pPr>
              <w:spacing w:before="120" w:after="120"/>
              <w:rPr>
                <w:rFonts w:cs="Arial"/>
                <w:color w:val="000000"/>
                <w:sz w:val="16"/>
                <w:szCs w:val="16"/>
                <w:lang w:val="es-ES_tradnl"/>
              </w:rPr>
            </w:pPr>
            <w:r w:rsidRPr="00332758">
              <w:rPr>
                <w:rFonts w:cs="Arial"/>
                <w:sz w:val="16"/>
                <w:szCs w:val="16"/>
                <w:lang w:val="es-ES_tradnl"/>
              </w:rPr>
              <w:t>1 a 3 de octubre de 2013</w:t>
            </w:r>
          </w:p>
        </w:tc>
        <w:tc>
          <w:tcPr>
            <w:tcW w:w="1985" w:type="dxa"/>
            <w:shd w:val="clear" w:color="auto" w:fill="auto"/>
            <w:tcMar>
              <w:top w:w="110" w:type="dxa"/>
            </w:tcMar>
          </w:tcPr>
          <w:p w:rsidR="00A33040" w:rsidRPr="00A34388" w:rsidRDefault="00A33040" w:rsidP="00AA6702">
            <w:pPr>
              <w:autoSpaceDE w:val="0"/>
              <w:autoSpaceDN w:val="0"/>
              <w:adjustRightInd w:val="0"/>
              <w:spacing w:before="120" w:after="120"/>
              <w:rPr>
                <w:rFonts w:cs="Arial"/>
                <w:b/>
                <w:bCs/>
                <w:sz w:val="16"/>
                <w:szCs w:val="16"/>
                <w:lang w:val="es-ES_tradnl"/>
              </w:rPr>
            </w:pPr>
            <w:r w:rsidRPr="00A34388">
              <w:rPr>
                <w:rFonts w:cs="Arial"/>
                <w:color w:val="000000"/>
                <w:sz w:val="16"/>
                <w:szCs w:val="16"/>
                <w:lang w:val="es-ES_tradnl" w:eastAsia="ko-KR"/>
              </w:rPr>
              <w:t>Myanmar</w:t>
            </w:r>
          </w:p>
        </w:tc>
        <w:tc>
          <w:tcPr>
            <w:tcW w:w="4110" w:type="dxa"/>
            <w:shd w:val="clear" w:color="auto" w:fill="FFFFFF"/>
            <w:tcMar>
              <w:top w:w="110" w:type="dxa"/>
            </w:tcMar>
          </w:tcPr>
          <w:p w:rsidR="00A33040" w:rsidRPr="00A34388" w:rsidRDefault="00A33040" w:rsidP="00AA6702">
            <w:pPr>
              <w:spacing w:before="120" w:after="120"/>
              <w:rPr>
                <w:rFonts w:cs="Arial"/>
                <w:color w:val="000000"/>
                <w:sz w:val="16"/>
                <w:szCs w:val="16"/>
                <w:lang w:val="es-ES_tradnl"/>
              </w:rPr>
            </w:pPr>
            <w:r w:rsidRPr="00A34388">
              <w:rPr>
                <w:rFonts w:cs="Arial"/>
                <w:color w:val="000000"/>
                <w:sz w:val="16"/>
                <w:szCs w:val="16"/>
                <w:lang w:val="es-ES_tradnl" w:eastAsia="ko-KR"/>
              </w:rPr>
              <w:t xml:space="preserve">Consultas sobre las disposiciones relativas a la aplicación de las disposiciones de los proyectos de leyes sobre patentes, marcas, diseños industriales y derecho de autor </w:t>
            </w:r>
          </w:p>
        </w:tc>
      </w:tr>
      <w:tr w:rsidR="00A33040" w:rsidRPr="00A9508D" w:rsidTr="00AA6702">
        <w:tc>
          <w:tcPr>
            <w:tcW w:w="1873" w:type="dxa"/>
            <w:tcBorders>
              <w:bottom w:val="single" w:sz="4" w:space="0" w:color="000000"/>
            </w:tcBorders>
          </w:tcPr>
          <w:p w:rsidR="00A33040" w:rsidRPr="00A34388" w:rsidRDefault="00A33040" w:rsidP="00AA6702">
            <w:pPr>
              <w:spacing w:before="120" w:after="120"/>
              <w:rPr>
                <w:rFonts w:cs="Arial"/>
                <w:b/>
                <w:bCs/>
                <w:sz w:val="16"/>
                <w:szCs w:val="16"/>
                <w:lang w:val="es-ES_tradnl" w:eastAsia="ko-KR"/>
              </w:rPr>
            </w:pPr>
            <w:r w:rsidRPr="00A34388">
              <w:rPr>
                <w:rFonts w:cs="Arial"/>
                <w:color w:val="000000"/>
                <w:sz w:val="16"/>
                <w:szCs w:val="16"/>
                <w:lang w:val="es-ES_tradnl" w:eastAsia="ko-KR"/>
              </w:rPr>
              <w:t xml:space="preserve">Publicación de un estudio sobre la adhesión al Sistema de Madrid y su uso en cinco países seleccionados </w:t>
            </w:r>
          </w:p>
        </w:tc>
        <w:tc>
          <w:tcPr>
            <w:tcW w:w="1134" w:type="dxa"/>
            <w:tcBorders>
              <w:bottom w:val="single" w:sz="4" w:space="0" w:color="000000"/>
            </w:tcBorders>
            <w:shd w:val="clear" w:color="auto" w:fill="auto"/>
            <w:tcMar>
              <w:top w:w="110" w:type="dxa"/>
            </w:tcMar>
          </w:tcPr>
          <w:p w:rsidR="00A33040" w:rsidRPr="00A34388" w:rsidRDefault="00A33040" w:rsidP="00AA6702">
            <w:pPr>
              <w:spacing w:before="120" w:after="120"/>
              <w:rPr>
                <w:rFonts w:cs="Arial"/>
                <w:b/>
                <w:bCs/>
                <w:sz w:val="16"/>
                <w:szCs w:val="16"/>
                <w:lang w:val="es-ES_tradnl"/>
              </w:rPr>
            </w:pPr>
            <w:r w:rsidRPr="00332758">
              <w:rPr>
                <w:rFonts w:cs="Arial"/>
                <w:b/>
                <w:bCs/>
                <w:sz w:val="16"/>
                <w:szCs w:val="16"/>
                <w:lang w:val="es-ES_tradnl"/>
              </w:rPr>
              <w:t>(abril de 2013).</w:t>
            </w:r>
          </w:p>
        </w:tc>
        <w:tc>
          <w:tcPr>
            <w:tcW w:w="1985" w:type="dxa"/>
            <w:tcBorders>
              <w:bottom w:val="single" w:sz="4" w:space="0" w:color="000000"/>
            </w:tcBorders>
            <w:shd w:val="clear" w:color="auto" w:fill="auto"/>
            <w:tcMar>
              <w:top w:w="110" w:type="dxa"/>
            </w:tcMar>
          </w:tcPr>
          <w:p w:rsidR="00A33040" w:rsidRPr="00A34388" w:rsidRDefault="00A33040" w:rsidP="00AA6702">
            <w:pPr>
              <w:spacing w:before="120" w:after="120"/>
              <w:rPr>
                <w:rFonts w:cs="Arial"/>
                <w:bCs/>
                <w:spacing w:val="-4"/>
                <w:sz w:val="16"/>
                <w:szCs w:val="16"/>
                <w:lang w:val="es-ES_tradnl" w:eastAsia="ko-KR"/>
              </w:rPr>
            </w:pPr>
            <w:r w:rsidRPr="00332758">
              <w:rPr>
                <w:rFonts w:cs="Arial"/>
                <w:bCs/>
                <w:spacing w:val="-4"/>
                <w:sz w:val="16"/>
                <w:szCs w:val="16"/>
                <w:lang w:val="es-ES_tradnl" w:eastAsia="ko-KR"/>
              </w:rPr>
              <w:t>Todos los Estados miembros de la OMPI</w:t>
            </w:r>
          </w:p>
        </w:tc>
        <w:tc>
          <w:tcPr>
            <w:tcW w:w="4110" w:type="dxa"/>
            <w:tcBorders>
              <w:bottom w:val="single" w:sz="4" w:space="0" w:color="000000"/>
            </w:tcBorders>
            <w:shd w:val="clear" w:color="auto" w:fill="FFFFFF"/>
            <w:tcMar>
              <w:top w:w="110" w:type="dxa"/>
            </w:tcMar>
          </w:tcPr>
          <w:p w:rsidR="00A33040" w:rsidRPr="00A34388" w:rsidRDefault="00A33040" w:rsidP="00AA6702">
            <w:pPr>
              <w:spacing w:before="120" w:after="120"/>
              <w:rPr>
                <w:rFonts w:cs="Arial"/>
                <w:b/>
                <w:bCs/>
                <w:sz w:val="16"/>
                <w:szCs w:val="16"/>
                <w:lang w:val="es-ES_tradnl" w:eastAsia="ko-KR"/>
              </w:rPr>
            </w:pPr>
            <w:r w:rsidRPr="00332758">
              <w:rPr>
                <w:rFonts w:cs="Arial"/>
                <w:sz w:val="16"/>
                <w:szCs w:val="16"/>
                <w:lang w:val="es-ES_tradnl"/>
              </w:rPr>
              <w:t>El estudio trata los factores que influyen en la adhesión al Sistema de Madrid y su uso en cinco países (Mongolia, República de Corea, Turquía, Singapur y Viet Nam).</w:t>
            </w:r>
            <w:r w:rsidRPr="00A34388">
              <w:rPr>
                <w:rFonts w:cs="Arial"/>
                <w:color w:val="000000"/>
                <w:sz w:val="16"/>
                <w:szCs w:val="16"/>
                <w:lang w:val="es-ES_tradnl"/>
              </w:rPr>
              <w:t xml:space="preserve"> </w:t>
            </w:r>
          </w:p>
        </w:tc>
      </w:tr>
      <w:tr w:rsidR="00A33040" w:rsidRPr="00A9508D" w:rsidTr="00AA6702">
        <w:tc>
          <w:tcPr>
            <w:tcW w:w="9102"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Políticas nacionales de innovación y de propiedad intelectual (P.I.) claramente definidas y coherentes, estrategias y planes de desarrollo que estén en sintonía con las metas y los objetivos nacionales de desarrollo.</w:t>
            </w:r>
          </w:p>
        </w:tc>
      </w:tr>
      <w:tr w:rsidR="00A33040" w:rsidRPr="00A34388" w:rsidTr="00AA6702">
        <w:tc>
          <w:tcPr>
            <w:tcW w:w="1873" w:type="dxa"/>
            <w:tcBorders>
              <w:top w:val="single" w:sz="4" w:space="0" w:color="000000"/>
            </w:tcBorders>
            <w:vAlign w:val="center"/>
          </w:tcPr>
          <w:p w:rsidR="00A33040" w:rsidRPr="00A34388" w:rsidRDefault="00A33040" w:rsidP="00AA6702">
            <w:pPr>
              <w:keepNext/>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A33040" w:rsidRPr="00A34388" w:rsidRDefault="00A33040" w:rsidP="00AA6702">
            <w:pPr>
              <w:keepNext/>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keepNext/>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73"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Visita de estudio</w:t>
            </w:r>
          </w:p>
        </w:tc>
        <w:tc>
          <w:tcPr>
            <w:tcW w:w="1134"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26 a 29 de agosto de 2013</w:t>
            </w:r>
          </w:p>
        </w:tc>
        <w:tc>
          <w:tcPr>
            <w:tcW w:w="1985"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República de Corea/ Myanmar</w:t>
            </w:r>
          </w:p>
        </w:tc>
        <w:tc>
          <w:tcPr>
            <w:tcW w:w="4110" w:type="dxa"/>
            <w:tcBorders>
              <w:bottom w:val="single" w:sz="4" w:space="0" w:color="000000"/>
            </w:tcBorders>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Aprender de la experiencia de la República de Corea en la prestación de servicios de asesoramiento e información en materia de propiedad intelectual (P.I.), y en la promoción de un uso eficaz de la P.I. por la comunidad empresarial.  La delegación de Myanmar, integrada por funcionarios de la Unión de Federaciones de Cámaras de Comercio e Industria de Myanmar (UMFCCI) y del Ministerio de Ciencia y Tecnología, visitó Daejeon y Seúl, República de Corea</w:t>
            </w:r>
          </w:p>
        </w:tc>
      </w:tr>
      <w:tr w:rsidR="00A33040" w:rsidRPr="00A9508D" w:rsidTr="00AA6702">
        <w:tc>
          <w:tcPr>
            <w:tcW w:w="9102" w:type="dxa"/>
            <w:gridSpan w:val="4"/>
            <w:tcBorders>
              <w:top w:val="single" w:sz="4" w:space="0" w:color="000000"/>
              <w:bottom w:val="single" w:sz="4" w:space="0" w:color="000000"/>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sz w:val="16"/>
                <w:szCs w:val="16"/>
                <w:lang w:val="es-ES_tradnl"/>
              </w:rPr>
            </w:pPr>
            <w:r w:rsidRPr="00A34388">
              <w:rPr>
                <w:rFonts w:cs="Arial"/>
                <w:b/>
                <w:bCs/>
                <w:color w:val="000000"/>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w:t>
            </w:r>
          </w:p>
        </w:tc>
      </w:tr>
      <w:tr w:rsidR="00A33040" w:rsidRPr="00A34388" w:rsidTr="00AA6702">
        <w:tc>
          <w:tcPr>
            <w:tcW w:w="1873"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4"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1985"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anfitrión/Beneficiarios</w:t>
            </w:r>
          </w:p>
        </w:tc>
        <w:tc>
          <w:tcPr>
            <w:tcW w:w="4110"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c>
          <w:tcPr>
            <w:tcW w:w="1873"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Taller sobre derecho de patentes y examen de patentes  </w:t>
            </w:r>
          </w:p>
        </w:tc>
        <w:tc>
          <w:tcPr>
            <w:tcW w:w="1134"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ko-KR"/>
              </w:rPr>
            </w:pPr>
            <w:r w:rsidRPr="00332758">
              <w:rPr>
                <w:rFonts w:cs="Arial"/>
                <w:sz w:val="16"/>
                <w:szCs w:val="16"/>
                <w:lang w:val="es-ES_tradnl" w:eastAsia="ko-KR"/>
              </w:rPr>
              <w:t>5 a 14 de marzo de 2013</w:t>
            </w:r>
          </w:p>
        </w:tc>
        <w:tc>
          <w:tcPr>
            <w:tcW w:w="1985"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 Corea/1</w:t>
            </w:r>
            <w:r w:rsidRPr="00A34388">
              <w:rPr>
                <w:rFonts w:cs="Arial"/>
                <w:color w:val="000000"/>
                <w:sz w:val="16"/>
                <w:szCs w:val="16"/>
                <w:lang w:val="es-ES_tradnl" w:eastAsia="ko-KR"/>
              </w:rPr>
              <w:t>5</w:t>
            </w:r>
            <w:r w:rsidRPr="00A34388">
              <w:rPr>
                <w:rFonts w:cs="Arial"/>
                <w:color w:val="000000"/>
                <w:sz w:val="16"/>
                <w:szCs w:val="16"/>
                <w:lang w:val="es-ES_tradnl"/>
              </w:rPr>
              <w:t xml:space="preserve"> examinadores de patentes de 11 países</w:t>
            </w:r>
          </w:p>
        </w:tc>
        <w:tc>
          <w:tcPr>
            <w:tcW w:w="4110" w:type="dxa"/>
          </w:tcPr>
          <w:p w:rsidR="00A33040" w:rsidRPr="00332758" w:rsidRDefault="00A33040" w:rsidP="00AA6702">
            <w:pPr>
              <w:keepNext/>
              <w:keepLines/>
              <w:autoSpaceDE w:val="0"/>
              <w:autoSpaceDN w:val="0"/>
              <w:adjustRightInd w:val="0"/>
              <w:spacing w:before="120" w:after="120"/>
              <w:rPr>
                <w:rFonts w:cs="Arial"/>
                <w:sz w:val="16"/>
                <w:szCs w:val="16"/>
                <w:lang w:val="es-ES_tradnl" w:eastAsia="ko-KR"/>
              </w:rPr>
            </w:pPr>
            <w:r w:rsidRPr="00332758">
              <w:rPr>
                <w:rFonts w:cs="Arial"/>
                <w:sz w:val="16"/>
                <w:szCs w:val="16"/>
                <w:lang w:val="es-ES_tradnl" w:eastAsia="ko-KR"/>
              </w:rPr>
              <w:t>Ofrecer una visión general y una explicación de los sistemas mundiales de patentes, los principios del derecho de patentes y los procedimientos de examen.</w:t>
            </w:r>
          </w:p>
        </w:tc>
      </w:tr>
      <w:tr w:rsidR="00A33040" w:rsidRPr="00A9508D" w:rsidTr="00AA6702">
        <w:tc>
          <w:tcPr>
            <w:tcW w:w="1873"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Taller sobre derecho marcario y examen de marcas</w:t>
            </w:r>
          </w:p>
        </w:tc>
        <w:tc>
          <w:tcPr>
            <w:tcW w:w="1134"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ko-KR"/>
              </w:rPr>
            </w:pPr>
            <w:r w:rsidRPr="00332758">
              <w:rPr>
                <w:rFonts w:cs="Arial"/>
                <w:sz w:val="16"/>
                <w:szCs w:val="16"/>
                <w:lang w:val="es-ES_tradnl" w:eastAsia="ko-KR"/>
              </w:rPr>
              <w:t>17 a 26 de abril de 2013</w:t>
            </w:r>
          </w:p>
        </w:tc>
        <w:tc>
          <w:tcPr>
            <w:tcW w:w="1985"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 Corea/18 examinadores de marcas de 12 países</w:t>
            </w:r>
          </w:p>
        </w:tc>
        <w:tc>
          <w:tcPr>
            <w:tcW w:w="4110"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Ofrecer una visión general y una explicación de los principios del derecho marcario y los procedimientos de examen, así como del Sistema de Madrid.</w:t>
            </w:r>
          </w:p>
        </w:tc>
      </w:tr>
      <w:tr w:rsidR="00A33040" w:rsidRPr="00A9508D" w:rsidTr="00AA6702">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Taller sobre derecho del diseño industrial y examen de derechos industriales  </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11 a 14 de junio de 2013</w:t>
            </w:r>
          </w:p>
        </w:tc>
        <w:tc>
          <w:tcPr>
            <w:tcW w:w="1985"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República de Corea/14 examinadores de marcas de 14 países</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Mejorar la capacidad de ciertos países de llevar a cabo exámenes en el ámbito del diseño industrial y aumentar su conocimiento sobre las novedades que se están produciendo en el ámbito del diseño industrial </w:t>
            </w:r>
          </w:p>
        </w:tc>
      </w:tr>
    </w:tbl>
    <w:p w:rsidR="000F2E30" w:rsidRPr="00A9508D" w:rsidRDefault="000F2E30">
      <w:pPr>
        <w:rPr>
          <w:lang w:val="es-ES"/>
        </w:rPr>
      </w:pPr>
      <w:r w:rsidRPr="00A9508D">
        <w:rPr>
          <w:lang w:val="es-ES"/>
        </w:rPr>
        <w:br w:type="page"/>
      </w: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110"/>
      </w:tblGrid>
      <w:tr w:rsidR="00A33040" w:rsidRPr="00A9508D" w:rsidTr="00AA6702">
        <w:trPr>
          <w:trHeight w:val="487"/>
        </w:trPr>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lastRenderedPageBreak/>
              <w:t>Elaboración de material educativo sobre propiedad intelectual.</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rPr>
              <w:t>Comenzó en agosto de 2013</w:t>
            </w:r>
          </w:p>
        </w:tc>
        <w:tc>
          <w:tcPr>
            <w:tcW w:w="1985" w:type="dxa"/>
          </w:tcPr>
          <w:p w:rsidR="00A33040" w:rsidRPr="00A34388" w:rsidRDefault="00A33040" w:rsidP="00AA6702">
            <w:pPr>
              <w:autoSpaceDE w:val="0"/>
              <w:autoSpaceDN w:val="0"/>
              <w:adjustRightInd w:val="0"/>
              <w:spacing w:before="120" w:after="120"/>
              <w:rPr>
                <w:rFonts w:cs="Arial"/>
                <w:color w:val="000000"/>
                <w:spacing w:val="-2"/>
                <w:sz w:val="16"/>
                <w:szCs w:val="16"/>
                <w:lang w:val="es-ES_tradnl"/>
              </w:rPr>
            </w:pPr>
            <w:r w:rsidRPr="00332758">
              <w:rPr>
                <w:rFonts w:cs="Arial"/>
                <w:spacing w:val="-2"/>
                <w:sz w:val="16"/>
                <w:szCs w:val="16"/>
                <w:lang w:val="es-ES_tradnl"/>
              </w:rPr>
              <w:t>Todos los Estados miembros de la OMPI</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rPr>
              <w:t>i) Elaborar material educativo sobre propiedad intelectual que resulte accesible para los no expertos en la materia;  ii) estimular el interés del público en cuestiones relacionadas con la P.I.;  y iii) ayudar a los colegios y otros centros educativos a elaborar planes de estudios que estimulen la creatividad.  Los materiales incluirían actividades y ejercicios que los alumnos de centros de enseñanza secundaria podrían realizar para que comprendan mejor conceptos básicos relacionados con la creatividad, la capacidad inventiva y la propiedad intelectual</w:t>
            </w:r>
          </w:p>
        </w:tc>
      </w:tr>
      <w:tr w:rsidR="00A33040" w:rsidRPr="00A9508D" w:rsidTr="00AA6702">
        <w:trPr>
          <w:trHeight w:val="487"/>
        </w:trPr>
        <w:tc>
          <w:tcPr>
            <w:tcW w:w="1873"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Elaboración de una Guía Educativa sobre Propiedad Intelectual</w:t>
            </w:r>
          </w:p>
        </w:tc>
        <w:tc>
          <w:tcPr>
            <w:tcW w:w="1134"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Comenzó en enero de 2013</w:t>
            </w:r>
          </w:p>
        </w:tc>
        <w:tc>
          <w:tcPr>
            <w:tcW w:w="1985" w:type="dxa"/>
          </w:tcPr>
          <w:p w:rsidR="00A33040" w:rsidRPr="00A34388" w:rsidRDefault="00A33040" w:rsidP="00AA6702">
            <w:pPr>
              <w:autoSpaceDE w:val="0"/>
              <w:autoSpaceDN w:val="0"/>
              <w:adjustRightInd w:val="0"/>
              <w:spacing w:before="120" w:after="120"/>
              <w:rPr>
                <w:rFonts w:cs="Arial"/>
                <w:color w:val="000000"/>
                <w:spacing w:val="-4"/>
                <w:sz w:val="16"/>
                <w:szCs w:val="16"/>
                <w:lang w:val="es-ES_tradnl"/>
              </w:rPr>
            </w:pPr>
            <w:r w:rsidRPr="00332758">
              <w:rPr>
                <w:rFonts w:cs="Arial"/>
                <w:spacing w:val="-4"/>
                <w:sz w:val="16"/>
                <w:szCs w:val="16"/>
                <w:lang w:val="es-ES_tradnl"/>
              </w:rPr>
              <w:t>Todos los Estados miembros de la OMPI</w:t>
            </w:r>
          </w:p>
        </w:tc>
        <w:tc>
          <w:tcPr>
            <w:tcW w:w="4110" w:type="dxa"/>
          </w:tcPr>
          <w:p w:rsidR="00A33040" w:rsidRPr="00A34388" w:rsidRDefault="00A33040" w:rsidP="00AA6702">
            <w:pPr>
              <w:autoSpaceDE w:val="0"/>
              <w:autoSpaceDN w:val="0"/>
              <w:adjustRightInd w:val="0"/>
              <w:spacing w:before="120" w:after="120"/>
              <w:rPr>
                <w:rFonts w:cs="Arial"/>
                <w:color w:val="000000"/>
                <w:sz w:val="16"/>
                <w:szCs w:val="16"/>
                <w:lang w:val="es-ES_tradnl" w:eastAsia="ko-KR"/>
              </w:rPr>
            </w:pPr>
            <w:r w:rsidRPr="00A34388">
              <w:rPr>
                <w:rFonts w:cs="Arial"/>
                <w:color w:val="000000"/>
                <w:sz w:val="16"/>
                <w:szCs w:val="16"/>
                <w:lang w:val="es-ES_tradnl" w:eastAsia="ko-KR"/>
              </w:rPr>
              <w:t>Prestar apoyo a los profesores para educar a los alumnos en conceptos básicos relativos a la P.I., la relación entre P.I. y creatividad, y los beneficios que se pueden extraer del uso de la P.I.</w:t>
            </w:r>
          </w:p>
        </w:tc>
      </w:tr>
    </w:tbl>
    <w:p w:rsidR="00A33040" w:rsidRPr="00A34388" w:rsidRDefault="00A33040" w:rsidP="00A33040">
      <w:pPr>
        <w:keepNext/>
        <w:keepLines/>
        <w:rPr>
          <w:rFonts w:cs="Arial"/>
          <w:b/>
          <w:szCs w:val="20"/>
          <w:lang w:val="es-ES_tradnl"/>
        </w:rPr>
      </w:pPr>
    </w:p>
    <w:p w:rsidR="00A33040" w:rsidRPr="00A34388" w:rsidRDefault="00A33040" w:rsidP="00A33040">
      <w:pPr>
        <w:keepNext/>
        <w:keepLines/>
        <w:rPr>
          <w:rFonts w:cs="Arial"/>
          <w:b/>
          <w:sz w:val="18"/>
          <w:szCs w:val="18"/>
          <w:lang w:val="es-ES_tradnl"/>
        </w:rPr>
      </w:pPr>
    </w:p>
    <w:p w:rsidR="004C0FD5" w:rsidRPr="00332758" w:rsidRDefault="004C0FD5">
      <w:pPr>
        <w:rPr>
          <w:rFonts w:cs="Arial"/>
          <w:b/>
          <w:szCs w:val="2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REPÚBLICA DE COREA – PROPIEDAD INTELECTUAL – Contribuciones de donantes y gastos en 2013</w:t>
      </w:r>
      <w:r w:rsidRPr="00332758">
        <w:rPr>
          <w:rFonts w:cs="Arial"/>
          <w:b/>
          <w:szCs w:val="20"/>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A33040" w:rsidRPr="00A34388" w:rsidTr="00AA6702">
        <w:trPr>
          <w:trHeight w:val="567"/>
        </w:trPr>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7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650"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0"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1.165.387</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656.646</w:t>
            </w:r>
          </w:p>
        </w:tc>
        <w:tc>
          <w:tcPr>
            <w:tcW w:w="187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549.279</w:t>
            </w:r>
          </w:p>
        </w:tc>
        <w:tc>
          <w:tcPr>
            <w:tcW w:w="1650"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0"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1.272.754</w:t>
            </w:r>
          </w:p>
        </w:tc>
      </w:tr>
    </w:tbl>
    <w:p w:rsidR="00A33040" w:rsidRPr="000F2E30" w:rsidRDefault="00A33040" w:rsidP="00A33040">
      <w:pPr>
        <w:spacing w:before="120"/>
        <w:rPr>
          <w:rFonts w:cs="Arial"/>
          <w:b/>
          <w:sz w:val="18"/>
          <w:szCs w:val="18"/>
          <w:lang w:val="es-ES_tradnl"/>
        </w:rPr>
      </w:pPr>
      <w:r w:rsidRPr="00332758">
        <w:rPr>
          <w:rFonts w:cs="Arial"/>
          <w:i/>
          <w:sz w:val="18"/>
          <w:szCs w:val="18"/>
          <w:vertAlign w:val="superscript"/>
          <w:lang w:val="es-ES_tradnl"/>
        </w:rPr>
        <w:t xml:space="preserve">1 </w:t>
      </w:r>
      <w:r w:rsidRPr="000F2E30">
        <w:rPr>
          <w:rFonts w:cs="Arial"/>
          <w:i/>
          <w:sz w:val="18"/>
          <w:szCs w:val="18"/>
          <w:lang w:val="es-ES_tradnl"/>
        </w:rPr>
        <w:t>Estados financieros de la OMPI de 2013 (Anexo III)</w:t>
      </w:r>
    </w:p>
    <w:p w:rsidR="00A33040" w:rsidRPr="00A34388" w:rsidRDefault="00A33040" w:rsidP="00A33040">
      <w:pPr>
        <w:spacing w:before="120"/>
        <w:rPr>
          <w:rFonts w:cs="Arial"/>
          <w:b/>
          <w:szCs w:val="20"/>
          <w:lang w:val="es-ES_tradnl"/>
        </w:rPr>
      </w:pPr>
    </w:p>
    <w:p w:rsidR="00A33040" w:rsidRPr="00332758" w:rsidRDefault="00A33040" w:rsidP="00A33040">
      <w:pPr>
        <w:spacing w:before="120"/>
        <w:rPr>
          <w:rFonts w:cs="Arial"/>
          <w:b/>
          <w:szCs w:val="20"/>
          <w:lang w:val="es-ES_tradnl"/>
        </w:rPr>
      </w:pPr>
      <w:r w:rsidRPr="00332758">
        <w:rPr>
          <w:rFonts w:cs="Arial"/>
          <w:b/>
          <w:szCs w:val="20"/>
          <w:lang w:val="es-ES_tradnl"/>
        </w:rPr>
        <w:t>ESPAÑA</w:t>
      </w:r>
    </w:p>
    <w:p w:rsidR="00A33040" w:rsidRPr="00A34388" w:rsidRDefault="00A33040" w:rsidP="00A33040">
      <w:pPr>
        <w:spacing w:before="120"/>
        <w:rPr>
          <w:rFonts w:cs="Arial"/>
          <w:b/>
          <w:szCs w:val="20"/>
          <w:lang w:val="es-ES_tradnl"/>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2004"/>
        <w:gridCol w:w="3827"/>
      </w:tblGrid>
      <w:tr w:rsidR="00A33040" w:rsidRPr="00A9508D"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Mejora de las capacidades en el ámbito de los recursos humanos para hacer frente al amplio espectro de exigencias que supone la utilización de la P.I. en aras del desarrollo en los países en desarrollo</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rPr>
                <w:rFonts w:cs="Arial"/>
                <w:color w:val="808080"/>
                <w:sz w:val="16"/>
                <w:szCs w:val="16"/>
                <w:lang w:val="es-ES_tradnl"/>
              </w:rPr>
            </w:pPr>
            <w:r w:rsidRPr="00332758">
              <w:rPr>
                <w:rFonts w:cs="Arial"/>
                <w:b/>
                <w:sz w:val="16"/>
                <w:szCs w:val="16"/>
                <w:lang w:val="es-ES_tradnl"/>
              </w:rPr>
              <w:t>País anfitrión/Beneficiarios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rPr>
                <w:rFonts w:cs="Arial"/>
                <w:sz w:val="16"/>
                <w:szCs w:val="16"/>
                <w:lang w:val="es-ES_tradnl"/>
              </w:rPr>
            </w:pPr>
            <w:r w:rsidRPr="00332758">
              <w:rPr>
                <w:rFonts w:cs="Arial"/>
                <w:b/>
                <w:sz w:val="16"/>
                <w:szCs w:val="16"/>
                <w:lang w:val="es-ES_tradnl"/>
              </w:rPr>
              <w:t>Propósito(s)/Descripción</w:t>
            </w:r>
          </w:p>
        </w:tc>
      </w:tr>
      <w:tr w:rsidR="00A33040" w:rsidRPr="00A9508D"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after="120"/>
              <w:rPr>
                <w:rFonts w:cs="Arial"/>
                <w:color w:val="808080"/>
                <w:sz w:val="16"/>
                <w:szCs w:val="16"/>
                <w:lang w:val="es-ES_tradnl"/>
              </w:rPr>
            </w:pPr>
            <w:r w:rsidRPr="00332758">
              <w:rPr>
                <w:rFonts w:cs="Arial"/>
                <w:sz w:val="16"/>
                <w:szCs w:val="16"/>
                <w:lang w:val="es-ES_tradnl"/>
              </w:rPr>
              <w:t>11º Seminario regional OMPI/OEP/OEPM sobre propiedad intelectual para jueces y fiscales de América Latina, Cartagena de Indias (Colombia).</w:t>
            </w:r>
          </w:p>
        </w:tc>
        <w:tc>
          <w:tcPr>
            <w:tcW w:w="1260" w:type="dxa"/>
            <w:tcBorders>
              <w:bottom w:val="single" w:sz="4" w:space="0" w:color="auto"/>
            </w:tcBorders>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4 a 7 de noviembre de 2013</w:t>
            </w:r>
          </w:p>
        </w:tc>
        <w:tc>
          <w:tcPr>
            <w:tcW w:w="2004" w:type="dxa"/>
            <w:tcBorders>
              <w:bottom w:val="single" w:sz="4" w:space="0" w:color="auto"/>
            </w:tcBorders>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Colombia / Todos los países de América Latina y el Tribunal de la Comunidad Andina</w:t>
            </w:r>
          </w:p>
        </w:tc>
        <w:tc>
          <w:tcPr>
            <w:tcW w:w="3827" w:type="dxa"/>
            <w:tcBorders>
              <w:bottom w:val="single" w:sz="4" w:space="0" w:color="auto"/>
            </w:tcBorders>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i) Impartir a los jueces y fiscales responsables de la P.I. en los países de América Latina formación sobre asuntos de P.I. para la resolución de litigios;  y ii) dar a los participantes información actualizada e impartirles formación práctica en el ámbito de las patentes, las marcas y el derecho de autor, así como en contenciosos relacionados con la observancia.</w:t>
            </w:r>
          </w:p>
        </w:tc>
      </w:tr>
      <w:tr w:rsidR="00A33040" w:rsidRPr="00A9508D"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332758" w:rsidRDefault="00A33040" w:rsidP="00AA6702">
            <w:pPr>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Fomento de las capacidades de gestión de P.I. para las empresas.</w:t>
            </w:r>
          </w:p>
        </w:tc>
      </w:tr>
      <w:tr w:rsidR="00A33040" w:rsidRPr="00A34388" w:rsidTr="00056666">
        <w:trPr>
          <w:cantSplit/>
        </w:trPr>
        <w:tc>
          <w:tcPr>
            <w:tcW w:w="1981" w:type="dxa"/>
            <w:tcBorders>
              <w:top w:val="single" w:sz="4" w:space="0" w:color="auto"/>
            </w:tcBorders>
          </w:tcPr>
          <w:p w:rsidR="00A33040" w:rsidRPr="00A34388" w:rsidRDefault="00A33040" w:rsidP="00AA6702">
            <w:pPr>
              <w:autoSpaceDE w:val="0"/>
              <w:autoSpaceDN w:val="0"/>
              <w:adjustRightInd w:val="0"/>
              <w:spacing w:before="120" w:after="120"/>
              <w:rPr>
                <w:rFonts w:cs="Arial"/>
                <w:b/>
                <w:color w:val="808080"/>
                <w:sz w:val="16"/>
                <w:szCs w:val="16"/>
                <w:lang w:val="es-ES_tradnl"/>
              </w:rPr>
            </w:pPr>
            <w:r w:rsidRPr="00332758">
              <w:rPr>
                <w:rFonts w:cs="Arial"/>
                <w:b/>
                <w:sz w:val="16"/>
                <w:szCs w:val="16"/>
                <w:lang w:val="es-ES_tradnl"/>
              </w:rPr>
              <w:t>Actividad</w:t>
            </w:r>
          </w:p>
        </w:tc>
        <w:tc>
          <w:tcPr>
            <w:tcW w:w="1260" w:type="dxa"/>
            <w:tcBorders>
              <w:top w:val="single" w:sz="4" w:space="0" w:color="auto"/>
            </w:tcBorders>
            <w:shd w:val="clear" w:color="auto" w:fill="auto"/>
            <w:tcMar>
              <w:top w:w="110" w:type="dxa"/>
            </w:tcMar>
          </w:tcPr>
          <w:p w:rsidR="00A33040" w:rsidRPr="00A34388" w:rsidRDefault="00A33040" w:rsidP="00AA6702">
            <w:pPr>
              <w:autoSpaceDE w:val="0"/>
              <w:autoSpaceDN w:val="0"/>
              <w:adjustRightInd w:val="0"/>
              <w:spacing w:before="120" w:after="120"/>
              <w:rPr>
                <w:rFonts w:cs="Arial"/>
                <w:b/>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tcPr>
          <w:p w:rsidR="00A33040" w:rsidRPr="00A34388" w:rsidRDefault="00A33040" w:rsidP="00AA6702">
            <w:pPr>
              <w:autoSpaceDE w:val="0"/>
              <w:autoSpaceDN w:val="0"/>
              <w:adjustRightInd w:val="0"/>
              <w:spacing w:before="120" w:after="120"/>
              <w:rPr>
                <w:rFonts w:cs="Arial"/>
                <w:b/>
                <w:color w:val="808080"/>
                <w:sz w:val="16"/>
                <w:szCs w:val="16"/>
                <w:lang w:val="es-ES_tradnl"/>
              </w:rPr>
            </w:pPr>
            <w:r w:rsidRPr="00332758">
              <w:rPr>
                <w:rFonts w:cs="Arial"/>
                <w:b/>
                <w:sz w:val="16"/>
                <w:szCs w:val="16"/>
                <w:lang w:val="es-ES_tradnl"/>
              </w:rPr>
              <w:t>País anfitrión</w:t>
            </w:r>
            <w:r w:rsidR="000F2E30">
              <w:rPr>
                <w:rFonts w:cs="Arial"/>
                <w:b/>
                <w:sz w:val="16"/>
                <w:szCs w:val="16"/>
                <w:lang w:val="es-ES_tradnl"/>
              </w:rPr>
              <w:t xml:space="preserve"> </w:t>
            </w:r>
            <w:r w:rsidRPr="00332758">
              <w:rPr>
                <w:rFonts w:cs="Arial"/>
                <w:b/>
                <w:sz w:val="16"/>
                <w:szCs w:val="16"/>
                <w:lang w:val="es-ES_tradnl"/>
              </w:rPr>
              <w:t>/</w:t>
            </w:r>
            <w:r w:rsidR="000F2E30">
              <w:rPr>
                <w:rFonts w:cs="Arial"/>
                <w:b/>
                <w:sz w:val="16"/>
                <w:szCs w:val="16"/>
                <w:lang w:val="es-ES_tradnl"/>
              </w:rPr>
              <w:t xml:space="preserve"> </w:t>
            </w:r>
            <w:r w:rsidRPr="00332758">
              <w:rPr>
                <w:rFonts w:cs="Arial"/>
                <w:b/>
                <w:sz w:val="16"/>
                <w:szCs w:val="16"/>
                <w:lang w:val="es-ES_tradnl"/>
              </w:rPr>
              <w:t>Beneficiarios</w:t>
            </w:r>
          </w:p>
        </w:tc>
        <w:tc>
          <w:tcPr>
            <w:tcW w:w="3827" w:type="dxa"/>
            <w:tcBorders>
              <w:top w:val="single" w:sz="4" w:space="0" w:color="auto"/>
            </w:tcBorders>
            <w:shd w:val="clear" w:color="auto" w:fill="FFFFFF"/>
            <w:tcMar>
              <w:top w:w="110" w:type="dxa"/>
            </w:tcMar>
          </w:tcPr>
          <w:p w:rsidR="00A33040" w:rsidRPr="00332758" w:rsidRDefault="00A33040" w:rsidP="00AA6702">
            <w:pPr>
              <w:autoSpaceDE w:val="0"/>
              <w:autoSpaceDN w:val="0"/>
              <w:adjustRightInd w:val="0"/>
              <w:spacing w:before="120" w:after="120"/>
              <w:rPr>
                <w:rFonts w:cs="Arial"/>
                <w:b/>
                <w:sz w:val="16"/>
                <w:szCs w:val="16"/>
                <w:lang w:val="es-ES_tradnl"/>
              </w:rPr>
            </w:pPr>
            <w:r w:rsidRPr="00332758">
              <w:rPr>
                <w:rFonts w:cs="Arial"/>
                <w:b/>
                <w:sz w:val="16"/>
                <w:szCs w:val="16"/>
                <w:lang w:val="es-ES_tradnl"/>
              </w:rPr>
              <w:t>Propósito(s)/Descripción</w:t>
            </w:r>
          </w:p>
        </w:tc>
      </w:tr>
      <w:tr w:rsidR="00A33040" w:rsidRPr="00A9508D" w:rsidTr="00056666">
        <w:trPr>
          <w:cantSplit/>
        </w:trPr>
        <w:tc>
          <w:tcPr>
            <w:tcW w:w="1981" w:type="dxa"/>
          </w:tcPr>
          <w:p w:rsidR="00A33040" w:rsidRPr="00A34388" w:rsidRDefault="00A33040" w:rsidP="00AA6702">
            <w:pPr>
              <w:autoSpaceDE w:val="0"/>
              <w:autoSpaceDN w:val="0"/>
              <w:adjustRightInd w:val="0"/>
              <w:spacing w:after="120"/>
              <w:rPr>
                <w:rFonts w:cs="Arial"/>
                <w:color w:val="808080"/>
                <w:sz w:val="16"/>
                <w:szCs w:val="16"/>
                <w:lang w:val="es-ES_tradnl"/>
              </w:rPr>
            </w:pPr>
            <w:r w:rsidRPr="00332758">
              <w:rPr>
                <w:rFonts w:cs="Arial"/>
                <w:sz w:val="16"/>
                <w:szCs w:val="16"/>
                <w:lang w:val="es-ES_tradnl"/>
              </w:rPr>
              <w:t>Proyecto de elaboración de una plataforma en español sobre servicios y contenidos de propiedad industrial, dirigida al sector empresarial de América Latina, centrándose en las pymes (CIBEPYME).</w:t>
            </w:r>
          </w:p>
        </w:tc>
        <w:tc>
          <w:tcPr>
            <w:tcW w:w="1260" w:type="dxa"/>
            <w:shd w:val="clear" w:color="auto" w:fill="auto"/>
            <w:tcMar>
              <w:top w:w="110" w:type="dxa"/>
            </w:tcMar>
          </w:tcPr>
          <w:p w:rsidR="00A33040" w:rsidRPr="00332758" w:rsidRDefault="00A33040" w:rsidP="00AA6702">
            <w:pPr>
              <w:autoSpaceDE w:val="0"/>
              <w:autoSpaceDN w:val="0"/>
              <w:adjustRightInd w:val="0"/>
              <w:spacing w:after="120"/>
              <w:rPr>
                <w:rFonts w:cs="Arial"/>
                <w:sz w:val="16"/>
                <w:szCs w:val="16"/>
                <w:lang w:val="es-ES_tradnl"/>
              </w:rPr>
            </w:pPr>
            <w:r w:rsidRPr="00332758">
              <w:rPr>
                <w:rFonts w:cs="Arial"/>
                <w:sz w:val="16"/>
                <w:szCs w:val="16"/>
                <w:lang w:val="es-ES_tradnl"/>
              </w:rPr>
              <w:t>Enero a diciembre de 2013</w:t>
            </w:r>
          </w:p>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(Proyecto en curso desde 2010)</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Diseñar y crear una plataforma dirigida al sector privado para i) proporcionar asistencia y servicios sobre el uso de la P.I.;  ii) aumentar el valor de sus negocios;  y iii) ofrecer un foro para que el sector privado intercambie ideas y experiencias.</w:t>
            </w:r>
          </w:p>
        </w:tc>
      </w:tr>
      <w:tr w:rsidR="00A33040" w:rsidRPr="00A9508D" w:rsidTr="00056666">
        <w:trPr>
          <w:cantSplit/>
        </w:trPr>
        <w:tc>
          <w:tcPr>
            <w:tcW w:w="1981" w:type="dxa"/>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lastRenderedPageBreak/>
              <w:t>La Oficina Española de Patentes y Marcas (OEPM) ha avanzado en la contratación de una empresa que desarrolle la plataforma en español adaptada a las necesidades de América Latina.</w:t>
            </w:r>
          </w:p>
        </w:tc>
        <w:tc>
          <w:tcPr>
            <w:tcW w:w="1260" w:type="dxa"/>
            <w:shd w:val="clear" w:color="auto" w:fill="auto"/>
            <w:tcMar>
              <w:top w:w="110" w:type="dxa"/>
            </w:tcMar>
          </w:tcPr>
          <w:p w:rsidR="00A33040" w:rsidRPr="00332758" w:rsidRDefault="00A33040" w:rsidP="00AA6702">
            <w:pPr>
              <w:autoSpaceDE w:val="0"/>
              <w:autoSpaceDN w:val="0"/>
              <w:adjustRightInd w:val="0"/>
              <w:spacing w:after="120"/>
              <w:rPr>
                <w:rFonts w:cs="Arial"/>
                <w:sz w:val="16"/>
                <w:szCs w:val="16"/>
                <w:lang w:val="es-ES_tradnl"/>
              </w:rPr>
            </w:pPr>
            <w:r w:rsidRPr="00332758">
              <w:rPr>
                <w:rFonts w:cs="Arial"/>
                <w:sz w:val="16"/>
                <w:szCs w:val="16"/>
                <w:lang w:val="es-ES_tradnl"/>
              </w:rPr>
              <w:t>Enero a diciembre de 2013</w:t>
            </w:r>
          </w:p>
          <w:p w:rsidR="00A33040" w:rsidRPr="00A34388" w:rsidRDefault="00A33040" w:rsidP="00AA6702">
            <w:pPr>
              <w:autoSpaceDE w:val="0"/>
              <w:autoSpaceDN w:val="0"/>
              <w:adjustRightInd w:val="0"/>
              <w:spacing w:after="120"/>
              <w:rPr>
                <w:rFonts w:cs="Arial"/>
                <w:b/>
                <w:color w:val="000000"/>
                <w:sz w:val="16"/>
                <w:szCs w:val="16"/>
                <w:lang w:val="es-ES_tradnl"/>
              </w:rPr>
            </w:pPr>
            <w:r w:rsidRPr="00332758">
              <w:rPr>
                <w:rFonts w:cs="Arial"/>
                <w:b/>
                <w:sz w:val="16"/>
                <w:szCs w:val="16"/>
                <w:lang w:val="es-ES_tradnl"/>
              </w:rPr>
              <w:t>(Proyecto en curso desde 2010)</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b/>
                <w:color w:val="000000"/>
                <w:sz w:val="16"/>
                <w:szCs w:val="16"/>
                <w:lang w:val="es-ES_tradnl"/>
              </w:rPr>
            </w:pPr>
            <w:r w:rsidRPr="00A34388">
              <w:rPr>
                <w:rFonts w:cs="Arial"/>
                <w:color w:val="000000"/>
                <w:sz w:val="16"/>
                <w:szCs w:val="16"/>
                <w:lang w:val="es-ES_tradnl"/>
              </w:rPr>
              <w:t xml:space="preserve">Continuar con el desarrollo de la plataforma CIBEPYME </w:t>
            </w:r>
          </w:p>
        </w:tc>
      </w:tr>
      <w:tr w:rsidR="00A33040" w:rsidRPr="00A9508D" w:rsidTr="00056666">
        <w:trPr>
          <w:cantSplit/>
        </w:trPr>
        <w:tc>
          <w:tcPr>
            <w:tcW w:w="1981" w:type="dxa"/>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La OEPM acoge un servidor para la plataforma.</w:t>
            </w:r>
          </w:p>
        </w:tc>
        <w:tc>
          <w:tcPr>
            <w:tcW w:w="1260" w:type="dxa"/>
            <w:shd w:val="clear" w:color="auto" w:fill="auto"/>
            <w:tcMar>
              <w:top w:w="110" w:type="dxa"/>
            </w:tcMar>
          </w:tcPr>
          <w:p w:rsidR="00A33040" w:rsidRPr="00332758" w:rsidRDefault="00A33040" w:rsidP="00AA6702">
            <w:pPr>
              <w:autoSpaceDE w:val="0"/>
              <w:autoSpaceDN w:val="0"/>
              <w:adjustRightInd w:val="0"/>
              <w:spacing w:after="120"/>
              <w:rPr>
                <w:rFonts w:cs="Arial"/>
                <w:sz w:val="16"/>
                <w:szCs w:val="16"/>
                <w:lang w:val="es-ES_tradnl"/>
              </w:rPr>
            </w:pPr>
            <w:r w:rsidRPr="00332758">
              <w:rPr>
                <w:rFonts w:cs="Arial"/>
                <w:sz w:val="16"/>
                <w:szCs w:val="16"/>
                <w:lang w:val="es-ES_tradnl"/>
              </w:rPr>
              <w:t>Enero a diciembre de 2013</w:t>
            </w:r>
          </w:p>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(Proyecto en curso desde 2010)</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Facilitar el acceso a la plataforma CIBEPYME.</w:t>
            </w:r>
            <w:r w:rsidRPr="00A34388">
              <w:rPr>
                <w:rFonts w:cs="Arial"/>
                <w:color w:val="000000"/>
                <w:sz w:val="16"/>
                <w:szCs w:val="16"/>
                <w:lang w:val="es-ES_tradnl"/>
              </w:rPr>
              <w:t xml:space="preserve"> </w:t>
            </w:r>
          </w:p>
        </w:tc>
      </w:tr>
      <w:tr w:rsidR="00A33040" w:rsidRPr="00A9508D" w:rsidTr="00056666">
        <w:trPr>
          <w:cantSplit/>
        </w:trPr>
        <w:tc>
          <w:tcPr>
            <w:tcW w:w="1981" w:type="dxa"/>
          </w:tcPr>
          <w:p w:rsidR="00A33040" w:rsidRPr="00A34388" w:rsidRDefault="00A33040" w:rsidP="00AA6702">
            <w:pPr>
              <w:autoSpaceDE w:val="0"/>
              <w:autoSpaceDN w:val="0"/>
              <w:adjustRightInd w:val="0"/>
              <w:spacing w:after="120"/>
              <w:rPr>
                <w:rFonts w:cs="Arial"/>
                <w:color w:val="808080"/>
                <w:sz w:val="16"/>
                <w:szCs w:val="16"/>
                <w:lang w:val="es-ES_tradnl"/>
              </w:rPr>
            </w:pPr>
            <w:r w:rsidRPr="00332758">
              <w:rPr>
                <w:rFonts w:cs="Arial"/>
                <w:sz w:val="16"/>
                <w:szCs w:val="16"/>
                <w:lang w:val="es-ES_tradnl"/>
              </w:rPr>
              <w:t>La OMPI contrató un experto para el desarrollo de los servicios y contenidos de la plataforma y para coordinar la información aportada por América Latina.</w:t>
            </w:r>
          </w:p>
        </w:tc>
        <w:tc>
          <w:tcPr>
            <w:tcW w:w="1260"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Octubre de a diciembre de 2013</w:t>
            </w:r>
          </w:p>
          <w:p w:rsidR="00A33040" w:rsidRPr="00A34388" w:rsidRDefault="00A33040" w:rsidP="00AA6702">
            <w:pPr>
              <w:autoSpaceDE w:val="0"/>
              <w:autoSpaceDN w:val="0"/>
              <w:adjustRightInd w:val="0"/>
              <w:spacing w:after="120"/>
              <w:rPr>
                <w:rFonts w:cs="Arial"/>
                <w:color w:val="000000"/>
                <w:sz w:val="16"/>
                <w:szCs w:val="16"/>
                <w:lang w:val="es-ES_tradnl"/>
              </w:rPr>
            </w:pP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 xml:space="preserve">Desarrollar contenidos y servicios, y coordinar las aportaciones de los países a la plataforma CIBEPYME </w:t>
            </w:r>
          </w:p>
        </w:tc>
      </w:tr>
      <w:tr w:rsidR="00A33040" w:rsidRPr="00A9508D" w:rsidTr="00056666">
        <w:trPr>
          <w:cantSplit/>
        </w:trPr>
        <w:tc>
          <w:tcPr>
            <w:tcW w:w="1981" w:type="dxa"/>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 xml:space="preserve">Curso de formación para expertos en desarrollo de servicios y contenidos de la plataforma </w:t>
            </w:r>
          </w:p>
        </w:tc>
        <w:tc>
          <w:tcPr>
            <w:tcW w:w="1260"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Noviembre de 2013</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 xml:space="preserve">Formación de expertos en el desarrollo de servicios y contenidos de la plataforma  </w:t>
            </w:r>
          </w:p>
        </w:tc>
      </w:tr>
      <w:tr w:rsidR="00A33040" w:rsidRPr="00A9508D" w:rsidTr="00056666">
        <w:trPr>
          <w:cantSplit/>
          <w:trHeight w:val="460"/>
        </w:trPr>
        <w:tc>
          <w:tcPr>
            <w:tcW w:w="1981" w:type="dxa"/>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Reunión de coordinación y de análisis de los avances de los países participantes en el proyecto</w:t>
            </w:r>
          </w:p>
        </w:tc>
        <w:tc>
          <w:tcPr>
            <w:tcW w:w="1260"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Octubre de 2013</w:t>
            </w:r>
          </w:p>
        </w:tc>
        <w:tc>
          <w:tcPr>
            <w:tcW w:w="2004" w:type="dxa"/>
            <w:shd w:val="clear" w:color="auto" w:fill="auto"/>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shd w:val="clear" w:color="auto" w:fill="FFFFFF"/>
            <w:tcMar>
              <w:top w:w="110" w:type="dxa"/>
            </w:tcMar>
          </w:tcPr>
          <w:p w:rsidR="00A33040" w:rsidRPr="00A34388" w:rsidRDefault="00A33040" w:rsidP="00AA6702">
            <w:pPr>
              <w:autoSpaceDE w:val="0"/>
              <w:autoSpaceDN w:val="0"/>
              <w:adjustRightInd w:val="0"/>
              <w:spacing w:after="120"/>
              <w:rPr>
                <w:rFonts w:cs="Arial"/>
                <w:color w:val="000000"/>
                <w:sz w:val="16"/>
                <w:szCs w:val="16"/>
                <w:lang w:val="es-ES_tradnl"/>
              </w:rPr>
            </w:pPr>
            <w:r w:rsidRPr="00A34388">
              <w:rPr>
                <w:rFonts w:cs="Arial"/>
                <w:color w:val="000000"/>
                <w:sz w:val="16"/>
                <w:szCs w:val="16"/>
                <w:lang w:val="es-ES_tradnl"/>
              </w:rPr>
              <w:t>Ofrecer novedades sobre los avances y coordinar el proyecto CIBEPYME.</w:t>
            </w:r>
          </w:p>
        </w:tc>
      </w:tr>
      <w:tr w:rsidR="00A33040" w:rsidRPr="00A9508D"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color w:val="FF00FF"/>
                <w:sz w:val="16"/>
                <w:szCs w:val="16"/>
                <w:lang w:val="es-ES_tradnl"/>
              </w:rPr>
            </w:pPr>
            <w:r w:rsidRPr="00332758">
              <w:rPr>
                <w:rFonts w:cs="Arial"/>
                <w:b/>
                <w:bCs/>
                <w:sz w:val="16"/>
                <w:szCs w:val="16"/>
                <w:lang w:val="es-ES_tradnl"/>
              </w:rPr>
              <w:t>RESULTADO:</w:t>
            </w:r>
            <w:r w:rsidRPr="00332758">
              <w:rPr>
                <w:rFonts w:cs="Arial"/>
                <w:bCs/>
                <w:sz w:val="16"/>
                <w:szCs w:val="16"/>
                <w:lang w:val="es-ES_tradnl"/>
              </w:rPr>
              <w:tab/>
              <w:t>Perfeccionamiento del sistema PCT en su conjunto y utilización estratégica del PCT, con conocimiento de causa, por todos los innovadores que puedan aprovecharlo</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0F2E30">
              <w:rPr>
                <w:rFonts w:cs="Arial"/>
                <w:b/>
                <w:sz w:val="16"/>
                <w:szCs w:val="16"/>
                <w:lang w:val="es-ES_tradnl"/>
              </w:rPr>
              <w:t xml:space="preserve"> </w:t>
            </w:r>
            <w:r w:rsidRPr="00332758">
              <w:rPr>
                <w:rFonts w:cs="Arial"/>
                <w:b/>
                <w:sz w:val="16"/>
                <w:szCs w:val="16"/>
                <w:lang w:val="es-ES_tradnl"/>
              </w:rPr>
              <w:t>/</w:t>
            </w:r>
            <w:r w:rsidR="000F2E30">
              <w:rPr>
                <w:rFonts w:cs="Arial"/>
                <w:b/>
                <w:sz w:val="16"/>
                <w:szCs w:val="16"/>
                <w:lang w:val="es-ES_tradnl"/>
              </w:rPr>
              <w:t xml:space="preserve"> </w:t>
            </w:r>
            <w:r w:rsidRPr="00332758">
              <w:rPr>
                <w:rFonts w:cs="Arial"/>
                <w:b/>
                <w:sz w:val="16"/>
                <w:szCs w:val="16"/>
                <w:lang w:val="es-ES_tradnl"/>
              </w:rPr>
              <w:t>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rPr>
          <w:cantSplit/>
        </w:trPr>
        <w:tc>
          <w:tcPr>
            <w:tcW w:w="1981"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Seminario regional sobre el PCT dirigido a los países de América Latina: </w:t>
            </w:r>
            <w:r w:rsidR="007E4D96" w:rsidRPr="00A34388">
              <w:rPr>
                <w:rFonts w:cs="Arial"/>
                <w:color w:val="000000"/>
                <w:sz w:val="16"/>
                <w:szCs w:val="16"/>
                <w:lang w:val="es-ES_tradnl"/>
              </w:rPr>
              <w:t xml:space="preserve"> </w:t>
            </w:r>
            <w:r w:rsidRPr="00A34388">
              <w:rPr>
                <w:rFonts w:cs="Arial"/>
                <w:color w:val="000000"/>
                <w:sz w:val="16"/>
                <w:szCs w:val="16"/>
                <w:lang w:val="es-ES_tradnl"/>
              </w:rPr>
              <w:t>el PCT en el marco de la organización institucional de la gestión de la P.I., el Perú</w:t>
            </w:r>
          </w:p>
        </w:tc>
        <w:tc>
          <w:tcPr>
            <w:tcW w:w="1260" w:type="dxa"/>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15 y 16 de julio de 2013</w:t>
            </w:r>
          </w:p>
          <w:p w:rsidR="00A33040" w:rsidRPr="00A34388" w:rsidRDefault="00A33040" w:rsidP="00AA6702">
            <w:pPr>
              <w:autoSpaceDE w:val="0"/>
              <w:autoSpaceDN w:val="0"/>
              <w:adjustRightInd w:val="0"/>
              <w:spacing w:before="120" w:after="120"/>
              <w:rPr>
                <w:rFonts w:cs="Arial"/>
                <w:color w:val="000000"/>
                <w:sz w:val="16"/>
                <w:szCs w:val="16"/>
                <w:lang w:val="es-ES_tradnl"/>
              </w:rPr>
            </w:pPr>
          </w:p>
        </w:tc>
        <w:tc>
          <w:tcPr>
            <w:tcW w:w="200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Perú (Lima)/ Todos los países de América Latina y el Caribe</w:t>
            </w:r>
          </w:p>
        </w:tc>
        <w:tc>
          <w:tcPr>
            <w:tcW w:w="382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Se celebra tradicionalmente cada año con la cooperación de la Oficina Española de Patentes y Marcas (OEPM), y su objetivo es promover el debate sobre el PCT en la región y propiciar el intercambio de ideas y experiencias sobre la aplicación del PCT</w:t>
            </w:r>
          </w:p>
        </w:tc>
      </w:tr>
      <w:tr w:rsidR="00A33040" w:rsidRPr="00A9508D"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Proyecto regional de automatización para la traducción al español del nivel avanzado de la Clasificación Internacional de Patentes (CIP).</w:t>
            </w:r>
          </w:p>
        </w:tc>
        <w:tc>
          <w:tcPr>
            <w:tcW w:w="126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Enero a diciembre de 2013</w:t>
            </w:r>
          </w:p>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(Proyecto en curso desde 2010)</w:t>
            </w:r>
          </w:p>
        </w:tc>
        <w:tc>
          <w:tcPr>
            <w:tcW w:w="2004"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Todos los países de América Latina y el Caribe</w:t>
            </w:r>
          </w:p>
        </w:tc>
        <w:tc>
          <w:tcPr>
            <w:tcW w:w="3827" w:type="dxa"/>
            <w:tcBorders>
              <w:bottom w:val="single" w:sz="4" w:space="0" w:color="auto"/>
            </w:tcBorders>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i) Instrumentar la automatización de la traducción al español del nivel avanzado de la CIP, puesto que se encargó inicialmente solo en francés e inglés;  y ii) ponerla a disposición de las oficinas de propiedad industrial de los países de América Latina y el Caribe.</w:t>
            </w:r>
          </w:p>
        </w:tc>
      </w:tr>
      <w:tr w:rsidR="00A33040" w:rsidRPr="00A9508D"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lastRenderedPageBreak/>
              <w:t>RESULTADO</w:t>
            </w:r>
            <w:r w:rsidRPr="00332758">
              <w:rPr>
                <w:rFonts w:cs="Arial"/>
                <w:bCs/>
                <w:sz w:val="16"/>
                <w:szCs w:val="16"/>
                <w:lang w:val="es-ES_tradnl"/>
              </w:rPr>
              <w:t>:</w:t>
            </w:r>
            <w:r w:rsidRPr="00332758">
              <w:rPr>
                <w:rFonts w:cs="Arial"/>
                <w:bCs/>
                <w:sz w:val="16"/>
                <w:szCs w:val="16"/>
                <w:lang w:val="es-ES_tradnl"/>
              </w:rPr>
              <w:tab/>
              <w:t>Creación o fortalecimiento de mecanismos, programas y asociaciones de cooperación.</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0F2E30">
              <w:rPr>
                <w:rFonts w:cs="Arial"/>
                <w:b/>
                <w:sz w:val="16"/>
                <w:szCs w:val="16"/>
                <w:lang w:val="es-ES_tradnl"/>
              </w:rPr>
              <w:t xml:space="preserve"> </w:t>
            </w:r>
            <w:r w:rsidRPr="00332758">
              <w:rPr>
                <w:rFonts w:cs="Arial"/>
                <w:b/>
                <w:sz w:val="16"/>
                <w:szCs w:val="16"/>
                <w:lang w:val="es-ES_tradnl"/>
              </w:rPr>
              <w:t>/</w:t>
            </w:r>
            <w:r w:rsidR="000F2E30">
              <w:rPr>
                <w:rFonts w:cs="Arial"/>
                <w:b/>
                <w:sz w:val="16"/>
                <w:szCs w:val="16"/>
                <w:lang w:val="es-ES_tradnl"/>
              </w:rPr>
              <w:t xml:space="preserve"> </w:t>
            </w:r>
            <w:r w:rsidRPr="00332758">
              <w:rPr>
                <w:rFonts w:cs="Arial"/>
                <w:b/>
                <w:sz w:val="16"/>
                <w:szCs w:val="16"/>
                <w:lang w:val="es-ES_tradnl"/>
              </w:rPr>
              <w:t>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rPr>
          <w:cantSplit/>
        </w:trPr>
        <w:tc>
          <w:tcPr>
            <w:tcW w:w="1981"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Reunión subregional sobre marcas de los países de Centroamérica, Panamá y la República Dominicana, para el examen y la aprobación de un manual sobre el examen de solicitudes de marcas.</w:t>
            </w:r>
          </w:p>
        </w:tc>
        <w:tc>
          <w:tcPr>
            <w:tcW w:w="1260"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20 y 21 de febrero de 2013</w:t>
            </w:r>
          </w:p>
        </w:tc>
        <w:tc>
          <w:tcPr>
            <w:tcW w:w="200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Panamá / Todos los países de América Latina</w:t>
            </w:r>
          </w:p>
        </w:tc>
        <w:tc>
          <w:tcPr>
            <w:tcW w:w="3827" w:type="dxa"/>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i) Brindar la oportunidad de realizar una revisión final del manual sobre el examen de marcas para los países de Centroamérica, Panamá y la República Dominicana;  ii) proponer medidas conducentes a la utilización futura del manual en los procedimientos de examen de esos países;  iii) establecer medidas para lograr un consenso sobre los mecanismos, lo que contribuiría a preservar la utilidad del manual.</w:t>
            </w:r>
          </w:p>
        </w:tc>
      </w:tr>
      <w:tr w:rsidR="00A33040" w:rsidRPr="00A9508D" w:rsidTr="00AA6702">
        <w:trPr>
          <w:cantSplit/>
        </w:trPr>
        <w:tc>
          <w:tcPr>
            <w:tcW w:w="1981"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América Latina: Proyecto regional sobre documentación y mecanismos de acceso a las resoluciones de índole jurídica y administrativa relacionadas con la propiedad intelectual.</w:t>
            </w:r>
          </w:p>
        </w:tc>
        <w:tc>
          <w:tcPr>
            <w:tcW w:w="1260"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2012/2013</w:t>
            </w:r>
          </w:p>
        </w:tc>
        <w:tc>
          <w:tcPr>
            <w:tcW w:w="2004"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Todos los países de América Latina</w:t>
            </w:r>
          </w:p>
        </w:tc>
        <w:tc>
          <w:tcPr>
            <w:tcW w:w="3827" w:type="dxa"/>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i) Recopilar y difundir información;  y ii) promover el uso de la plataforma Web de una base de datos de jurisprudencia de la región.</w:t>
            </w:r>
          </w:p>
        </w:tc>
      </w:tr>
      <w:tr w:rsidR="00A33040" w:rsidRPr="00A9508D"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Programa Iberoamericano de propiedad industrial.</w:t>
            </w:r>
          </w:p>
        </w:tc>
        <w:tc>
          <w:tcPr>
            <w:tcW w:w="126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En curso</w:t>
            </w:r>
          </w:p>
        </w:tc>
        <w:tc>
          <w:tcPr>
            <w:tcW w:w="2004"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p>
        </w:tc>
        <w:tc>
          <w:tcPr>
            <w:tcW w:w="3827"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Promover el desarrollo socioeconómico de la región en el marco de la Cumbre Iberoamericana de Jefes de Estado y de Gobierno.</w:t>
            </w:r>
          </w:p>
        </w:tc>
      </w:tr>
      <w:tr w:rsidR="00A33040" w:rsidRPr="00A9508D"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Cs/>
                <w:color w:val="FF00FF"/>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Mejor comprensión/capacidad de las Pymes y las instituciones de apoyo a las Pymes para utilizar con eficacia la P.I. en aras de la innovación y la comercialización</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0F2E30">
              <w:rPr>
                <w:rFonts w:cs="Arial"/>
                <w:b/>
                <w:sz w:val="16"/>
                <w:szCs w:val="16"/>
                <w:lang w:val="es-ES_tradnl"/>
              </w:rPr>
              <w:t xml:space="preserve"> </w:t>
            </w:r>
            <w:r w:rsidRPr="00332758">
              <w:rPr>
                <w:rFonts w:cs="Arial"/>
                <w:b/>
                <w:sz w:val="16"/>
                <w:szCs w:val="16"/>
                <w:lang w:val="es-ES_tradnl"/>
              </w:rPr>
              <w:t>/</w:t>
            </w:r>
            <w:r w:rsidR="000F2E30">
              <w:rPr>
                <w:rFonts w:cs="Arial"/>
                <w:b/>
                <w:sz w:val="16"/>
                <w:szCs w:val="16"/>
                <w:lang w:val="es-ES_tradnl"/>
              </w:rPr>
              <w:t xml:space="preserve"> </w:t>
            </w:r>
            <w:r w:rsidRPr="00332758">
              <w:rPr>
                <w:rFonts w:cs="Arial"/>
                <w:b/>
                <w:sz w:val="16"/>
                <w:szCs w:val="16"/>
                <w:lang w:val="es-ES_tradnl"/>
              </w:rPr>
              <w:t>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 xml:space="preserve">Seminario regional sobre marcas y diseño industrial como factor de innovación </w:t>
            </w:r>
          </w:p>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Proyecto de una plataforma en español sobre servicios y contenidos de propiedad industrial adaptada a las necesidades del sector empresarial de América Latina, centrándose en las pymes (CIBEPYME).</w:t>
            </w:r>
          </w:p>
        </w:tc>
        <w:tc>
          <w:tcPr>
            <w:tcW w:w="126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25 a 29 de noviembre de 2013</w:t>
            </w:r>
          </w:p>
        </w:tc>
        <w:tc>
          <w:tcPr>
            <w:tcW w:w="2004" w:type="dxa"/>
            <w:tcBorders>
              <w:bottom w:val="single" w:sz="4" w:space="0" w:color="auto"/>
            </w:tcBorders>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Uruguay / Todos los países de América Latina</w:t>
            </w:r>
          </w:p>
        </w:tc>
        <w:tc>
          <w:tcPr>
            <w:tcW w:w="3827" w:type="dxa"/>
            <w:tcBorders>
              <w:bottom w:val="single" w:sz="4" w:space="0" w:color="auto"/>
            </w:tcBorders>
          </w:tcPr>
          <w:p w:rsidR="00A33040" w:rsidRPr="00A34388" w:rsidRDefault="00A33040" w:rsidP="00AA6702">
            <w:pPr>
              <w:rPr>
                <w:rFonts w:cs="Arial"/>
                <w:color w:val="000000"/>
                <w:sz w:val="16"/>
                <w:szCs w:val="16"/>
                <w:lang w:val="es-ES_tradnl"/>
              </w:rPr>
            </w:pPr>
            <w:r w:rsidRPr="00A34388">
              <w:rPr>
                <w:rFonts w:cs="Arial"/>
                <w:color w:val="000000"/>
                <w:sz w:val="16"/>
                <w:szCs w:val="16"/>
                <w:lang w:val="es-ES_tradnl"/>
              </w:rPr>
              <w:t>i) Proporcionar a los participantes información actualizada, formación práctica e instrumentos útiles en el campo del uso estratégico de las marcas y los diseños industriales con fines empresariales;  y ii) promover e intercambiar experiencias, en particular las mejores prácticas, con el fin de identificar mecanismos adecuados para que los derechos de la P.I. sean más accesibles y relevantes para la comunidad empresarial de América Latina.</w:t>
            </w:r>
          </w:p>
        </w:tc>
      </w:tr>
      <w:tr w:rsidR="00A33040" w:rsidRPr="00A9508D"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A34388" w:rsidRDefault="00A33040" w:rsidP="00AA6702">
            <w:pPr>
              <w:keepNext/>
              <w:keepLines/>
              <w:tabs>
                <w:tab w:val="left" w:pos="1740"/>
              </w:tabs>
              <w:spacing w:before="120" w:after="120"/>
              <w:ind w:left="1740" w:hanging="1740"/>
              <w:rPr>
                <w:rFonts w:cs="Arial"/>
                <w:b/>
                <w:bCs/>
                <w:sz w:val="16"/>
                <w:szCs w:val="16"/>
                <w:lang w:val="es-ES_tradnl"/>
              </w:rPr>
            </w:pPr>
            <w:r w:rsidRPr="00332758">
              <w:rPr>
                <w:rFonts w:cs="Arial"/>
                <w:b/>
                <w:bCs/>
                <w:sz w:val="16"/>
                <w:szCs w:val="16"/>
                <w:lang w:val="es-ES_tradnl"/>
              </w:rPr>
              <w:t>RESULTADO</w:t>
            </w:r>
            <w:r w:rsidRPr="00A34388">
              <w:rPr>
                <w:rFonts w:cs="Arial"/>
                <w:b/>
                <w:bCs/>
                <w:color w:val="000000"/>
                <w:sz w:val="16"/>
                <w:szCs w:val="16"/>
                <w:lang w:val="es-ES_tradnl"/>
              </w:rPr>
              <w:t>:</w:t>
            </w:r>
            <w:r w:rsidRPr="00332758">
              <w:rPr>
                <w:rFonts w:cs="Arial"/>
                <w:bCs/>
                <w:sz w:val="16"/>
                <w:szCs w:val="16"/>
                <w:lang w:val="es-ES_tradnl"/>
              </w:rPr>
              <w:tab/>
              <w:t>Mejora en la infraestructura técnica y de conocimientos de las oficinas y demás instituciones de P.I. que les permite prestar mejores servicios (más económicos, más rápidos y de mejor calidad) a sus usuarios</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0F2E30">
              <w:rPr>
                <w:rFonts w:cs="Arial"/>
                <w:b/>
                <w:sz w:val="16"/>
                <w:szCs w:val="16"/>
                <w:lang w:val="es-ES_tradnl"/>
              </w:rPr>
              <w:t xml:space="preserve"> </w:t>
            </w:r>
            <w:r w:rsidRPr="00332758">
              <w:rPr>
                <w:rFonts w:cs="Arial"/>
                <w:b/>
                <w:sz w:val="16"/>
                <w:szCs w:val="16"/>
                <w:lang w:val="es-ES_tradnl"/>
              </w:rPr>
              <w:t>/</w:t>
            </w:r>
            <w:r w:rsidR="000F2E30">
              <w:rPr>
                <w:rFonts w:cs="Arial"/>
                <w:b/>
                <w:sz w:val="16"/>
                <w:szCs w:val="16"/>
                <w:lang w:val="es-ES_tradnl"/>
              </w:rPr>
              <w:t xml:space="preserve"> </w:t>
            </w:r>
            <w:r w:rsidRPr="00332758">
              <w:rPr>
                <w:rFonts w:cs="Arial"/>
                <w:b/>
                <w:sz w:val="16"/>
                <w:szCs w:val="16"/>
                <w:lang w:val="es-ES_tradnl"/>
              </w:rPr>
              <w:t>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rPr>
          <w:cantSplit/>
        </w:trPr>
        <w:tc>
          <w:tcPr>
            <w:tcW w:w="1981" w:type="dxa"/>
            <w:tcBorders>
              <w:bottom w:val="single" w:sz="4" w:space="0" w:color="auto"/>
            </w:tcBorders>
          </w:tcPr>
          <w:p w:rsidR="00A33040" w:rsidRPr="00A34388" w:rsidRDefault="00A33040" w:rsidP="00AA6702">
            <w:pPr>
              <w:autoSpaceDE w:val="0"/>
              <w:autoSpaceDN w:val="0"/>
              <w:adjustRightInd w:val="0"/>
              <w:spacing w:before="120"/>
              <w:rPr>
                <w:rFonts w:cs="Arial"/>
                <w:color w:val="000000"/>
                <w:sz w:val="16"/>
                <w:szCs w:val="16"/>
                <w:lang w:val="es-ES_tradnl"/>
              </w:rPr>
            </w:pPr>
            <w:r w:rsidRPr="00A34388">
              <w:rPr>
                <w:rFonts w:cs="Arial"/>
                <w:color w:val="000000"/>
                <w:sz w:val="16"/>
                <w:szCs w:val="16"/>
                <w:lang w:val="es-ES_tradnl"/>
              </w:rPr>
              <w:t>IV seminario regional sobre planificación estratégica y gestión en oficinas de la propiedad industrial de los países de América Latina</w:t>
            </w:r>
          </w:p>
        </w:tc>
        <w:tc>
          <w:tcPr>
            <w:tcW w:w="1260"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7 a 10 de octubre de 2013</w:t>
            </w:r>
          </w:p>
        </w:tc>
        <w:tc>
          <w:tcPr>
            <w:tcW w:w="2004"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808080"/>
                <w:sz w:val="16"/>
                <w:szCs w:val="16"/>
                <w:lang w:val="es-ES_tradnl"/>
              </w:rPr>
            </w:pPr>
            <w:r w:rsidRPr="00332758">
              <w:rPr>
                <w:rFonts w:cs="Arial"/>
                <w:sz w:val="16"/>
                <w:szCs w:val="16"/>
                <w:lang w:val="es-ES_tradnl"/>
              </w:rPr>
              <w:t>Colombia / Todos los países de América Latina</w:t>
            </w:r>
          </w:p>
        </w:tc>
        <w:tc>
          <w:tcPr>
            <w:tcW w:w="3827" w:type="dxa"/>
            <w:tcBorders>
              <w:bottom w:val="single" w:sz="4" w:space="0" w:color="auto"/>
            </w:tcBorders>
          </w:tcPr>
          <w:p w:rsidR="00A33040" w:rsidRPr="00A34388" w:rsidRDefault="00A33040" w:rsidP="00AA6702">
            <w:pPr>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i) Ofrecer a los participantes información actualizada, formación práctica e instrumentos útiles en el campo de la planificación estratégica, las políticas sobre recursos humanos y la gestión de calidad;  ii) modernizar las administraciones de P.I.;  y iii) generar entre los administradores de las oficinas de P.I. de los países de América Latina un fuerte sentido del concepto de gestión orientada a la prestación de servicios.</w:t>
            </w:r>
          </w:p>
        </w:tc>
      </w:tr>
      <w:tr w:rsidR="00A33040" w:rsidRPr="00A9508D" w:rsidTr="00AA6702">
        <w:trPr>
          <w:cantSplit/>
        </w:trPr>
        <w:tc>
          <w:tcPr>
            <w:tcW w:w="9072" w:type="dxa"/>
            <w:gridSpan w:val="4"/>
            <w:tcBorders>
              <w:top w:val="single" w:sz="4" w:space="0" w:color="auto"/>
              <w:bottom w:val="single" w:sz="4" w:space="0" w:color="auto"/>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lastRenderedPageBreak/>
              <w:t>RESULTADO</w:t>
            </w:r>
            <w:r w:rsidRPr="00332758">
              <w:rPr>
                <w:rFonts w:cs="Arial"/>
                <w:bCs/>
                <w:sz w:val="16"/>
                <w:szCs w:val="16"/>
                <w:lang w:val="es-ES_tradnl"/>
              </w:rPr>
              <w:t>:</w:t>
            </w:r>
            <w:r w:rsidRPr="00332758">
              <w:rPr>
                <w:rFonts w:cs="Arial"/>
                <w:bCs/>
                <w:sz w:val="16"/>
                <w:szCs w:val="16"/>
                <w:lang w:val="es-ES_tradnl"/>
              </w:rPr>
              <w:tab/>
              <w:t>Mejora en el acceso a la información y los conocimientos sobre P.I. y su utilización por las instituciones de P.I. y el público, para fomentar la innovación y aumentar el acceso a las obras que son fruto de la creatividad, tanto las que están protegidas como las que se encuentran en el dominio público.</w:t>
            </w:r>
          </w:p>
        </w:tc>
      </w:tr>
      <w:tr w:rsidR="00A33040" w:rsidRPr="00A34388" w:rsidTr="00AA6702">
        <w:trPr>
          <w:cantSplit/>
        </w:trPr>
        <w:tc>
          <w:tcPr>
            <w:tcW w:w="1981" w:type="dxa"/>
            <w:tcBorders>
              <w:top w:val="single" w:sz="4" w:space="0" w:color="auto"/>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260"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004" w:type="dxa"/>
            <w:tcBorders>
              <w:top w:val="single" w:sz="4" w:space="0" w:color="auto"/>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0F2E30">
              <w:rPr>
                <w:rFonts w:cs="Arial"/>
                <w:b/>
                <w:sz w:val="16"/>
                <w:szCs w:val="16"/>
                <w:lang w:val="es-ES_tradnl"/>
              </w:rPr>
              <w:t xml:space="preserve"> </w:t>
            </w:r>
            <w:r w:rsidRPr="00332758">
              <w:rPr>
                <w:rFonts w:cs="Arial"/>
                <w:b/>
                <w:sz w:val="16"/>
                <w:szCs w:val="16"/>
                <w:lang w:val="es-ES_tradnl"/>
              </w:rPr>
              <w:t>/</w:t>
            </w:r>
            <w:r w:rsidR="000F2E30">
              <w:rPr>
                <w:rFonts w:cs="Arial"/>
                <w:b/>
                <w:sz w:val="16"/>
                <w:szCs w:val="16"/>
                <w:lang w:val="es-ES_tradnl"/>
              </w:rPr>
              <w:t xml:space="preserve"> </w:t>
            </w:r>
            <w:r w:rsidRPr="00332758">
              <w:rPr>
                <w:rFonts w:cs="Arial"/>
                <w:b/>
                <w:sz w:val="16"/>
                <w:szCs w:val="16"/>
                <w:lang w:val="es-ES_tradnl"/>
              </w:rPr>
              <w:t>Beneficiarios</w:t>
            </w:r>
          </w:p>
        </w:tc>
        <w:tc>
          <w:tcPr>
            <w:tcW w:w="3827" w:type="dxa"/>
            <w:tcBorders>
              <w:top w:val="single" w:sz="4" w:space="0" w:color="auto"/>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AA6702">
        <w:trPr>
          <w:cantSplit/>
        </w:trPr>
        <w:tc>
          <w:tcPr>
            <w:tcW w:w="1981"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rPr>
            </w:pPr>
            <w:r w:rsidRPr="00332758">
              <w:rPr>
                <w:rFonts w:cs="Arial"/>
                <w:sz w:val="16"/>
                <w:szCs w:val="16"/>
                <w:lang w:val="es-ES_tradnl"/>
              </w:rPr>
              <w:t>Proyecto LATIPAT – 9ª Reunión regional OMPI/OEPM/OEP de especialistas en tecnologías de la información y gestión de la información contenida en las patentes de las oficinas de propiedad industrial de América Latina.</w:t>
            </w:r>
          </w:p>
        </w:tc>
        <w:tc>
          <w:tcPr>
            <w:tcW w:w="1260"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ja-JP"/>
              </w:rPr>
            </w:pPr>
            <w:r w:rsidRPr="00332758">
              <w:rPr>
                <w:rFonts w:cs="Arial"/>
                <w:sz w:val="16"/>
                <w:szCs w:val="16"/>
                <w:lang w:val="es-ES_tradnl" w:eastAsia="ja-JP"/>
              </w:rPr>
              <w:t>4 a 6 de noviembre de 2013</w:t>
            </w:r>
          </w:p>
        </w:tc>
        <w:tc>
          <w:tcPr>
            <w:tcW w:w="2004" w:type="dxa"/>
          </w:tcPr>
          <w:p w:rsidR="00A33040" w:rsidRPr="00332758" w:rsidRDefault="00A33040" w:rsidP="00AA6702">
            <w:pPr>
              <w:keepNext/>
              <w:keepLines/>
              <w:autoSpaceDE w:val="0"/>
              <w:autoSpaceDN w:val="0"/>
              <w:adjustRightInd w:val="0"/>
              <w:spacing w:before="120" w:after="120"/>
              <w:rPr>
                <w:rFonts w:cs="Arial"/>
                <w:sz w:val="16"/>
                <w:szCs w:val="16"/>
                <w:lang w:val="es-ES_tradnl" w:eastAsia="ja-JP"/>
              </w:rPr>
            </w:pPr>
            <w:r w:rsidRPr="00332758">
              <w:rPr>
                <w:rFonts w:cs="Arial"/>
                <w:sz w:val="16"/>
                <w:szCs w:val="16"/>
                <w:lang w:val="es-ES_tradnl" w:eastAsia="ja-JP"/>
              </w:rPr>
              <w:t>Chile / Todos los países de América Latina</w:t>
            </w:r>
          </w:p>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ja-JP"/>
              </w:rPr>
            </w:pPr>
          </w:p>
        </w:tc>
        <w:tc>
          <w:tcPr>
            <w:tcW w:w="3827" w:type="dxa"/>
          </w:tcPr>
          <w:p w:rsidR="00A33040" w:rsidRPr="00A34388" w:rsidRDefault="00A33040" w:rsidP="00AA6702">
            <w:pPr>
              <w:keepNext/>
              <w:keepLines/>
              <w:autoSpaceDE w:val="0"/>
              <w:autoSpaceDN w:val="0"/>
              <w:adjustRightInd w:val="0"/>
              <w:spacing w:before="120" w:after="120"/>
              <w:rPr>
                <w:rFonts w:cs="Arial"/>
                <w:color w:val="000000"/>
                <w:sz w:val="16"/>
                <w:szCs w:val="16"/>
                <w:lang w:val="es-ES_tradnl" w:eastAsia="ja-JP"/>
              </w:rPr>
            </w:pPr>
            <w:r w:rsidRPr="00332758">
              <w:rPr>
                <w:rFonts w:cs="Arial"/>
                <w:sz w:val="16"/>
                <w:szCs w:val="16"/>
                <w:lang w:val="es-ES_tradnl" w:eastAsia="ja-JP"/>
              </w:rPr>
              <w:t>El proyecto LATIPAT se concibió para crear y ofrecer una base de datos con información de patentes de todos los países de América Latina.</w:t>
            </w:r>
            <w:r w:rsidRPr="00A34388">
              <w:rPr>
                <w:rFonts w:cs="Arial"/>
                <w:color w:val="000000"/>
                <w:sz w:val="16"/>
                <w:szCs w:val="16"/>
                <w:lang w:val="es-ES_tradnl" w:eastAsia="ja-JP"/>
              </w:rPr>
              <w:t xml:space="preserve"> </w:t>
            </w:r>
            <w:r w:rsidR="00537926" w:rsidRPr="00A34388">
              <w:rPr>
                <w:rFonts w:cs="Arial"/>
                <w:color w:val="000000"/>
                <w:sz w:val="16"/>
                <w:szCs w:val="16"/>
                <w:lang w:val="es-ES_tradnl" w:eastAsia="ja-JP"/>
              </w:rPr>
              <w:t xml:space="preserve"> </w:t>
            </w:r>
            <w:r w:rsidRPr="00A34388">
              <w:rPr>
                <w:rFonts w:cs="Arial"/>
                <w:color w:val="000000"/>
                <w:sz w:val="16"/>
                <w:szCs w:val="16"/>
                <w:lang w:val="es-ES_tradnl" w:eastAsia="ja-JP"/>
              </w:rPr>
              <w:t>En la actualidad, tanto en los países de América Latina como en distintos foros internacionales relacionados con la información contenida en las patentes, el proyecto LATIPAT constituye un ejemplo de dedicación, perseverancia y trabajo en equipo.  Gracias a una labor de 13 años, el proyecto ofrece una base de datos con más de 2 millones de documentos en una plataforma que recibe una media de 14.000 visitas al mes</w:t>
            </w:r>
          </w:p>
        </w:tc>
      </w:tr>
    </w:tbl>
    <w:p w:rsidR="00A33040" w:rsidRPr="00A34388" w:rsidRDefault="00A33040" w:rsidP="00A33040">
      <w:pPr>
        <w:rPr>
          <w:rFonts w:cs="Arial"/>
          <w:b/>
          <w:szCs w:val="20"/>
          <w:lang w:val="es-ES_tradnl"/>
        </w:rPr>
      </w:pPr>
    </w:p>
    <w:p w:rsidR="00A33040" w:rsidRPr="00332758" w:rsidRDefault="00A33040" w:rsidP="00A33040">
      <w:pPr>
        <w:keepNext/>
        <w:keepLines/>
        <w:rPr>
          <w:rFonts w:ascii="Arial Bold" w:hAnsi="Arial Bold" w:cs="Arial Bold"/>
          <w:b/>
          <w:bCs/>
          <w:szCs w:val="20"/>
          <w:lang w:val="es-ES_tradnl"/>
        </w:rPr>
      </w:pPr>
      <w:r w:rsidRPr="00332758">
        <w:rPr>
          <w:rFonts w:ascii="Arial Bold" w:hAnsi="Arial Bold" w:cs="Arial Bold"/>
          <w:b/>
          <w:bCs/>
          <w:szCs w:val="20"/>
          <w:lang w:val="es-ES_tradnl"/>
        </w:rPr>
        <w:t>ESPAÑA – Contribuciones de donantes y gastos en 2013</w:t>
      </w:r>
      <w:r w:rsidRPr="00332758">
        <w:rPr>
          <w:rFonts w:ascii="Arial Bold" w:hAnsi="Arial Bold" w:cs="Arial Bold"/>
          <w:b/>
          <w:bCs/>
          <w:szCs w:val="20"/>
          <w:vertAlign w:val="superscript"/>
          <w:lang w:val="es-ES_tradnl"/>
        </w:rPr>
        <w:t>1</w:t>
      </w:r>
    </w:p>
    <w:p w:rsidR="00A33040" w:rsidRPr="00332758" w:rsidRDefault="00A33040" w:rsidP="00A33040">
      <w:pPr>
        <w:keepNext/>
        <w:keepLines/>
        <w:rPr>
          <w:rFonts w:cs="Arial"/>
          <w:b/>
          <w:sz w:val="18"/>
          <w:szCs w:val="1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A33040" w:rsidRPr="00A34388" w:rsidTr="00AA6702">
        <w:trPr>
          <w:trHeight w:val="567"/>
        </w:trPr>
        <w:tc>
          <w:tcPr>
            <w:tcW w:w="184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4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121.400</w:t>
            </w:r>
          </w:p>
        </w:tc>
        <w:tc>
          <w:tcPr>
            <w:tcW w:w="170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179.285</w:t>
            </w:r>
          </w:p>
        </w:tc>
        <w:tc>
          <w:tcPr>
            <w:tcW w:w="184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135.093</w:t>
            </w:r>
          </w:p>
        </w:tc>
        <w:tc>
          <w:tcPr>
            <w:tcW w:w="170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165.592</w:t>
            </w:r>
          </w:p>
        </w:tc>
      </w:tr>
    </w:tbl>
    <w:p w:rsidR="00A33040" w:rsidRPr="000F2E30" w:rsidRDefault="00A33040" w:rsidP="00A33040">
      <w:pPr>
        <w:spacing w:before="120"/>
        <w:rPr>
          <w:i/>
          <w:sz w:val="16"/>
          <w:szCs w:val="16"/>
          <w:lang w:val="es-ES_tradnl"/>
        </w:rPr>
      </w:pPr>
      <w:r w:rsidRPr="00332758">
        <w:rPr>
          <w:i/>
          <w:sz w:val="16"/>
          <w:szCs w:val="16"/>
          <w:vertAlign w:val="superscript"/>
          <w:lang w:val="es-ES_tradnl"/>
        </w:rPr>
        <w:t xml:space="preserve">1 </w:t>
      </w:r>
      <w:r w:rsidRPr="000F2E30">
        <w:rPr>
          <w:rFonts w:cs="Arial"/>
          <w:i/>
          <w:sz w:val="18"/>
          <w:szCs w:val="18"/>
          <w:lang w:val="es-ES_tradnl"/>
        </w:rPr>
        <w:t>Estados financieros de la OMPI de 2013 (Anexo III)</w:t>
      </w:r>
    </w:p>
    <w:p w:rsidR="00A33040" w:rsidRPr="00332758" w:rsidRDefault="00A33040" w:rsidP="00A33040">
      <w:pPr>
        <w:spacing w:before="120"/>
        <w:rPr>
          <w:i/>
          <w:sz w:val="16"/>
          <w:szCs w:val="16"/>
          <w:lang w:val="es-ES_tradnl"/>
        </w:rPr>
      </w:pPr>
    </w:p>
    <w:p w:rsidR="00A33040" w:rsidRPr="00332758" w:rsidRDefault="00A33040" w:rsidP="00A33040">
      <w:pPr>
        <w:keepNext/>
        <w:keepLines/>
        <w:rPr>
          <w:rFonts w:cs="Arial"/>
          <w:b/>
          <w:szCs w:val="2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t>ESTADOS UNIDOS DE AMÉRICA – DERECHO DE AUTOR</w:t>
      </w:r>
    </w:p>
    <w:p w:rsidR="00A33040" w:rsidRPr="00A34388" w:rsidRDefault="00A33040" w:rsidP="00A33040">
      <w:pPr>
        <w:keepNext/>
        <w:keepLines/>
        <w:rPr>
          <w:rFonts w:cs="Arial"/>
          <w:b/>
          <w:szCs w:val="20"/>
          <w:lang w:val="es-ES_tradnl"/>
        </w:rPr>
      </w:pPr>
    </w:p>
    <w:tbl>
      <w:tblPr>
        <w:tblW w:w="9368"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32"/>
        <w:gridCol w:w="1137"/>
        <w:gridCol w:w="2836"/>
        <w:gridCol w:w="3263"/>
      </w:tblGrid>
      <w:tr w:rsidR="00A33040" w:rsidRPr="00A9508D" w:rsidTr="000F2E30">
        <w:tc>
          <w:tcPr>
            <w:tcW w:w="9368" w:type="dxa"/>
            <w:gridSpan w:val="4"/>
            <w:tcBorders>
              <w:top w:val="single" w:sz="4" w:space="0" w:color="000000"/>
              <w:bottom w:val="single" w:sz="4" w:space="0" w:color="000000"/>
            </w:tcBorders>
            <w:shd w:val="clear" w:color="auto" w:fill="CCFFFF"/>
            <w:vAlign w:val="center"/>
          </w:tcPr>
          <w:p w:rsidR="00A33040" w:rsidRPr="00332758" w:rsidRDefault="00A33040" w:rsidP="00AA6702">
            <w:pPr>
              <w:spacing w:before="120" w:after="120"/>
              <w:ind w:left="1457" w:hanging="1457"/>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Decisión fundamentada sobre cuestiones de derecho de autor.</w:t>
            </w:r>
          </w:p>
        </w:tc>
      </w:tr>
      <w:tr w:rsidR="00A33040" w:rsidRPr="00A34388" w:rsidTr="000F2E30">
        <w:tc>
          <w:tcPr>
            <w:tcW w:w="2132" w:type="dxa"/>
            <w:tcBorders>
              <w:top w:val="single" w:sz="4" w:space="0" w:color="000000"/>
            </w:tcBorders>
            <w:vAlign w:val="center"/>
          </w:tcPr>
          <w:p w:rsidR="00A33040" w:rsidRPr="00A34388" w:rsidRDefault="00A33040" w:rsidP="00AA6702">
            <w:pPr>
              <w:keepNext/>
              <w:keepLines/>
              <w:rPr>
                <w:rFonts w:cs="Arial"/>
                <w:b/>
                <w:bCs/>
                <w:color w:val="808080"/>
                <w:sz w:val="16"/>
                <w:szCs w:val="16"/>
                <w:lang w:val="es-ES_tradnl"/>
              </w:rPr>
            </w:pPr>
            <w:r w:rsidRPr="00332758">
              <w:rPr>
                <w:rFonts w:cs="Arial"/>
                <w:b/>
                <w:bCs/>
                <w:sz w:val="16"/>
                <w:szCs w:val="16"/>
                <w:lang w:val="es-ES_tradnl"/>
              </w:rPr>
              <w:t>Actividad</w:t>
            </w:r>
          </w:p>
        </w:tc>
        <w:tc>
          <w:tcPr>
            <w:tcW w:w="1137"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Fecha</w:t>
            </w:r>
          </w:p>
        </w:tc>
        <w:tc>
          <w:tcPr>
            <w:tcW w:w="2836" w:type="dxa"/>
            <w:tcBorders>
              <w:top w:val="single" w:sz="4" w:space="0" w:color="000000"/>
            </w:tcBorders>
            <w:shd w:val="clear" w:color="auto" w:fill="auto"/>
            <w:tcMar>
              <w:top w:w="110" w:type="dxa"/>
            </w:tcMar>
            <w:vAlign w:val="center"/>
          </w:tcPr>
          <w:p w:rsidR="00A33040" w:rsidRPr="00A34388" w:rsidRDefault="00A33040" w:rsidP="00AA6702">
            <w:pPr>
              <w:keepNext/>
              <w:keepLines/>
              <w:rPr>
                <w:rFonts w:cs="Arial"/>
                <w:color w:val="808080"/>
                <w:sz w:val="16"/>
                <w:szCs w:val="16"/>
                <w:lang w:val="es-ES_tradnl"/>
              </w:rPr>
            </w:pPr>
            <w:r w:rsidRPr="00332758">
              <w:rPr>
                <w:rFonts w:cs="Arial"/>
                <w:b/>
                <w:sz w:val="16"/>
                <w:szCs w:val="16"/>
                <w:lang w:val="es-ES_tradnl"/>
              </w:rPr>
              <w:t>País anfitrión</w:t>
            </w:r>
            <w:r w:rsidR="000F2E30">
              <w:rPr>
                <w:rFonts w:cs="Arial"/>
                <w:b/>
                <w:sz w:val="16"/>
                <w:szCs w:val="16"/>
                <w:lang w:val="es-ES_tradnl"/>
              </w:rPr>
              <w:t xml:space="preserve"> </w:t>
            </w:r>
            <w:r w:rsidRPr="00332758">
              <w:rPr>
                <w:rFonts w:cs="Arial"/>
                <w:b/>
                <w:sz w:val="16"/>
                <w:szCs w:val="16"/>
                <w:lang w:val="es-ES_tradnl"/>
              </w:rPr>
              <w:t>/</w:t>
            </w:r>
            <w:r w:rsidR="000F2E30">
              <w:rPr>
                <w:rFonts w:cs="Arial"/>
                <w:b/>
                <w:sz w:val="16"/>
                <w:szCs w:val="16"/>
                <w:lang w:val="es-ES_tradnl"/>
              </w:rPr>
              <w:t xml:space="preserve"> </w:t>
            </w:r>
            <w:r w:rsidRPr="00332758">
              <w:rPr>
                <w:rFonts w:cs="Arial"/>
                <w:b/>
                <w:sz w:val="16"/>
                <w:szCs w:val="16"/>
                <w:lang w:val="es-ES_tradnl"/>
              </w:rPr>
              <w:t>Beneficiarios</w:t>
            </w:r>
          </w:p>
        </w:tc>
        <w:tc>
          <w:tcPr>
            <w:tcW w:w="3263" w:type="dxa"/>
            <w:tcBorders>
              <w:top w:val="single" w:sz="4" w:space="0" w:color="000000"/>
            </w:tcBorders>
            <w:shd w:val="clear" w:color="auto" w:fill="FFFFFF"/>
            <w:tcMar>
              <w:top w:w="110" w:type="dxa"/>
            </w:tcMar>
            <w:vAlign w:val="center"/>
          </w:tcPr>
          <w:p w:rsidR="00A33040" w:rsidRPr="00332758" w:rsidRDefault="00A33040" w:rsidP="00AA6702">
            <w:pPr>
              <w:keepNext/>
              <w:keepLines/>
              <w:rPr>
                <w:rFonts w:cs="Arial"/>
                <w:sz w:val="16"/>
                <w:szCs w:val="16"/>
                <w:lang w:val="es-ES_tradnl"/>
              </w:rPr>
            </w:pPr>
            <w:r w:rsidRPr="00332758">
              <w:rPr>
                <w:rFonts w:cs="Arial"/>
                <w:b/>
                <w:sz w:val="16"/>
                <w:szCs w:val="16"/>
                <w:lang w:val="es-ES_tradnl"/>
              </w:rPr>
              <w:t>Propósito(s)/Descripción</w:t>
            </w:r>
          </w:p>
        </w:tc>
      </w:tr>
      <w:tr w:rsidR="00A33040" w:rsidRPr="00A9508D" w:rsidTr="000F2E30">
        <w:tc>
          <w:tcPr>
            <w:tcW w:w="2132"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Estudios nacionales sobre la contribución económica de las industrias basadas en el derecho de autor.</w:t>
            </w:r>
          </w:p>
        </w:tc>
        <w:tc>
          <w:tcPr>
            <w:tcW w:w="1137" w:type="dxa"/>
          </w:tcPr>
          <w:p w:rsidR="00A33040" w:rsidRPr="00332758" w:rsidRDefault="00A33040" w:rsidP="00AA6702">
            <w:pPr>
              <w:autoSpaceDE w:val="0"/>
              <w:autoSpaceDN w:val="0"/>
              <w:adjustRightInd w:val="0"/>
              <w:spacing w:before="120" w:after="120"/>
              <w:rPr>
                <w:rFonts w:cs="Arial"/>
                <w:sz w:val="16"/>
                <w:szCs w:val="16"/>
                <w:lang w:val="es-ES_tradnl"/>
              </w:rPr>
            </w:pPr>
            <w:r w:rsidRPr="00332758">
              <w:rPr>
                <w:rFonts w:cs="Arial"/>
                <w:sz w:val="16"/>
                <w:szCs w:val="16"/>
                <w:lang w:val="es-ES_tradnl"/>
              </w:rPr>
              <w:t xml:space="preserve">Enero a diciembre </w:t>
            </w:r>
          </w:p>
          <w:p w:rsidR="00A33040" w:rsidRPr="00332758" w:rsidRDefault="00A33040" w:rsidP="00AA6702">
            <w:pPr>
              <w:autoSpaceDE w:val="0"/>
              <w:autoSpaceDN w:val="0"/>
              <w:adjustRightInd w:val="0"/>
              <w:spacing w:before="120" w:after="120"/>
              <w:rPr>
                <w:rFonts w:eastAsia="MS Mincho" w:cs="Arial"/>
                <w:sz w:val="16"/>
                <w:szCs w:val="16"/>
                <w:lang w:val="es-ES_tradnl" w:eastAsia="ja-JP" w:bidi="th-TH"/>
              </w:rPr>
            </w:pPr>
            <w:r w:rsidRPr="00332758">
              <w:rPr>
                <w:rFonts w:eastAsia="MS Mincho" w:cs="Arial"/>
                <w:sz w:val="16"/>
                <w:szCs w:val="16"/>
                <w:lang w:val="es-ES_tradnl" w:eastAsia="ja-JP" w:bidi="th-TH"/>
              </w:rPr>
              <w:t>(Proyecto en curso desde 2012_2013)</w:t>
            </w:r>
          </w:p>
        </w:tc>
        <w:tc>
          <w:tcPr>
            <w:tcW w:w="2836" w:type="dxa"/>
          </w:tcPr>
          <w:p w:rsidR="00A33040" w:rsidRPr="00A34388" w:rsidRDefault="00A33040" w:rsidP="000F2E30">
            <w:pPr>
              <w:autoSpaceDE w:val="0"/>
              <w:autoSpaceDN w:val="0"/>
              <w:adjustRightInd w:val="0"/>
              <w:spacing w:before="120" w:after="120"/>
              <w:rPr>
                <w:rFonts w:cs="Arial"/>
                <w:color w:val="000000"/>
                <w:sz w:val="16"/>
                <w:szCs w:val="16"/>
                <w:lang w:val="es-ES_tradnl"/>
              </w:rPr>
            </w:pPr>
            <w:r w:rsidRPr="00A34388">
              <w:rPr>
                <w:rFonts w:cs="Arial"/>
                <w:color w:val="000000"/>
                <w:sz w:val="16"/>
                <w:szCs w:val="16"/>
                <w:lang w:val="es-ES_tradnl"/>
              </w:rPr>
              <w:t>Albania, Argentina, Brasil, China, Indonesia, Jordania, Lituania, Malawi, Organización de los Estados del Caribe Oriental (OECO), República de Corea, República Unida de Tanzanía, Tailandia, Trinidad y Tabago, Sudáfrica</w:t>
            </w:r>
          </w:p>
        </w:tc>
        <w:tc>
          <w:tcPr>
            <w:tcW w:w="3263"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i) Cuantificar la contribución económica que las industrias basadas en el derecho de autor hacen a la economía;  y ii) ofrecer una base para la determinación de políticas a través del recurso a la información estadística.</w:t>
            </w:r>
            <w:r w:rsidRPr="00A34388">
              <w:rPr>
                <w:rFonts w:eastAsia="MS Mincho" w:cs="Arial"/>
                <w:color w:val="000000"/>
                <w:sz w:val="16"/>
                <w:szCs w:val="16"/>
                <w:lang w:val="es-ES_tradnl" w:eastAsia="ja-JP" w:bidi="th-TH"/>
              </w:rPr>
              <w:t xml:space="preserve"> </w:t>
            </w:r>
          </w:p>
        </w:tc>
      </w:tr>
      <w:tr w:rsidR="00A33040" w:rsidRPr="00A9508D" w:rsidTr="000F2E30">
        <w:tc>
          <w:tcPr>
            <w:tcW w:w="2132" w:type="dxa"/>
          </w:tcPr>
          <w:p w:rsidR="00A33040" w:rsidRPr="00A34388" w:rsidRDefault="00A33040" w:rsidP="00AA6702">
            <w:pPr>
              <w:autoSpaceDE w:val="0"/>
              <w:autoSpaceDN w:val="0"/>
              <w:adjustRightInd w:val="0"/>
              <w:spacing w:before="120" w:after="120"/>
              <w:rPr>
                <w:rFonts w:eastAsia="MS Mincho" w:cs="Arial"/>
                <w:color w:val="808080"/>
                <w:sz w:val="16"/>
                <w:szCs w:val="16"/>
                <w:lang w:val="es-ES_tradnl" w:eastAsia="ja-JP" w:bidi="th-TH"/>
              </w:rPr>
            </w:pPr>
            <w:r w:rsidRPr="00332758">
              <w:rPr>
                <w:rFonts w:eastAsia="MS Mincho" w:cs="Arial"/>
                <w:sz w:val="16"/>
                <w:szCs w:val="16"/>
                <w:lang w:val="es-ES_tradnl" w:eastAsia="ja-JP" w:bidi="th-TH"/>
              </w:rPr>
              <w:t>Estudios de impacto sobre determinadas industrias basadas en el derecho de autor.</w:t>
            </w:r>
          </w:p>
        </w:tc>
        <w:tc>
          <w:tcPr>
            <w:tcW w:w="1137"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De enero a diciembre de 2013</w:t>
            </w:r>
          </w:p>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(en curso desde 2012)</w:t>
            </w:r>
          </w:p>
        </w:tc>
        <w:tc>
          <w:tcPr>
            <w:tcW w:w="2836"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China, México, Líbano</w:t>
            </w:r>
          </w:p>
        </w:tc>
        <w:tc>
          <w:tcPr>
            <w:tcW w:w="3263"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i) Analizar las repercusiones del derecho de autor en distintos sectores de las industrias basadas en él;  y ii) velar por que se comprendan mejor las tendencias de las industrias creativas y los factores que influyen en su rendimiento.</w:t>
            </w:r>
          </w:p>
        </w:tc>
      </w:tr>
      <w:tr w:rsidR="00A33040" w:rsidRPr="00A9508D" w:rsidTr="000F2E30">
        <w:tc>
          <w:tcPr>
            <w:tcW w:w="9368" w:type="dxa"/>
            <w:gridSpan w:val="4"/>
            <w:tcBorders>
              <w:top w:val="single" w:sz="4" w:space="0" w:color="000000"/>
              <w:bottom w:val="single" w:sz="4" w:space="0" w:color="000000"/>
            </w:tcBorders>
            <w:shd w:val="clear" w:color="auto" w:fill="CCFFFF"/>
            <w:vAlign w:val="center"/>
          </w:tcPr>
          <w:p w:rsidR="00A33040" w:rsidRPr="00332758" w:rsidRDefault="00A33040" w:rsidP="00AA6702">
            <w:pPr>
              <w:keepNext/>
              <w:keepLines/>
              <w:tabs>
                <w:tab w:val="left" w:pos="1740"/>
              </w:tabs>
              <w:spacing w:before="120" w:after="120"/>
              <w:ind w:left="1740" w:hanging="1740"/>
              <w:rPr>
                <w:rFonts w:cs="Arial"/>
                <w:bCs/>
                <w:sz w:val="16"/>
                <w:szCs w:val="16"/>
                <w:lang w:val="es-ES_tradnl"/>
              </w:rPr>
            </w:pPr>
            <w:r w:rsidRPr="00332758">
              <w:rPr>
                <w:rFonts w:cs="Arial"/>
                <w:b/>
                <w:bCs/>
                <w:sz w:val="16"/>
                <w:szCs w:val="16"/>
                <w:lang w:val="es-ES_tradnl"/>
              </w:rPr>
              <w:t>RESULTADO</w:t>
            </w:r>
            <w:r w:rsidRPr="00332758">
              <w:rPr>
                <w:rFonts w:cs="Arial"/>
                <w:bCs/>
                <w:sz w:val="16"/>
                <w:szCs w:val="16"/>
                <w:lang w:val="es-ES_tradnl"/>
              </w:rPr>
              <w:t>:</w:t>
            </w:r>
            <w:r w:rsidRPr="00332758">
              <w:rPr>
                <w:rFonts w:cs="Arial"/>
                <w:bCs/>
                <w:sz w:val="16"/>
                <w:szCs w:val="16"/>
                <w:lang w:val="es-ES_tradnl"/>
              </w:rPr>
              <w:tab/>
              <w:t>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A33040" w:rsidRPr="00A9508D" w:rsidTr="000F2E30">
        <w:tc>
          <w:tcPr>
            <w:tcW w:w="2132"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A34388">
              <w:rPr>
                <w:rFonts w:eastAsia="MS Mincho" w:cs="Arial"/>
                <w:color w:val="000000"/>
                <w:sz w:val="16"/>
                <w:szCs w:val="16"/>
                <w:lang w:val="es-ES_tradnl" w:eastAsia="ja-JP" w:bidi="th-TH"/>
              </w:rPr>
              <w:t xml:space="preserve">Elaboración, traducción y publicación de estudios y herramientas de formación de la OMPI sobre la gestión de la P.I. para determinados sectores de las industrias basadas en el derecho de autor </w:t>
            </w:r>
          </w:p>
        </w:tc>
        <w:tc>
          <w:tcPr>
            <w:tcW w:w="1137"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De enero a diciembre de 2013</w:t>
            </w:r>
          </w:p>
        </w:tc>
        <w:tc>
          <w:tcPr>
            <w:tcW w:w="2836"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Todos los Estados miembros de la OMPI</w:t>
            </w:r>
            <w:r w:rsidRPr="00A34388">
              <w:rPr>
                <w:rFonts w:eastAsia="MS Mincho" w:cs="Arial"/>
                <w:color w:val="000000"/>
                <w:sz w:val="16"/>
                <w:szCs w:val="16"/>
                <w:lang w:val="es-ES_tradnl" w:eastAsia="ja-JP" w:bidi="th-TH"/>
              </w:rPr>
              <w:t xml:space="preserve"> </w:t>
            </w:r>
          </w:p>
        </w:tc>
        <w:tc>
          <w:tcPr>
            <w:tcW w:w="3263" w:type="dxa"/>
          </w:tcPr>
          <w:p w:rsidR="00A33040" w:rsidRPr="00A34388" w:rsidRDefault="00A33040" w:rsidP="00AA6702">
            <w:pPr>
              <w:autoSpaceDE w:val="0"/>
              <w:autoSpaceDN w:val="0"/>
              <w:adjustRightInd w:val="0"/>
              <w:spacing w:before="120" w:after="120"/>
              <w:rPr>
                <w:rFonts w:eastAsia="MS Mincho" w:cs="Arial"/>
                <w:color w:val="000000"/>
                <w:sz w:val="16"/>
                <w:szCs w:val="16"/>
                <w:lang w:val="es-ES_tradnl" w:eastAsia="ja-JP" w:bidi="th-TH"/>
              </w:rPr>
            </w:pPr>
            <w:r w:rsidRPr="00332758">
              <w:rPr>
                <w:rFonts w:eastAsia="MS Mincho" w:cs="Arial"/>
                <w:sz w:val="16"/>
                <w:szCs w:val="16"/>
                <w:lang w:val="es-ES_tradnl" w:eastAsia="ja-JP" w:bidi="th-TH"/>
              </w:rPr>
              <w:t>Afianzar el conocimiento de los colectivos interesados en las industrias creativas para que comprendan y gestionen la P.I. o el derecho de autor en determinados sectores de esas industrias.</w:t>
            </w:r>
            <w:r w:rsidRPr="00A34388">
              <w:rPr>
                <w:rFonts w:eastAsia="MS Mincho" w:cs="Arial"/>
                <w:color w:val="000000"/>
                <w:sz w:val="16"/>
                <w:szCs w:val="16"/>
                <w:lang w:val="es-ES_tradnl" w:eastAsia="ja-JP" w:bidi="th-TH"/>
              </w:rPr>
              <w:t xml:space="preserve"> </w:t>
            </w:r>
          </w:p>
        </w:tc>
      </w:tr>
    </w:tbl>
    <w:p w:rsidR="00A33040" w:rsidRPr="00A34388" w:rsidRDefault="00A33040" w:rsidP="00A33040">
      <w:pPr>
        <w:keepNext/>
        <w:keepLines/>
        <w:rPr>
          <w:rFonts w:cs="Arial"/>
          <w:b/>
          <w:szCs w:val="20"/>
          <w:lang w:val="es-ES_tradnl"/>
        </w:rPr>
      </w:pPr>
    </w:p>
    <w:p w:rsidR="00A33040" w:rsidRPr="00332758" w:rsidRDefault="00A33040" w:rsidP="00A33040">
      <w:pPr>
        <w:rPr>
          <w:rFonts w:cs="Arial"/>
          <w:b/>
          <w:szCs w:val="20"/>
          <w:lang w:val="es-ES_tradnl"/>
        </w:rPr>
      </w:pPr>
    </w:p>
    <w:p w:rsidR="00A33040" w:rsidRPr="00332758" w:rsidRDefault="00A33040" w:rsidP="00A33040">
      <w:pPr>
        <w:keepNext/>
        <w:keepLines/>
        <w:rPr>
          <w:rFonts w:cs="Arial"/>
          <w:b/>
          <w:szCs w:val="20"/>
          <w:lang w:val="es-ES_tradnl"/>
        </w:rPr>
      </w:pPr>
      <w:r w:rsidRPr="00332758">
        <w:rPr>
          <w:rFonts w:cs="Arial"/>
          <w:b/>
          <w:szCs w:val="20"/>
          <w:lang w:val="es-ES_tradnl"/>
        </w:rPr>
        <w:lastRenderedPageBreak/>
        <w:t>ESTADOS UNIDOS DE AMÉRICA – DERECHO DE AUTOR Contribuciones de donantes y gastos en 2013</w:t>
      </w:r>
      <w:r w:rsidRPr="00332758">
        <w:rPr>
          <w:rFonts w:cs="Arial"/>
          <w:b/>
          <w:szCs w:val="20"/>
          <w:vertAlign w:val="superscript"/>
          <w:lang w:val="es-ES_tradnl"/>
        </w:rPr>
        <w:t>1</w:t>
      </w:r>
    </w:p>
    <w:p w:rsidR="00A33040" w:rsidRPr="00332758" w:rsidRDefault="00A33040" w:rsidP="00A33040">
      <w:pPr>
        <w:rPr>
          <w:szCs w:val="20"/>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A33040" w:rsidRPr="00A34388" w:rsidTr="00AA6702">
        <w:trPr>
          <w:trHeight w:val="567"/>
        </w:trPr>
        <w:tc>
          <w:tcPr>
            <w:tcW w:w="184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Balance a 31 de diciembre de 2012</w:t>
            </w:r>
          </w:p>
        </w:tc>
        <w:tc>
          <w:tcPr>
            <w:tcW w:w="170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Ingresos en 2013</w:t>
            </w:r>
          </w:p>
        </w:tc>
        <w:tc>
          <w:tcPr>
            <w:tcW w:w="1843"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Gastos en 2013</w:t>
            </w:r>
          </w:p>
        </w:tc>
        <w:tc>
          <w:tcPr>
            <w:tcW w:w="1701" w:type="dxa"/>
            <w:shd w:val="clear" w:color="auto" w:fill="CCFFFF"/>
            <w:vAlign w:val="center"/>
          </w:tcPr>
          <w:p w:rsidR="00A33040" w:rsidRPr="00A34388" w:rsidRDefault="00A33040" w:rsidP="00AA6702">
            <w:pPr>
              <w:spacing w:before="120" w:after="120"/>
              <w:jc w:val="center"/>
              <w:rPr>
                <w:rFonts w:cs="Arial"/>
                <w:b/>
                <w:color w:val="808080"/>
                <w:sz w:val="16"/>
                <w:szCs w:val="16"/>
                <w:lang w:val="es-ES_tradnl"/>
              </w:rPr>
            </w:pPr>
            <w:r w:rsidRPr="00332758">
              <w:rPr>
                <w:rFonts w:cs="Arial"/>
                <w:b/>
                <w:sz w:val="16"/>
                <w:szCs w:val="16"/>
                <w:lang w:val="es-ES_tradnl"/>
              </w:rPr>
              <w:t>Reembolsos</w:t>
            </w:r>
          </w:p>
        </w:tc>
        <w:tc>
          <w:tcPr>
            <w:tcW w:w="1984" w:type="dxa"/>
            <w:shd w:val="clear" w:color="auto" w:fill="CCFFFF"/>
            <w:vAlign w:val="center"/>
          </w:tcPr>
          <w:p w:rsidR="00A33040" w:rsidRPr="00332758" w:rsidRDefault="00A33040" w:rsidP="00AA6702">
            <w:pPr>
              <w:spacing w:before="120" w:after="120"/>
              <w:jc w:val="center"/>
              <w:rPr>
                <w:rFonts w:cs="Arial"/>
                <w:b/>
                <w:sz w:val="16"/>
                <w:szCs w:val="16"/>
                <w:lang w:val="es-ES_tradnl"/>
              </w:rPr>
            </w:pPr>
            <w:r w:rsidRPr="00332758">
              <w:rPr>
                <w:rFonts w:cs="Arial"/>
                <w:b/>
                <w:sz w:val="16"/>
                <w:szCs w:val="16"/>
                <w:lang w:val="es-ES_tradnl"/>
              </w:rPr>
              <w:t>Balance a 31 de diciembre de 2013</w:t>
            </w:r>
          </w:p>
        </w:tc>
      </w:tr>
      <w:tr w:rsidR="00A33040" w:rsidRPr="00A34388" w:rsidTr="00AA6702">
        <w:trPr>
          <w:trHeight w:val="567"/>
        </w:trPr>
        <w:tc>
          <w:tcPr>
            <w:tcW w:w="184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112.008</w:t>
            </w:r>
          </w:p>
        </w:tc>
        <w:tc>
          <w:tcPr>
            <w:tcW w:w="170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1.449</w:t>
            </w:r>
          </w:p>
        </w:tc>
        <w:tc>
          <w:tcPr>
            <w:tcW w:w="1843"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110.747</w:t>
            </w:r>
          </w:p>
        </w:tc>
        <w:tc>
          <w:tcPr>
            <w:tcW w:w="1701" w:type="dxa"/>
            <w:shd w:val="clear" w:color="auto" w:fill="auto"/>
            <w:vAlign w:val="center"/>
          </w:tcPr>
          <w:p w:rsidR="00A33040" w:rsidRPr="00A34388" w:rsidRDefault="00A33040" w:rsidP="00AA6702">
            <w:pPr>
              <w:autoSpaceDE w:val="0"/>
              <w:autoSpaceDN w:val="0"/>
              <w:adjustRightInd w:val="0"/>
              <w:spacing w:before="120" w:after="120"/>
              <w:jc w:val="center"/>
              <w:rPr>
                <w:rFonts w:eastAsia="MS Mincho" w:cs="Arial"/>
                <w:color w:val="808080"/>
                <w:sz w:val="16"/>
                <w:szCs w:val="16"/>
                <w:lang w:val="es-ES_tradnl" w:eastAsia="ja-JP" w:bidi="th-TH"/>
              </w:rPr>
            </w:pPr>
            <w:r w:rsidRPr="00332758">
              <w:rPr>
                <w:rFonts w:cs="Arial"/>
                <w:sz w:val="16"/>
                <w:szCs w:val="16"/>
                <w:lang w:val="es-ES_tradnl"/>
              </w:rPr>
              <w:t xml:space="preserve"> </w:t>
            </w:r>
          </w:p>
        </w:tc>
        <w:tc>
          <w:tcPr>
            <w:tcW w:w="1984" w:type="dxa"/>
            <w:shd w:val="clear" w:color="auto" w:fill="auto"/>
            <w:vAlign w:val="center"/>
          </w:tcPr>
          <w:p w:rsidR="00A33040" w:rsidRPr="00332758" w:rsidRDefault="00A33040" w:rsidP="00AA6702">
            <w:pPr>
              <w:autoSpaceDE w:val="0"/>
              <w:autoSpaceDN w:val="0"/>
              <w:adjustRightInd w:val="0"/>
              <w:spacing w:before="120" w:after="120"/>
              <w:jc w:val="center"/>
              <w:rPr>
                <w:rFonts w:eastAsia="MS Mincho" w:cs="Arial"/>
                <w:sz w:val="16"/>
                <w:szCs w:val="16"/>
                <w:lang w:val="es-ES_tradnl" w:eastAsia="ja-JP" w:bidi="th-TH"/>
              </w:rPr>
            </w:pPr>
            <w:r w:rsidRPr="00332758">
              <w:rPr>
                <w:rFonts w:cs="Arial"/>
                <w:sz w:val="16"/>
                <w:szCs w:val="16"/>
                <w:lang w:val="es-ES_tradnl"/>
              </w:rPr>
              <w:t>2.709</w:t>
            </w:r>
          </w:p>
        </w:tc>
      </w:tr>
    </w:tbl>
    <w:p w:rsidR="00A33040" w:rsidRPr="000F2E30" w:rsidRDefault="00A33040" w:rsidP="00A33040">
      <w:pPr>
        <w:spacing w:before="120"/>
        <w:rPr>
          <w:rFonts w:cs="Arial"/>
          <w:b/>
          <w:sz w:val="16"/>
          <w:szCs w:val="16"/>
          <w:lang w:val="es-ES_tradnl"/>
        </w:rPr>
      </w:pPr>
      <w:r w:rsidRPr="00332758">
        <w:rPr>
          <w:rFonts w:cs="Arial"/>
          <w:i/>
          <w:sz w:val="16"/>
          <w:szCs w:val="16"/>
          <w:vertAlign w:val="superscript"/>
          <w:lang w:val="es-ES_tradnl"/>
        </w:rPr>
        <w:t xml:space="preserve">1 </w:t>
      </w:r>
      <w:r w:rsidRPr="000F2E30">
        <w:rPr>
          <w:rFonts w:cs="Arial"/>
          <w:i/>
          <w:sz w:val="18"/>
          <w:szCs w:val="18"/>
          <w:lang w:val="es-ES_tradnl"/>
        </w:rPr>
        <w:t>Estados financieros de la OMPI de 2013 (Anexo III)</w:t>
      </w:r>
    </w:p>
    <w:p w:rsidR="00A33040" w:rsidRPr="00A34388" w:rsidRDefault="00A33040" w:rsidP="00A33040">
      <w:pPr>
        <w:rPr>
          <w:rFonts w:cs="Arial"/>
          <w:szCs w:val="20"/>
          <w:lang w:val="es-ES_tradnl"/>
        </w:rPr>
      </w:pPr>
    </w:p>
    <w:p w:rsidR="00A33040" w:rsidRPr="00A34388" w:rsidRDefault="00A33040" w:rsidP="00A33040">
      <w:pPr>
        <w:rPr>
          <w:rFonts w:cs="Arial"/>
          <w:szCs w:val="20"/>
          <w:lang w:val="es-ES_tradnl"/>
        </w:rPr>
      </w:pPr>
    </w:p>
    <w:p w:rsidR="00A33040" w:rsidRPr="00A34388" w:rsidRDefault="00A33040" w:rsidP="00A33040">
      <w:pPr>
        <w:tabs>
          <w:tab w:val="left" w:pos="5387"/>
        </w:tabs>
        <w:autoSpaceDE w:val="0"/>
        <w:autoSpaceDN w:val="0"/>
        <w:adjustRightInd w:val="0"/>
        <w:jc w:val="center"/>
        <w:rPr>
          <w:lang w:val="es-ES_tradnl"/>
        </w:rPr>
      </w:pPr>
      <w:r w:rsidRPr="00A34388">
        <w:rPr>
          <w:lang w:val="es-ES_tradnl"/>
        </w:rPr>
        <w:tab/>
        <w:t>[Sigue el Apéndice III]</w:t>
      </w:r>
    </w:p>
    <w:p w:rsidR="00A33040" w:rsidRPr="00A34388" w:rsidRDefault="00A33040" w:rsidP="00A33040">
      <w:pPr>
        <w:rPr>
          <w:lang w:val="es-ES_tradnl"/>
        </w:rPr>
      </w:pPr>
    </w:p>
    <w:p w:rsidR="00A33040" w:rsidRPr="00A34388" w:rsidRDefault="00A33040" w:rsidP="00A33040">
      <w:pPr>
        <w:rPr>
          <w:lang w:val="es-ES_tradnl"/>
        </w:rPr>
      </w:pPr>
    </w:p>
    <w:p w:rsidR="00A33040" w:rsidRPr="00A34388" w:rsidRDefault="00A33040" w:rsidP="00A33040">
      <w:pPr>
        <w:rPr>
          <w:rFonts w:cs="Arial"/>
          <w:szCs w:val="20"/>
          <w:lang w:val="es-ES_tradnl"/>
        </w:rPr>
      </w:pPr>
    </w:p>
    <w:p w:rsidR="00A33040" w:rsidRPr="00A34388" w:rsidRDefault="00A33040" w:rsidP="00A33040">
      <w:pPr>
        <w:rPr>
          <w:rFonts w:cs="Arial"/>
          <w:szCs w:val="20"/>
          <w:lang w:val="es-ES_tradnl"/>
        </w:rPr>
      </w:pPr>
    </w:p>
    <w:p w:rsidR="00A33040" w:rsidRPr="00A34388" w:rsidRDefault="00A33040" w:rsidP="00A33040">
      <w:pPr>
        <w:rPr>
          <w:rFonts w:cs="Arial"/>
          <w:b/>
          <w:color w:val="000000"/>
          <w:szCs w:val="20"/>
          <w:lang w:val="es-ES_tradnl"/>
        </w:rPr>
        <w:sectPr w:rsidR="00A33040" w:rsidRPr="00A34388" w:rsidSect="00AA6702">
          <w:headerReference w:type="default" r:id="rId82"/>
          <w:pgSz w:w="11906" w:h="16838"/>
          <w:pgMar w:top="1417" w:right="1417" w:bottom="1417" w:left="1417" w:header="709" w:footer="709" w:gutter="0"/>
          <w:cols w:space="708"/>
          <w:docGrid w:linePitch="360"/>
        </w:sectPr>
      </w:pPr>
    </w:p>
    <w:p w:rsidR="001F2211" w:rsidRPr="00332758" w:rsidRDefault="001F2211" w:rsidP="001F2211">
      <w:pPr>
        <w:pStyle w:val="Heading4"/>
        <w:rPr>
          <w:lang w:val="es-ES_tradnl"/>
        </w:rPr>
      </w:pPr>
      <w:bookmarkStart w:id="116" w:name="_Toc395279694"/>
      <w:bookmarkStart w:id="117" w:name="_Toc293334854"/>
      <w:bookmarkStart w:id="118" w:name="_Toc298920436"/>
      <w:bookmarkStart w:id="119" w:name="_Toc310950817"/>
      <w:bookmarkStart w:id="120" w:name="_Toc356567803"/>
      <w:bookmarkStart w:id="121" w:name="_Toc367350629"/>
      <w:bookmarkStart w:id="122" w:name="_Toc392840335"/>
      <w:r w:rsidRPr="00332758">
        <w:rPr>
          <w:lang w:val="es-ES_tradnl"/>
        </w:rPr>
        <w:lastRenderedPageBreak/>
        <w:t>Apéndice III</w:t>
      </w:r>
      <w:r w:rsidRPr="00332758">
        <w:rPr>
          <w:lang w:val="es-ES_tradnl"/>
        </w:rPr>
        <w:br/>
      </w:r>
      <w:r w:rsidRPr="00332758">
        <w:rPr>
          <w:lang w:val="es-ES_tradnl"/>
        </w:rPr>
        <w:br/>
        <w:t>Siglas y abreviaturas empleadas en el presente documento</w:t>
      </w:r>
      <w:bookmarkEnd w:id="116"/>
      <w:r w:rsidRPr="00332758">
        <w:rPr>
          <w:lang w:val="es-ES_tradnl"/>
        </w:rPr>
        <w:t xml:space="preserve"> </w:t>
      </w:r>
      <w:bookmarkEnd w:id="117"/>
      <w:bookmarkEnd w:id="118"/>
      <w:bookmarkEnd w:id="119"/>
      <w:bookmarkEnd w:id="120"/>
      <w:bookmarkEnd w:id="121"/>
      <w:bookmarkEnd w:id="122"/>
    </w:p>
    <w:p w:rsidR="00A33040" w:rsidRPr="00332758" w:rsidRDefault="00A33040" w:rsidP="00A33040">
      <w:pPr>
        <w:tabs>
          <w:tab w:val="left" w:pos="1980"/>
          <w:tab w:val="left" w:pos="3261"/>
        </w:tabs>
        <w:spacing w:after="40"/>
        <w:ind w:left="2268" w:hanging="2268"/>
        <w:jc w:val="both"/>
        <w:rPr>
          <w:rFonts w:cs="Arial"/>
          <w:szCs w:val="20"/>
          <w:lang w:val="es-ES_tradnl"/>
        </w:rPr>
      </w:pPr>
    </w:p>
    <w:p w:rsidR="00A33040" w:rsidRPr="00332758" w:rsidRDefault="00A33040" w:rsidP="00A33040">
      <w:pPr>
        <w:tabs>
          <w:tab w:val="left" w:pos="1980"/>
          <w:tab w:val="left" w:pos="3261"/>
        </w:tabs>
        <w:spacing w:after="40"/>
        <w:ind w:left="2268" w:hanging="2268"/>
        <w:jc w:val="both"/>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A</w:t>
      </w:r>
      <w:r w:rsidRPr="00332758">
        <w:rPr>
          <w:rFonts w:cs="Arial"/>
          <w:szCs w:val="20"/>
          <w:lang w:val="es-ES_tradnl"/>
        </w:rPr>
        <w:t>.D.</w:t>
      </w:r>
      <w:r w:rsidRPr="00332758">
        <w:rPr>
          <w:rFonts w:cs="Arial"/>
          <w:szCs w:val="20"/>
          <w:lang w:val="es-ES_tradnl"/>
        </w:rPr>
        <w:tab/>
        <w:t>Agenda para el Desarrollo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ACE</w:t>
      </w:r>
      <w:r w:rsidRPr="00332758">
        <w:rPr>
          <w:rFonts w:cs="Arial"/>
          <w:szCs w:val="20"/>
          <w:lang w:val="es-ES_tradnl"/>
        </w:rPr>
        <w:tab/>
        <w:t>Comité Asesor sobre Observancia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AGICOA</w:t>
      </w:r>
      <w:r w:rsidRPr="00332758">
        <w:rPr>
          <w:rFonts w:cs="Arial"/>
          <w:szCs w:val="20"/>
          <w:lang w:val="es-ES_tradnl"/>
        </w:rPr>
        <w:tab/>
        <w:t>Asociación para la Gestión Internacional y Colectiva de Obras Audiovisuales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aRDi</w:t>
      </w:r>
      <w:r w:rsidRPr="00332758">
        <w:rPr>
          <w:rFonts w:cs="Arial"/>
          <w:szCs w:val="20"/>
          <w:lang w:val="es-ES_tradnl"/>
        </w:rPr>
        <w:tab/>
        <w:t>Acceso a la Investigación para el Desarrollo y la Innovación</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ARIPO</w:t>
      </w:r>
      <w:r w:rsidRPr="00332758">
        <w:rPr>
          <w:rFonts w:cs="Arial"/>
          <w:szCs w:val="20"/>
          <w:lang w:val="es-ES_tradnl"/>
        </w:rPr>
        <w:tab/>
        <w:t>Organización Regional Africana de la 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ASE</w:t>
      </w:r>
      <w:r w:rsidRPr="00332758">
        <w:rPr>
          <w:rFonts w:cs="Arial"/>
          <w:szCs w:val="20"/>
          <w:lang w:val="es-ES_tradnl"/>
        </w:rPr>
        <w:tab/>
        <w:t>Acuerdos de Servicios Especiales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ASEAN</w:t>
      </w:r>
      <w:r w:rsidRPr="00332758">
        <w:rPr>
          <w:rFonts w:cs="Arial"/>
          <w:szCs w:val="20"/>
          <w:lang w:val="es-ES_tradnl"/>
        </w:rPr>
        <w:tab/>
        <w:t>Asociación de Naciones del Asia Sudoriental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ASPI</w:t>
      </w:r>
      <w:r w:rsidRPr="00332758">
        <w:rPr>
          <w:rFonts w:cs="Arial"/>
          <w:szCs w:val="20"/>
          <w:lang w:val="es-ES_tradnl"/>
        </w:rPr>
        <w:tab/>
        <w:t>Acceso a la Información Especializada sobre Patentes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C</w:t>
      </w:r>
      <w:r w:rsidRPr="00332758">
        <w:rPr>
          <w:rFonts w:cs="Arial"/>
          <w:szCs w:val="20"/>
          <w:lang w:val="es-ES_tradnl"/>
        </w:rPr>
        <w:t>API</w:t>
      </w:r>
      <w:r w:rsidRPr="00332758">
        <w:rPr>
          <w:rFonts w:cs="Arial"/>
          <w:szCs w:val="20"/>
          <w:lang w:val="es-ES_tradnl"/>
        </w:rPr>
        <w:tab/>
        <w:t>Comisión de Administración Pública Internacional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CASE</w:t>
      </w:r>
      <w:r w:rsidRPr="00332758">
        <w:rPr>
          <w:rFonts w:cs="Arial"/>
          <w:szCs w:val="20"/>
          <w:lang w:val="es-ES_tradnl"/>
        </w:rPr>
        <w:tab/>
        <w:t>Acceso Centralizado a la Búsqueda y el Examen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CATI</w:t>
      </w:r>
      <w:r w:rsidRPr="00332758">
        <w:rPr>
          <w:rFonts w:cs="Arial"/>
          <w:szCs w:val="20"/>
          <w:lang w:val="es-ES_tradnl"/>
        </w:rPr>
        <w:tab/>
        <w:t>Centros de apoyo a la tecnología y la innovación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CC.TT.</w:t>
      </w:r>
      <w:r w:rsidRPr="00332758">
        <w:rPr>
          <w:rFonts w:cs="Arial"/>
          <w:szCs w:val="20"/>
          <w:lang w:val="es-ES_tradnl"/>
        </w:rPr>
        <w:tab/>
        <w:t>Conocimientos tradicionales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CCG</w:t>
      </w:r>
      <w:r w:rsidRPr="00332758">
        <w:rPr>
          <w:rFonts w:cs="Arial"/>
          <w:szCs w:val="20"/>
          <w:lang w:val="es-ES_tradnl"/>
        </w:rPr>
        <w:tab/>
        <w:t>Consejo de Cooperación de los Estados Árabes del Golfo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CCIS</w:t>
      </w:r>
      <w:r w:rsidRPr="00332758">
        <w:rPr>
          <w:rFonts w:cs="Arial"/>
          <w:szCs w:val="20"/>
          <w:lang w:val="es-ES_tradnl"/>
        </w:rPr>
        <w:tab/>
        <w:t>Comisión Consultiva Independiente de Supervisión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ccTLD</w:t>
      </w:r>
      <w:r w:rsidRPr="00332758">
        <w:rPr>
          <w:rFonts w:cs="Arial"/>
          <w:szCs w:val="20"/>
          <w:lang w:val="es-ES_tradnl"/>
        </w:rPr>
        <w:tab/>
        <w:t>Dominios de nivel superior correspondientes a códigos de países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CDIP</w:t>
      </w:r>
      <w:r w:rsidRPr="00332758">
        <w:rPr>
          <w:rFonts w:cs="Arial"/>
          <w:szCs w:val="20"/>
          <w:lang w:val="es-ES_tradnl"/>
        </w:rPr>
        <w:tab/>
        <w:t>Comité de Desarrollo y 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CERN</w:t>
      </w:r>
      <w:r w:rsidRPr="00332758">
        <w:rPr>
          <w:rFonts w:cs="Arial"/>
          <w:szCs w:val="20"/>
          <w:lang w:val="es-ES_tradnl"/>
        </w:rPr>
        <w:tab/>
        <w:t>Organización Europea de Investigaciones Nucleares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CICE</w:t>
      </w:r>
      <w:r w:rsidRPr="00332758">
        <w:rPr>
          <w:rFonts w:cs="Arial"/>
          <w:szCs w:val="20"/>
          <w:lang w:val="es-ES_tradnl"/>
        </w:rPr>
        <w:tab/>
        <w:t>Centro Internacional de Cálculo Electrónico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CIG</w:t>
      </w:r>
      <w:r w:rsidRPr="00332758">
        <w:rPr>
          <w:rFonts w:cs="Arial"/>
          <w:szCs w:val="20"/>
          <w:lang w:val="es-ES_tradnl"/>
        </w:rPr>
        <w:tab/>
        <w:t>Comité Intergubernamental sobre Propiedad Intelectual y Recursos Genéticos, Conocimientos Tradicionales y Folclore</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CIP</w:t>
      </w:r>
      <w:r w:rsidRPr="00332758">
        <w:rPr>
          <w:rFonts w:cs="Arial"/>
          <w:szCs w:val="20"/>
          <w:lang w:val="es-ES_tradnl"/>
        </w:rPr>
        <w:tab/>
        <w:t>Clasificación Internacional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CLIR</w:t>
      </w:r>
      <w:r w:rsidRPr="00332758">
        <w:rPr>
          <w:rFonts w:cs="Arial"/>
          <w:szCs w:val="20"/>
          <w:lang w:val="es-ES_tradnl"/>
        </w:rPr>
        <w:tab/>
      </w:r>
      <w:r w:rsidRPr="00332758">
        <w:rPr>
          <w:rFonts w:cs="Arial"/>
          <w:i/>
          <w:szCs w:val="20"/>
          <w:lang w:val="es-ES_tradnl"/>
        </w:rPr>
        <w:t>Cross Lingual Information Retrieval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CMNUCC</w:t>
      </w:r>
      <w:r w:rsidRPr="00332758">
        <w:rPr>
          <w:rFonts w:cs="Arial"/>
          <w:szCs w:val="20"/>
          <w:lang w:val="es-ES_tradnl"/>
        </w:rPr>
        <w:tab/>
        <w:t>Convención Marco de las Naciones Unidas sobre el Cambio Climático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CMSI</w:t>
      </w:r>
      <w:r w:rsidRPr="00332758">
        <w:rPr>
          <w:rFonts w:cs="Arial"/>
          <w:szCs w:val="20"/>
          <w:lang w:val="es-ES_tradnl"/>
        </w:rPr>
        <w:tab/>
        <w:t>Cumbre Mundial sobre la Sociedad de la Información</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CWS</w:t>
      </w:r>
      <w:r w:rsidRPr="00332758">
        <w:rPr>
          <w:rFonts w:cs="Arial"/>
          <w:szCs w:val="20"/>
          <w:lang w:val="es-ES_tradnl"/>
        </w:rPr>
        <w:tab/>
        <w:t>Comité de Normas Técnicas de la OMPI</w:t>
      </w:r>
    </w:p>
    <w:p w:rsidR="00A33040" w:rsidRPr="00332758" w:rsidRDefault="00A33040" w:rsidP="00A33040">
      <w:pPr>
        <w:tabs>
          <w:tab w:val="left" w:pos="1913"/>
        </w:tabs>
        <w:spacing w:after="40"/>
        <w:ind w:left="1890" w:hanging="1890"/>
        <w:rPr>
          <w:rFonts w:eastAsia="Calibri"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b/>
          <w:szCs w:val="20"/>
          <w:lang w:val="es-ES_tradnl"/>
        </w:rPr>
        <w:t>D</w:t>
      </w:r>
      <w:r w:rsidRPr="00332758">
        <w:rPr>
          <w:rFonts w:eastAsia="Calibri" w:cs="Arial"/>
          <w:szCs w:val="20"/>
          <w:lang w:val="es-ES_tradnl"/>
        </w:rPr>
        <w:t>AG</w:t>
      </w:r>
      <w:r w:rsidRPr="00332758">
        <w:rPr>
          <w:rFonts w:cs="Arial"/>
          <w:szCs w:val="20"/>
          <w:lang w:val="es-ES_tradnl"/>
        </w:rPr>
        <w:tab/>
        <w:t>Grupo de la Agenda para el Desarrollo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DAS</w:t>
      </w:r>
      <w:r w:rsidRPr="00332758">
        <w:rPr>
          <w:rFonts w:cs="Arial"/>
          <w:szCs w:val="20"/>
          <w:lang w:val="es-ES_tradnl"/>
        </w:rPr>
        <w:tab/>
        <w:t>Servicios de Acceso Digital a los Documentos de Prioridad</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DASI</w:t>
      </w:r>
      <w:r w:rsidRPr="00332758">
        <w:rPr>
          <w:rFonts w:cs="Arial"/>
          <w:szCs w:val="20"/>
          <w:lang w:val="es-ES_tradnl"/>
        </w:rPr>
        <w:tab/>
        <w:t>División de Auditoría y Supervisión Internas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DGRRHH</w:t>
      </w:r>
      <w:r w:rsidRPr="00332758">
        <w:rPr>
          <w:rFonts w:cs="Arial"/>
          <w:szCs w:val="20"/>
          <w:lang w:val="es-ES_tradnl"/>
        </w:rPr>
        <w:tab/>
        <w:t>Departamento de Gestión de los Recursos Humanos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DPI</w:t>
      </w:r>
      <w:r w:rsidRPr="00332758">
        <w:rPr>
          <w:rFonts w:cs="Arial"/>
          <w:szCs w:val="20"/>
          <w:lang w:val="es-ES_tradnl"/>
        </w:rPr>
        <w:tab/>
        <w:t>derechos de propiedad intelectual</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E</w:t>
      </w:r>
      <w:r w:rsidRPr="00332758">
        <w:rPr>
          <w:rFonts w:cs="Arial"/>
          <w:szCs w:val="20"/>
          <w:lang w:val="es-ES_tradnl"/>
        </w:rPr>
        <w:t>CLA</w:t>
      </w:r>
      <w:r w:rsidRPr="00332758">
        <w:rPr>
          <w:rFonts w:cs="Arial"/>
          <w:szCs w:val="20"/>
          <w:lang w:val="es-ES_tradnl"/>
        </w:rPr>
        <w:tab/>
        <w:t>Clasificación de la Oficina Europea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ECT</w:t>
      </w:r>
      <w:r w:rsidRPr="00332758">
        <w:rPr>
          <w:rFonts w:cs="Arial"/>
          <w:szCs w:val="20"/>
          <w:lang w:val="es-ES_tradnl"/>
        </w:rPr>
        <w:tab/>
        <w:t>Expresiones culturales tradicionales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EGEDA</w:t>
      </w:r>
      <w:r w:rsidRPr="00332758">
        <w:rPr>
          <w:rFonts w:cs="Arial"/>
          <w:szCs w:val="20"/>
          <w:lang w:val="es-ES_tradnl"/>
        </w:rPr>
        <w:tab/>
        <w:t>Entidad de Gestión de Derechos de los Productores Audiovisuales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F</w:t>
      </w:r>
      <w:r w:rsidRPr="00332758">
        <w:rPr>
          <w:rFonts w:cs="Arial"/>
          <w:szCs w:val="20"/>
          <w:lang w:val="es-ES_tradnl"/>
        </w:rPr>
        <w:t>AO</w:t>
      </w:r>
      <w:r w:rsidRPr="00332758">
        <w:rPr>
          <w:rFonts w:cs="Arial"/>
          <w:szCs w:val="20"/>
          <w:lang w:val="es-ES_tradnl"/>
        </w:rPr>
        <w:tab/>
        <w:t>Organización de las Naciones Unidas para la Alimentación y la Agricultura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FI</w:t>
      </w:r>
      <w:r w:rsidRPr="00332758">
        <w:rPr>
          <w:rFonts w:cs="Arial"/>
          <w:szCs w:val="20"/>
          <w:lang w:val="es-ES_tradnl"/>
        </w:rPr>
        <w:tab/>
        <w:t>Clasificación FI de la Oficina Japonesa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FIT</w:t>
      </w:r>
      <w:r w:rsidRPr="00332758">
        <w:rPr>
          <w:rFonts w:cs="Arial"/>
          <w:szCs w:val="20"/>
          <w:lang w:val="es-ES_tradnl"/>
        </w:rPr>
        <w:tab/>
        <w:t>fondos fiduciarios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G</w:t>
      </w:r>
      <w:r w:rsidRPr="00332758">
        <w:rPr>
          <w:rFonts w:cs="Arial"/>
          <w:szCs w:val="20"/>
          <w:lang w:val="es-ES_tradnl"/>
        </w:rPr>
        <w:t>GC</w:t>
      </w:r>
      <w:r w:rsidRPr="00332758">
        <w:rPr>
          <w:rFonts w:cs="Arial"/>
          <w:szCs w:val="20"/>
          <w:lang w:val="es-ES_tradnl"/>
        </w:rPr>
        <w:tab/>
        <w:t>Grupo de Gestión de Crisis</w:t>
      </w:r>
    </w:p>
    <w:p w:rsidR="00A33040" w:rsidRPr="00332758" w:rsidRDefault="00A33040" w:rsidP="00A33040">
      <w:pPr>
        <w:tabs>
          <w:tab w:val="left" w:pos="1913"/>
        </w:tabs>
        <w:spacing w:after="40"/>
        <w:ind w:left="1890" w:hanging="1890"/>
        <w:rPr>
          <w:rFonts w:cs="Arial"/>
          <w:i/>
          <w:iCs/>
          <w:szCs w:val="20"/>
        </w:rPr>
      </w:pPr>
      <w:r w:rsidRPr="00332758">
        <w:rPr>
          <w:rFonts w:cs="Arial"/>
          <w:szCs w:val="20"/>
        </w:rPr>
        <w:t>GNIPA</w:t>
      </w:r>
      <w:r w:rsidRPr="00332758">
        <w:rPr>
          <w:rFonts w:cs="Arial"/>
          <w:szCs w:val="20"/>
        </w:rPr>
        <w:tab/>
      </w:r>
      <w:r w:rsidRPr="00332758">
        <w:rPr>
          <w:rFonts w:cs="Arial"/>
          <w:i/>
          <w:iCs/>
          <w:szCs w:val="20"/>
        </w:rPr>
        <w:t>Global Network of IP Academies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gTLD</w:t>
      </w:r>
      <w:r w:rsidRPr="00332758">
        <w:rPr>
          <w:rFonts w:cs="Arial"/>
          <w:szCs w:val="20"/>
          <w:lang w:val="es-ES_tradnl"/>
        </w:rPr>
        <w:tab/>
        <w:t>Dominios genéricos de nivel superior</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I</w:t>
      </w:r>
      <w:r w:rsidRPr="00332758">
        <w:rPr>
          <w:rFonts w:cs="Arial"/>
          <w:szCs w:val="20"/>
          <w:lang w:val="es-ES_tradnl"/>
        </w:rPr>
        <w:t>+D</w:t>
      </w:r>
      <w:r w:rsidRPr="00332758">
        <w:rPr>
          <w:rFonts w:cs="Arial"/>
          <w:szCs w:val="20"/>
          <w:lang w:val="es-ES_tradnl"/>
        </w:rPr>
        <w:tab/>
        <w:t>Investigación y Desarrollo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lastRenderedPageBreak/>
        <w:t>ICANN</w:t>
      </w:r>
      <w:r w:rsidRPr="00332758">
        <w:rPr>
          <w:rFonts w:cs="Arial"/>
          <w:szCs w:val="20"/>
          <w:lang w:val="es-ES_tradnl"/>
        </w:rPr>
        <w:tab/>
        <w:t>Corporación para la Asignación de Nombres y Números en Internet</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ICSEI</w:t>
      </w:r>
      <w:r w:rsidRPr="00332758">
        <w:rPr>
          <w:rFonts w:cs="Arial"/>
          <w:szCs w:val="20"/>
          <w:lang w:val="es-ES_tradnl"/>
        </w:rPr>
        <w:tab/>
        <w:t>Cooperación Internacional para la Búsqueda y el Examen de Invenciones (programa)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IIA</w:t>
      </w:r>
      <w:r w:rsidRPr="00332758">
        <w:rPr>
          <w:rFonts w:cs="Arial"/>
          <w:szCs w:val="20"/>
          <w:lang w:val="es-ES_tradnl"/>
        </w:rPr>
        <w:tab/>
        <w:t>Instituto de Auditores Internos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IPAS</w:t>
      </w:r>
      <w:r w:rsidRPr="00332758">
        <w:rPr>
          <w:rFonts w:cs="Arial"/>
          <w:szCs w:val="20"/>
          <w:lang w:val="es-ES_tradnl"/>
        </w:rPr>
        <w:tab/>
        <w:t>Sistema de Automatización de la Propiedad Industrial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IPSAS</w:t>
      </w:r>
      <w:r w:rsidRPr="00332758">
        <w:rPr>
          <w:rFonts w:cs="Arial"/>
          <w:szCs w:val="20"/>
          <w:lang w:val="es-ES_tradnl"/>
        </w:rPr>
        <w:tab/>
        <w:t>Normas Internacionales de Contabilidad del Sector Público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IP-TAD</w:t>
      </w:r>
      <w:r w:rsidRPr="00332758">
        <w:rPr>
          <w:rFonts w:cs="Arial"/>
          <w:szCs w:val="20"/>
          <w:lang w:val="es-ES_tradnl"/>
        </w:rPr>
        <w:tab/>
        <w:t xml:space="preserve">base de datos de asistencia técnica en P.I. </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ITIL</w:t>
      </w:r>
      <w:r w:rsidRPr="00332758">
        <w:rPr>
          <w:rFonts w:cs="Arial"/>
          <w:szCs w:val="20"/>
          <w:lang w:val="es-ES_tradnl"/>
        </w:rPr>
        <w:tab/>
        <w:t>Biblioteca de Infraestructura de T.I.</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M</w:t>
      </w:r>
      <w:r w:rsidRPr="00332758">
        <w:rPr>
          <w:rFonts w:cs="Arial"/>
          <w:szCs w:val="20"/>
          <w:lang w:val="es-ES_tradnl"/>
        </w:rPr>
        <w:t>GS</w:t>
      </w:r>
      <w:r w:rsidRPr="00332758">
        <w:rPr>
          <w:rFonts w:cs="Arial"/>
          <w:szCs w:val="20"/>
          <w:lang w:val="es-ES_tradnl"/>
        </w:rPr>
        <w:tab/>
        <w:t>Gestor de Productos y Servicios del Sistema de Madrid</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MR</w:t>
      </w:r>
      <w:r w:rsidRPr="00332758">
        <w:rPr>
          <w:rFonts w:cs="Arial"/>
          <w:szCs w:val="20"/>
          <w:lang w:val="es-ES_tradnl"/>
        </w:rPr>
        <w:tab/>
        <w:t>Marco de resultados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N</w:t>
      </w:r>
      <w:r w:rsidRPr="00332758">
        <w:rPr>
          <w:rFonts w:cs="Arial"/>
          <w:szCs w:val="20"/>
          <w:lang w:val="es-ES_tradnl"/>
        </w:rPr>
        <w:t>N.UU.</w:t>
      </w:r>
      <w:r w:rsidRPr="00332758">
        <w:rPr>
          <w:rFonts w:cs="Arial"/>
          <w:szCs w:val="20"/>
          <w:lang w:val="es-ES_tradnl"/>
        </w:rPr>
        <w:tab/>
        <w:t>Naciones Unidas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O</w:t>
      </w:r>
      <w:r w:rsidRPr="00332758">
        <w:rPr>
          <w:rFonts w:cs="Arial"/>
          <w:szCs w:val="20"/>
          <w:lang w:val="es-ES_tradnl"/>
        </w:rPr>
        <w:t>AMI</w:t>
      </w:r>
      <w:r w:rsidRPr="00332758">
        <w:rPr>
          <w:rFonts w:cs="Arial"/>
          <w:szCs w:val="20"/>
          <w:lang w:val="es-ES_tradnl"/>
        </w:rPr>
        <w:tab/>
        <w:t>Oficina de Armonización del Mercado Interior</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OAPI</w:t>
      </w:r>
      <w:r w:rsidRPr="00332758">
        <w:rPr>
          <w:rFonts w:cs="Arial"/>
          <w:szCs w:val="20"/>
          <w:lang w:val="es-ES_tradnl"/>
        </w:rPr>
        <w:tab/>
        <w:t>Organización Africana de la 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ODM</w:t>
      </w:r>
      <w:r w:rsidRPr="00332758">
        <w:rPr>
          <w:rFonts w:cs="Arial"/>
          <w:szCs w:val="20"/>
          <w:lang w:val="es-ES_tradnl"/>
        </w:rPr>
        <w:tab/>
        <w:t>Objetivos de Desarrollo del Milenio</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OECD</w:t>
      </w:r>
      <w:r w:rsidRPr="00332758">
        <w:rPr>
          <w:rFonts w:cs="Arial"/>
          <w:szCs w:val="20"/>
          <w:lang w:val="es-ES_tradnl"/>
        </w:rPr>
        <w:tab/>
        <w:t>Organización de Cooperación y Desarrollo Económicos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OEP</w:t>
      </w:r>
      <w:r w:rsidRPr="00332758">
        <w:rPr>
          <w:rFonts w:cs="Arial"/>
          <w:szCs w:val="20"/>
          <w:lang w:val="es-ES_tradnl"/>
        </w:rPr>
        <w:tab/>
        <w:t>Oficina Europea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OGC</w:t>
      </w:r>
      <w:r w:rsidRPr="00332758">
        <w:rPr>
          <w:rFonts w:cs="Arial"/>
          <w:szCs w:val="20"/>
          <w:lang w:val="es-ES_tradnl"/>
        </w:rPr>
        <w:tab/>
        <w:t>organismos de gestión colectiva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OIG</w:t>
      </w:r>
      <w:r w:rsidRPr="00332758">
        <w:rPr>
          <w:rFonts w:cs="Arial"/>
          <w:szCs w:val="20"/>
          <w:lang w:val="es-ES_tradnl"/>
        </w:rPr>
        <w:tab/>
        <w:t>Organizaciones intergubernamentales</w:t>
      </w:r>
    </w:p>
    <w:p w:rsidR="00A33040" w:rsidRPr="00332758" w:rsidRDefault="00A33040" w:rsidP="00A33040">
      <w:pPr>
        <w:tabs>
          <w:tab w:val="left" w:pos="1913"/>
        </w:tabs>
        <w:spacing w:after="40"/>
        <w:ind w:left="1890" w:hanging="1890"/>
        <w:rPr>
          <w:rFonts w:cs="Arial"/>
          <w:szCs w:val="20"/>
          <w:lang w:val="es-ES_tradnl"/>
        </w:rPr>
      </w:pPr>
      <w:r w:rsidRPr="00332758">
        <w:rPr>
          <w:rFonts w:eastAsia="Calibri" w:cs="Arial"/>
          <w:szCs w:val="20"/>
          <w:lang w:val="es-ES_tradnl"/>
        </w:rPr>
        <w:t>OIT</w:t>
      </w:r>
      <w:r w:rsidRPr="00332758">
        <w:rPr>
          <w:rFonts w:cs="Arial"/>
          <w:szCs w:val="20"/>
          <w:lang w:val="es-ES_tradnl"/>
        </w:rPr>
        <w:tab/>
        <w:t>Organización Internacional del Trabajo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OMC</w:t>
      </w:r>
      <w:r w:rsidRPr="00332758">
        <w:rPr>
          <w:rFonts w:cs="Arial"/>
          <w:szCs w:val="20"/>
          <w:lang w:val="es-ES_tradnl"/>
        </w:rPr>
        <w:tab/>
        <w:t>Organización Mundial del Comercio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OMS</w:t>
      </w:r>
      <w:r w:rsidRPr="00332758">
        <w:rPr>
          <w:rFonts w:cs="Arial"/>
          <w:szCs w:val="20"/>
          <w:lang w:val="es-ES_tradnl"/>
        </w:rPr>
        <w:tab/>
        <w:t>Organización Mundial de la Salud</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ONG</w:t>
      </w:r>
      <w:r w:rsidRPr="00332758">
        <w:rPr>
          <w:rFonts w:cs="Arial"/>
          <w:szCs w:val="20"/>
          <w:lang w:val="es-ES_tradnl"/>
        </w:rPr>
        <w:tab/>
        <w:t>Organización no gubernamental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ONUDI</w:t>
      </w:r>
      <w:r w:rsidRPr="00332758">
        <w:rPr>
          <w:rFonts w:cs="Arial"/>
          <w:szCs w:val="20"/>
          <w:lang w:val="es-ES_tradnl"/>
        </w:rPr>
        <w:tab/>
        <w:t>Organización de las Naciones Unidas para el Desarrollo Industrial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OOB</w:t>
      </w:r>
      <w:r w:rsidRPr="00332758">
        <w:rPr>
          <w:rFonts w:cs="Arial"/>
          <w:szCs w:val="20"/>
          <w:lang w:val="es-ES_tradnl"/>
        </w:rPr>
        <w:tab/>
        <w:t>Oficina de la OMPI en el Brasil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OOJ</w:t>
      </w:r>
      <w:r w:rsidRPr="00332758">
        <w:rPr>
          <w:rFonts w:cs="Arial"/>
          <w:szCs w:val="20"/>
          <w:lang w:val="es-ES_tradnl"/>
        </w:rPr>
        <w:tab/>
        <w:t>Oficina de la OMPI en el Japón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OOS</w:t>
      </w:r>
      <w:r w:rsidRPr="00332758">
        <w:rPr>
          <w:rFonts w:cs="Arial"/>
          <w:szCs w:val="20"/>
          <w:lang w:val="es-ES_tradnl"/>
        </w:rPr>
        <w:tab/>
        <w:t>Oficina de la OMPI en Singapur</w:t>
      </w:r>
    </w:p>
    <w:p w:rsidR="00A33040" w:rsidRPr="00332758" w:rsidRDefault="00A33040" w:rsidP="00A33040">
      <w:pPr>
        <w:tabs>
          <w:tab w:val="left" w:pos="1913"/>
        </w:tabs>
        <w:spacing w:after="40"/>
        <w:ind w:left="1890" w:hanging="1890"/>
        <w:rPr>
          <w:rFonts w:cs="Arial"/>
          <w:szCs w:val="20"/>
          <w:lang w:val="es-ES_tradnl"/>
        </w:rPr>
      </w:pPr>
      <w:r w:rsidRPr="00332758">
        <w:rPr>
          <w:rFonts w:cs="Arial"/>
          <w:bCs/>
          <w:szCs w:val="20"/>
          <w:lang w:val="es-ES_tradnl"/>
        </w:rPr>
        <w:t>OPD</w:t>
      </w:r>
      <w:r w:rsidRPr="00332758">
        <w:rPr>
          <w:rFonts w:cs="Arial"/>
          <w:szCs w:val="20"/>
          <w:lang w:val="es-ES_tradnl"/>
        </w:rPr>
        <w:tab/>
      </w:r>
      <w:r w:rsidRPr="00332758">
        <w:rPr>
          <w:rFonts w:cs="Arial"/>
          <w:bCs/>
          <w:szCs w:val="20"/>
          <w:lang w:val="es-ES_tradnl"/>
        </w:rPr>
        <w:t>Sistema OPD (</w:t>
      </w:r>
      <w:r w:rsidRPr="00332758">
        <w:rPr>
          <w:rFonts w:cs="Arial"/>
          <w:i/>
          <w:iCs/>
          <w:szCs w:val="20"/>
          <w:lang w:val="es-ES_tradnl"/>
        </w:rPr>
        <w:t>One Portal Dossier</w:t>
      </w:r>
      <w:r w:rsidRPr="00332758">
        <w:rPr>
          <w:rFonts w:cs="Arial"/>
          <w:szCs w:val="20"/>
          <w:lang w:val="es-ES_tradnl"/>
        </w:rPr>
        <w:t>)</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OPI</w:t>
      </w:r>
      <w:r w:rsidRPr="00332758">
        <w:rPr>
          <w:rFonts w:cs="Arial"/>
          <w:szCs w:val="20"/>
          <w:lang w:val="es-ES_tradnl"/>
        </w:rPr>
        <w:tab/>
        <w:t>Oficina de 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OTT</w:t>
      </w:r>
      <w:r w:rsidRPr="00332758">
        <w:rPr>
          <w:rFonts w:cs="Arial"/>
          <w:szCs w:val="20"/>
          <w:lang w:val="es-ES_tradnl"/>
        </w:rPr>
        <w:tab/>
        <w:t>Oficina de Transferencia de Tecnología</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P</w:t>
      </w:r>
      <w:r w:rsidRPr="00332758">
        <w:rPr>
          <w:rFonts w:cs="Arial"/>
          <w:szCs w:val="20"/>
          <w:lang w:val="es-ES_tradnl"/>
        </w:rPr>
        <w:t>.I.</w:t>
      </w:r>
      <w:r w:rsidRPr="00332758">
        <w:rPr>
          <w:rFonts w:cs="Arial"/>
          <w:szCs w:val="20"/>
          <w:lang w:val="es-ES_tradnl"/>
        </w:rPr>
        <w:tab/>
        <w:t>Propiedad intelectual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PAE</w:t>
      </w:r>
      <w:r w:rsidRPr="00332758">
        <w:rPr>
          <w:rFonts w:cs="Arial"/>
          <w:szCs w:val="20"/>
          <w:lang w:val="es-ES_tradnl"/>
        </w:rPr>
        <w:tab/>
        <w:t>Programa de Alineación Estratégica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PCT</w:t>
      </w:r>
      <w:r w:rsidRPr="00332758">
        <w:rPr>
          <w:rFonts w:cs="Arial"/>
          <w:szCs w:val="20"/>
          <w:lang w:val="es-ES_tradnl"/>
        </w:rPr>
        <w:tab/>
        <w:t>Tratado de Cooperación en materia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PEMP</w:t>
      </w:r>
      <w:r w:rsidRPr="00332758">
        <w:rPr>
          <w:rFonts w:cs="Arial"/>
          <w:szCs w:val="20"/>
          <w:lang w:val="es-ES_tradnl"/>
        </w:rPr>
        <w:tab/>
        <w:t>Plan Estratégico a Mediano Plazo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PLT</w:t>
      </w:r>
      <w:r w:rsidRPr="00332758">
        <w:rPr>
          <w:rFonts w:cs="Arial"/>
          <w:szCs w:val="20"/>
          <w:lang w:val="es-ES_tradnl"/>
        </w:rPr>
        <w:tab/>
        <w:t>Tratado sobre el Derecho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PMA</w:t>
      </w:r>
      <w:r w:rsidRPr="00332758">
        <w:rPr>
          <w:rFonts w:cs="Arial"/>
          <w:szCs w:val="20"/>
          <w:lang w:val="es-ES_tradnl"/>
        </w:rPr>
        <w:tab/>
        <w:t>Países menos adelantados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PMSDS</w:t>
      </w:r>
      <w:r w:rsidRPr="00332758">
        <w:rPr>
          <w:rFonts w:cs="Arial"/>
          <w:szCs w:val="20"/>
          <w:lang w:val="es-ES_tradnl"/>
        </w:rPr>
        <w:tab/>
        <w:t>Sistema de Gestión del Desempeño y el Perfeccionamiento del Personal</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PNUMA</w:t>
      </w:r>
      <w:r w:rsidRPr="00332758">
        <w:rPr>
          <w:rFonts w:cs="Arial"/>
          <w:szCs w:val="20"/>
          <w:lang w:val="es-ES_tradnl"/>
        </w:rPr>
        <w:tab/>
        <w:t>Programa de las Naciones Unidas para el Medio Ambiente</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Política Uniforme</w:t>
      </w:r>
      <w:r w:rsidRPr="00332758">
        <w:rPr>
          <w:rFonts w:cs="Arial"/>
          <w:szCs w:val="20"/>
          <w:lang w:val="es-ES_tradnl"/>
        </w:rPr>
        <w:tab/>
        <w:t>Política Uniforme de Solución de Controversias en materia de Nombres de Dominio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PPR</w:t>
      </w:r>
      <w:r w:rsidRPr="00332758">
        <w:rPr>
          <w:rFonts w:cs="Arial"/>
          <w:szCs w:val="20"/>
          <w:lang w:val="es-ES_tradnl"/>
        </w:rPr>
        <w:tab/>
        <w:t>Informe sobre el rendimiento de los programas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PRI</w:t>
      </w:r>
      <w:r w:rsidRPr="00332758">
        <w:rPr>
          <w:rFonts w:cs="Arial"/>
          <w:szCs w:val="20"/>
          <w:lang w:val="es-ES_tradnl"/>
        </w:rPr>
        <w:tab/>
        <w:t>Planificación de los Recursos Institucionales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pymes</w:t>
      </w:r>
      <w:r w:rsidRPr="00332758">
        <w:rPr>
          <w:rFonts w:cs="Arial"/>
          <w:szCs w:val="20"/>
          <w:lang w:val="es-ES_tradnl"/>
        </w:rPr>
        <w:tab/>
        <w:t>pequeñas y medianas empresas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R</w:t>
      </w:r>
      <w:r w:rsidRPr="00332758">
        <w:rPr>
          <w:rFonts w:cs="Arial"/>
          <w:szCs w:val="20"/>
          <w:lang w:val="es-ES_tradnl"/>
        </w:rPr>
        <w:t>FP</w:t>
      </w:r>
      <w:r w:rsidRPr="00332758">
        <w:rPr>
          <w:rFonts w:cs="Arial"/>
          <w:szCs w:val="20"/>
          <w:lang w:val="es-ES_tradnl"/>
        </w:rPr>
        <w:tab/>
        <w:t>Solicitud de propuestas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RO</w:t>
      </w:r>
      <w:r w:rsidRPr="00332758">
        <w:rPr>
          <w:rFonts w:cs="Arial"/>
          <w:szCs w:val="20"/>
          <w:lang w:val="es-ES_tradnl"/>
        </w:rPr>
        <w:tab/>
        <w:t>Oficina receptora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RR.GG.</w:t>
      </w:r>
      <w:r w:rsidRPr="00332758">
        <w:rPr>
          <w:rFonts w:cs="Arial"/>
          <w:szCs w:val="20"/>
          <w:lang w:val="es-ES_tradnl"/>
        </w:rPr>
        <w:tab/>
        <w:t>Recursos genéticos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RR.HH.</w:t>
      </w:r>
      <w:r w:rsidRPr="00332758">
        <w:rPr>
          <w:rFonts w:cs="Arial"/>
          <w:szCs w:val="20"/>
          <w:lang w:val="es-ES_tradnl"/>
        </w:rPr>
        <w:tab/>
        <w:t>Recursos humanos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lastRenderedPageBreak/>
        <w:t>S</w:t>
      </w:r>
      <w:r w:rsidRPr="00332758">
        <w:rPr>
          <w:rFonts w:cs="Arial"/>
          <w:szCs w:val="20"/>
          <w:lang w:val="es-ES_tradnl"/>
        </w:rPr>
        <w:t>CCR</w:t>
      </w:r>
      <w:r w:rsidRPr="00332758">
        <w:rPr>
          <w:rFonts w:cs="Arial"/>
          <w:szCs w:val="20"/>
          <w:lang w:val="es-ES_tradnl"/>
        </w:rPr>
        <w:tab/>
        <w:t>Comité Permanente de Derecho de Autor y Derechos Conexos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SCP</w:t>
      </w:r>
      <w:r w:rsidRPr="00332758">
        <w:rPr>
          <w:rFonts w:cs="Arial"/>
          <w:szCs w:val="20"/>
          <w:lang w:val="es-ES_tradnl"/>
        </w:rPr>
        <w:tab/>
        <w:t>Comité Permanente sobre el Derecho de Patentes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SCT</w:t>
      </w:r>
      <w:r w:rsidRPr="00332758">
        <w:rPr>
          <w:rFonts w:cs="Arial"/>
          <w:szCs w:val="20"/>
          <w:lang w:val="es-ES_tradnl"/>
        </w:rPr>
        <w:tab/>
        <w:t>Comité Permanente sobre el Derecho de Marcas, Diseños Industriales e Indicaciones Geográficas</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T</w:t>
      </w:r>
      <w:r w:rsidRPr="00332758">
        <w:rPr>
          <w:rFonts w:cs="Arial"/>
          <w:szCs w:val="20"/>
          <w:lang w:val="es-ES_tradnl"/>
        </w:rPr>
        <w:t>.I.</w:t>
      </w:r>
      <w:r w:rsidRPr="00332758">
        <w:rPr>
          <w:rFonts w:cs="Arial"/>
          <w:szCs w:val="20"/>
          <w:lang w:val="es-ES_tradnl"/>
        </w:rPr>
        <w:tab/>
        <w:t>Tecnologías de la Información</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TA</w:t>
      </w:r>
      <w:r w:rsidRPr="00332758">
        <w:rPr>
          <w:rFonts w:cs="Arial"/>
          <w:szCs w:val="20"/>
          <w:lang w:val="es-ES_tradnl"/>
        </w:rPr>
        <w:tab/>
        <w:t>Autorización de viaje (formulario)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TIC</w:t>
      </w:r>
      <w:r w:rsidRPr="00332758">
        <w:rPr>
          <w:rFonts w:cs="Arial"/>
          <w:szCs w:val="20"/>
          <w:lang w:val="es-ES_tradnl"/>
        </w:rPr>
        <w:tab/>
        <w:t>Tecnologías de la Información y las Comunicaciones</w:t>
      </w:r>
    </w:p>
    <w:p w:rsidR="00A33040" w:rsidRPr="00332758" w:rsidRDefault="00A33040" w:rsidP="00A33040">
      <w:pPr>
        <w:tabs>
          <w:tab w:val="left" w:pos="1913"/>
        </w:tabs>
        <w:spacing w:after="40"/>
        <w:ind w:left="1890" w:hanging="1890"/>
        <w:rPr>
          <w:rFonts w:cs="Arial"/>
          <w:szCs w:val="20"/>
        </w:rPr>
      </w:pPr>
      <w:r w:rsidRPr="00332758">
        <w:rPr>
          <w:rFonts w:cs="Arial"/>
          <w:szCs w:val="20"/>
        </w:rPr>
        <w:t>TIGAR</w:t>
      </w:r>
      <w:r w:rsidRPr="00332758">
        <w:rPr>
          <w:rFonts w:cs="Arial"/>
          <w:szCs w:val="20"/>
        </w:rPr>
        <w:tab/>
      </w:r>
      <w:r w:rsidRPr="00332758">
        <w:rPr>
          <w:rFonts w:cs="Arial"/>
          <w:i/>
          <w:szCs w:val="20"/>
        </w:rPr>
        <w:t>Trusted Intermediary Global Accessible Resources</w:t>
      </w:r>
    </w:p>
    <w:p w:rsidR="00A33040" w:rsidRPr="00332758" w:rsidRDefault="00A33040" w:rsidP="00A33040">
      <w:pPr>
        <w:tabs>
          <w:tab w:val="left" w:pos="1913"/>
        </w:tabs>
        <w:spacing w:after="40"/>
        <w:ind w:left="1890" w:hanging="1890"/>
        <w:rPr>
          <w:rFonts w:cs="Arial"/>
          <w:szCs w:val="20"/>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U</w:t>
      </w:r>
      <w:r w:rsidRPr="00332758">
        <w:rPr>
          <w:rFonts w:cs="Arial"/>
          <w:szCs w:val="20"/>
          <w:lang w:val="es-ES_tradnl"/>
        </w:rPr>
        <w:t>E</w:t>
      </w:r>
      <w:r w:rsidRPr="00332758">
        <w:rPr>
          <w:rFonts w:cs="Arial"/>
          <w:szCs w:val="20"/>
          <w:lang w:val="es-ES_tradnl"/>
        </w:rPr>
        <w:tab/>
        <w:t>Unión Europea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UIT</w:t>
      </w:r>
      <w:r w:rsidRPr="00332758">
        <w:rPr>
          <w:rFonts w:cs="Arial"/>
          <w:szCs w:val="20"/>
          <w:lang w:val="es-ES_tradnl"/>
        </w:rPr>
        <w:tab/>
        <w:t>Unión Internacional de Telecomunicaciones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UNCTAD</w:t>
      </w:r>
      <w:r w:rsidRPr="00332758">
        <w:rPr>
          <w:rFonts w:cs="Arial"/>
          <w:szCs w:val="20"/>
          <w:lang w:val="es-ES_tradnl"/>
        </w:rPr>
        <w:tab/>
        <w:t>Conferencia de las Naciones Unidas sobre Comercio y Desarrollo</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UNESCO</w:t>
      </w:r>
      <w:r w:rsidRPr="00332758">
        <w:rPr>
          <w:rFonts w:cs="Arial"/>
          <w:szCs w:val="20"/>
          <w:lang w:val="es-ES_tradnl"/>
        </w:rPr>
        <w:tab/>
        <w:t>Organización de las Naciones Unidas para la Educación, la Ciencia y la Cultura</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USPTO</w:t>
      </w:r>
      <w:r w:rsidRPr="00332758">
        <w:rPr>
          <w:rFonts w:cs="Arial"/>
          <w:szCs w:val="20"/>
          <w:lang w:val="es-ES_tradnl"/>
        </w:rPr>
        <w:tab/>
        <w:t>Oficina de Patentes y Marcas de los Estados Unidos de América</w:t>
      </w:r>
    </w:p>
    <w:p w:rsidR="00A33040" w:rsidRPr="00332758" w:rsidRDefault="00A33040" w:rsidP="00A33040">
      <w:pPr>
        <w:tabs>
          <w:tab w:val="left" w:pos="1913"/>
        </w:tabs>
        <w:spacing w:after="40"/>
        <w:ind w:left="1890" w:hanging="1890"/>
        <w:rPr>
          <w:rFonts w:cs="Arial"/>
          <w:szCs w:val="20"/>
          <w:lang w:val="es-ES_tradnl"/>
        </w:rPr>
      </w:pPr>
    </w:p>
    <w:p w:rsidR="00A33040" w:rsidRPr="00332758" w:rsidRDefault="00A33040" w:rsidP="00A33040">
      <w:pPr>
        <w:tabs>
          <w:tab w:val="left" w:pos="1913"/>
        </w:tabs>
        <w:spacing w:after="40"/>
        <w:ind w:left="1890" w:hanging="1890"/>
        <w:rPr>
          <w:rFonts w:cs="Arial"/>
          <w:szCs w:val="20"/>
          <w:lang w:val="es-ES_tradnl"/>
        </w:rPr>
      </w:pPr>
      <w:r w:rsidRPr="00332758">
        <w:rPr>
          <w:rFonts w:cs="Arial"/>
          <w:b/>
          <w:szCs w:val="20"/>
          <w:lang w:val="es-ES_tradnl"/>
        </w:rPr>
        <w:t>W</w:t>
      </w:r>
      <w:r w:rsidRPr="00332758">
        <w:rPr>
          <w:rFonts w:cs="Arial"/>
          <w:szCs w:val="20"/>
          <w:lang w:val="es-ES_tradnl"/>
        </w:rPr>
        <w:t>CT</w:t>
      </w:r>
      <w:r w:rsidRPr="00332758">
        <w:rPr>
          <w:rFonts w:cs="Arial"/>
          <w:szCs w:val="20"/>
          <w:lang w:val="es-ES_tradnl"/>
        </w:rPr>
        <w:tab/>
        <w:t>Tratado de la OMPI sobre Derecho de Autor</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WIPOCOS</w:t>
      </w:r>
      <w:r w:rsidRPr="00332758">
        <w:rPr>
          <w:rFonts w:cs="Arial"/>
          <w:szCs w:val="20"/>
          <w:lang w:val="es-ES_tradnl"/>
        </w:rPr>
        <w:tab/>
        <w:t>Programa informático de la OMPI para la gestión colectiva del derecho de autor y los derechos conexos</w:t>
      </w:r>
    </w:p>
    <w:p w:rsidR="00A33040" w:rsidRPr="00332758" w:rsidRDefault="00A33040" w:rsidP="00A33040">
      <w:pPr>
        <w:tabs>
          <w:tab w:val="left" w:pos="1913"/>
        </w:tabs>
        <w:spacing w:after="40"/>
        <w:ind w:left="1890" w:hanging="1890"/>
        <w:rPr>
          <w:rFonts w:cs="Arial"/>
          <w:szCs w:val="20"/>
          <w:lang w:val="es-ES_tradnl"/>
        </w:rPr>
      </w:pPr>
      <w:r w:rsidRPr="00332758">
        <w:rPr>
          <w:rFonts w:cs="Arial"/>
          <w:szCs w:val="20"/>
          <w:lang w:val="es-ES_tradnl"/>
        </w:rPr>
        <w:t>WPPT</w:t>
      </w:r>
      <w:r w:rsidRPr="00332758">
        <w:rPr>
          <w:rFonts w:cs="Arial"/>
          <w:szCs w:val="20"/>
          <w:lang w:val="es-ES_tradnl"/>
        </w:rPr>
        <w:tab/>
        <w:t>Tratado de la OMPI sobre Interpretación o Ejecución y Fonogramas</w:t>
      </w:r>
    </w:p>
    <w:p w:rsidR="00A33040" w:rsidRPr="00A34388" w:rsidRDefault="00A33040" w:rsidP="00A33040">
      <w:pPr>
        <w:pStyle w:val="BodyText"/>
        <w:spacing w:after="40"/>
        <w:rPr>
          <w:rFonts w:cs="Arial"/>
          <w:lang w:val="es-ES_tradnl"/>
        </w:rPr>
      </w:pPr>
    </w:p>
    <w:p w:rsidR="00A33040" w:rsidRPr="00A34388" w:rsidRDefault="00A33040" w:rsidP="00A33040">
      <w:pPr>
        <w:pStyle w:val="BodyText"/>
        <w:spacing w:after="40"/>
        <w:rPr>
          <w:rFonts w:cs="Arial"/>
          <w:lang w:val="es-ES_tradnl"/>
        </w:rPr>
      </w:pPr>
    </w:p>
    <w:p w:rsidR="00A33040" w:rsidRPr="00332758" w:rsidRDefault="00A33040" w:rsidP="00A33040">
      <w:pPr>
        <w:ind w:left="4253"/>
        <w:jc w:val="center"/>
        <w:rPr>
          <w:lang w:val="es-ES_tradnl"/>
        </w:rPr>
      </w:pPr>
      <w:r w:rsidRPr="00332758">
        <w:rPr>
          <w:lang w:val="es-ES_tradnl"/>
        </w:rPr>
        <w:t>[Fin del Apéndice III y del documento]</w:t>
      </w:r>
    </w:p>
    <w:p w:rsidR="00A33040" w:rsidRPr="007761B5" w:rsidRDefault="00A33040" w:rsidP="00A33040">
      <w:pPr>
        <w:rPr>
          <w:lang w:val="es-ES_tradnl"/>
        </w:rPr>
      </w:pPr>
    </w:p>
    <w:p w:rsidR="00197073" w:rsidRPr="007761B5" w:rsidRDefault="00197073" w:rsidP="00A33040">
      <w:pPr>
        <w:rPr>
          <w:lang w:val="es-ES_tradnl"/>
        </w:rPr>
      </w:pPr>
    </w:p>
    <w:sectPr w:rsidR="00197073" w:rsidRPr="007761B5" w:rsidSect="00197073">
      <w:headerReference w:type="default" r:id="rId83"/>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233" w:rsidRDefault="00527233">
      <w:r>
        <w:separator/>
      </w:r>
    </w:p>
  </w:endnote>
  <w:endnote w:type="continuationSeparator" w:id="0">
    <w:p w:rsidR="00527233" w:rsidRDefault="00527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Default="00527233" w:rsidP="002E2C9D">
    <w:pPr>
      <w:pStyle w:val="Footer"/>
      <w:jc w:val="center"/>
    </w:pPr>
    <w:r w:rsidRPr="000B3053">
      <w:rPr>
        <w:szCs w:val="20"/>
      </w:rPr>
      <w:fldChar w:fldCharType="begin"/>
    </w:r>
    <w:r w:rsidRPr="000B3053">
      <w:rPr>
        <w:szCs w:val="20"/>
      </w:rPr>
      <w:instrText xml:space="preserve"> PAGE   \* MERGEFORMAT </w:instrText>
    </w:r>
    <w:r w:rsidRPr="000B3053">
      <w:rPr>
        <w:szCs w:val="20"/>
      </w:rPr>
      <w:fldChar w:fldCharType="separate"/>
    </w:r>
    <w:r w:rsidR="008B18BE">
      <w:rPr>
        <w:noProof/>
        <w:szCs w:val="20"/>
      </w:rPr>
      <w:t>ii</w:t>
    </w:r>
    <w:r w:rsidRPr="000B3053">
      <w:rPr>
        <w:noProof/>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552977" w:rsidRDefault="00527233" w:rsidP="002E2C9D">
    <w:pPr>
      <w:pStyle w:val="Footer"/>
      <w:jc w:val="center"/>
      <w:rPr>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552977" w:rsidRDefault="00527233" w:rsidP="002E2C9D">
    <w:pPr>
      <w:pStyle w:val="Footer"/>
      <w:jc w:val="center"/>
      <w:rPr>
        <w:szCs w:val="20"/>
      </w:rPr>
    </w:pPr>
    <w:r w:rsidRPr="00552977">
      <w:rPr>
        <w:szCs w:val="20"/>
      </w:rPr>
      <w:fldChar w:fldCharType="begin"/>
    </w:r>
    <w:r w:rsidRPr="00552977">
      <w:rPr>
        <w:szCs w:val="20"/>
      </w:rPr>
      <w:instrText xml:space="preserve"> PAGE   \* MERGEFORMAT </w:instrText>
    </w:r>
    <w:r w:rsidRPr="00552977">
      <w:rPr>
        <w:szCs w:val="20"/>
      </w:rPr>
      <w:fldChar w:fldCharType="separate"/>
    </w:r>
    <w:r w:rsidR="008B18BE">
      <w:rPr>
        <w:noProof/>
        <w:szCs w:val="20"/>
      </w:rPr>
      <w:t>282</w:t>
    </w:r>
    <w:r w:rsidRPr="00552977">
      <w:rPr>
        <w:noProof/>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552977" w:rsidRDefault="00527233" w:rsidP="00197073">
    <w:pPr>
      <w:pStyle w:val="Footer"/>
      <w:jc w:val="center"/>
      <w:rPr>
        <w:szCs w:val="20"/>
      </w:rPr>
    </w:pPr>
    <w:r w:rsidRPr="00552977">
      <w:rPr>
        <w:szCs w:val="20"/>
      </w:rPr>
      <w:fldChar w:fldCharType="begin"/>
    </w:r>
    <w:r w:rsidRPr="00552977">
      <w:rPr>
        <w:szCs w:val="20"/>
      </w:rPr>
      <w:instrText xml:space="preserve"> PAGE   \* MERGEFORMAT </w:instrText>
    </w:r>
    <w:r w:rsidRPr="00552977">
      <w:rPr>
        <w:szCs w:val="20"/>
      </w:rPr>
      <w:fldChar w:fldCharType="separate"/>
    </w:r>
    <w:r w:rsidR="008B18BE">
      <w:rPr>
        <w:noProof/>
        <w:szCs w:val="20"/>
      </w:rPr>
      <w:t>i</w:t>
    </w:r>
    <w:r w:rsidRPr="00552977">
      <w:rPr>
        <w:noProof/>
        <w:szCs w:val="20"/>
      </w:rPr>
      <w:fldChar w:fldCharType="end"/>
    </w:r>
  </w:p>
  <w:p w:rsidR="00527233" w:rsidRPr="00552977" w:rsidRDefault="00527233">
    <w:pPr>
      <w:pStyle w:val="Footer"/>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350CE9" w:rsidRDefault="00527233" w:rsidP="00197073">
    <w:pPr>
      <w:pStyle w:val="Footer"/>
      <w:jc w:val="center"/>
      <w:rPr>
        <w:szCs w:val="20"/>
      </w:rPr>
    </w:pPr>
    <w:r w:rsidRPr="000B3053">
      <w:rPr>
        <w:szCs w:val="20"/>
      </w:rPr>
      <w:fldChar w:fldCharType="begin"/>
    </w:r>
    <w:r w:rsidRPr="000B3053">
      <w:rPr>
        <w:szCs w:val="20"/>
      </w:rPr>
      <w:instrText xml:space="preserve"> PAGE   \* MERGEFORMAT </w:instrText>
    </w:r>
    <w:r w:rsidRPr="000B3053">
      <w:rPr>
        <w:szCs w:val="20"/>
      </w:rPr>
      <w:fldChar w:fldCharType="separate"/>
    </w:r>
    <w:r w:rsidR="008B18BE">
      <w:rPr>
        <w:noProof/>
        <w:szCs w:val="20"/>
      </w:rPr>
      <w:t>283</w:t>
    </w:r>
    <w:r w:rsidRPr="000B3053">
      <w:rPr>
        <w:noProo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233" w:rsidRDefault="00527233">
      <w:r>
        <w:separator/>
      </w:r>
    </w:p>
  </w:footnote>
  <w:footnote w:type="continuationSeparator" w:id="0">
    <w:p w:rsidR="00527233" w:rsidRDefault="00527233">
      <w:r>
        <w:continuationSeparator/>
      </w:r>
    </w:p>
  </w:footnote>
  <w:footnote w:id="1">
    <w:p w:rsidR="00527233" w:rsidRPr="0031679E" w:rsidRDefault="00527233"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31679E">
        <w:rPr>
          <w:sz w:val="18"/>
          <w:szCs w:val="18"/>
          <w:lang w:val="es-ES_tradnl"/>
        </w:rPr>
        <w:t xml:space="preserve"> </w:t>
      </w:r>
      <w:r w:rsidRPr="0031679E">
        <w:rPr>
          <w:sz w:val="18"/>
          <w:szCs w:val="18"/>
          <w:lang w:val="es-ES_tradnl"/>
        </w:rPr>
        <w:tab/>
        <w:t>Conforme a lo que se viene haciendo hasta la fecha, a los fines del presupuesto por programas se incluye a los países con economías en transición.</w:t>
      </w:r>
    </w:p>
  </w:footnote>
  <w:footnote w:id="2">
    <w:p w:rsidR="00527233" w:rsidRPr="001018EC" w:rsidRDefault="00527233"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t>Corrección</w:t>
      </w:r>
      <w:proofErr w:type="gramStart"/>
      <w:r w:rsidRPr="001018EC">
        <w:rPr>
          <w:sz w:val="18"/>
          <w:szCs w:val="18"/>
          <w:lang w:val="es-ES_tradnl"/>
        </w:rPr>
        <w:t>:  Debido</w:t>
      </w:r>
      <w:proofErr w:type="gramEnd"/>
      <w:r w:rsidRPr="001018EC">
        <w:rPr>
          <w:sz w:val="18"/>
          <w:szCs w:val="18"/>
          <w:lang w:val="es-ES_tradnl"/>
        </w:rPr>
        <w:t xml:space="preserve"> a un error de forma, el número total de Partes Contratantes a finales de 2011 señalado en el informe sobre el rendimiento de los programas en 2012 fue de 25, en lugar de 24, que es el número correcto.  La referencia actualizada ha sido modificada en consecuencia.</w:t>
      </w:r>
    </w:p>
  </w:footnote>
  <w:footnote w:id="3">
    <w:p w:rsidR="00527233" w:rsidRPr="009B1238" w:rsidRDefault="00527233" w:rsidP="00A04F47">
      <w:pPr>
        <w:pStyle w:val="FootnoteText"/>
        <w:tabs>
          <w:tab w:val="left" w:pos="567"/>
        </w:tabs>
        <w:ind w:left="567" w:hanging="567"/>
        <w:rPr>
          <w:sz w:val="18"/>
          <w:szCs w:val="18"/>
          <w:lang w:val="es-ES_tradnl" w:bidi="th-TH"/>
        </w:rPr>
      </w:pPr>
      <w:r w:rsidRPr="000557C0">
        <w:rPr>
          <w:rStyle w:val="FootnoteReference"/>
          <w:sz w:val="18"/>
          <w:szCs w:val="18"/>
        </w:rPr>
        <w:footnoteRef/>
      </w:r>
      <w:r w:rsidRPr="009B1238">
        <w:rPr>
          <w:sz w:val="18"/>
          <w:szCs w:val="18"/>
          <w:lang w:val="es-ES_tradnl"/>
        </w:rPr>
        <w:t xml:space="preserve"> </w:t>
      </w:r>
      <w:r w:rsidRPr="009B1238">
        <w:rPr>
          <w:sz w:val="18"/>
          <w:szCs w:val="18"/>
          <w:lang w:val="es-ES_tradnl"/>
        </w:rPr>
        <w:tab/>
        <w:t>SCCR 24:  http://www.wipo.int/meetings/es/details.jsp?meeting_id=25014;</w:t>
      </w:r>
    </w:p>
    <w:p w:rsidR="00527233" w:rsidRPr="001018EC" w:rsidRDefault="00527233" w:rsidP="00A04F47">
      <w:pPr>
        <w:pStyle w:val="FootnoteText"/>
        <w:tabs>
          <w:tab w:val="left" w:pos="567"/>
        </w:tabs>
        <w:ind w:left="567" w:hanging="567"/>
        <w:rPr>
          <w:sz w:val="18"/>
          <w:szCs w:val="18"/>
          <w:lang w:val="es-ES_tradnl" w:bidi="th-TH"/>
        </w:rPr>
      </w:pPr>
      <w:r w:rsidRPr="009B1238">
        <w:rPr>
          <w:sz w:val="18"/>
          <w:szCs w:val="18"/>
          <w:lang w:val="es-ES_tradnl"/>
        </w:rPr>
        <w:tab/>
      </w:r>
      <w:r w:rsidRPr="001018EC">
        <w:rPr>
          <w:sz w:val="18"/>
          <w:szCs w:val="18"/>
          <w:lang w:val="es-ES_tradnl"/>
        </w:rPr>
        <w:t>SCCR 25:  http://www.wipo.int/meetings/e</w:t>
      </w:r>
      <w:r>
        <w:rPr>
          <w:sz w:val="18"/>
          <w:szCs w:val="18"/>
          <w:lang w:val="es-ES_tradnl"/>
        </w:rPr>
        <w:t>s</w:t>
      </w:r>
      <w:r w:rsidRPr="001018EC">
        <w:rPr>
          <w:sz w:val="18"/>
          <w:szCs w:val="18"/>
          <w:lang w:val="es-ES_tradnl"/>
        </w:rPr>
        <w:t>/details.jsp?meeting_id=25024</w:t>
      </w:r>
      <w:r>
        <w:rPr>
          <w:sz w:val="18"/>
          <w:szCs w:val="18"/>
          <w:lang w:val="es-ES_tradnl"/>
        </w:rPr>
        <w:t>;  y</w:t>
      </w:r>
    </w:p>
    <w:p w:rsidR="00527233" w:rsidRPr="000557C0" w:rsidRDefault="00527233" w:rsidP="00A04F47">
      <w:pPr>
        <w:pStyle w:val="FootnoteText"/>
        <w:ind w:left="567" w:hanging="567"/>
        <w:rPr>
          <w:sz w:val="18"/>
          <w:szCs w:val="18"/>
          <w:lang w:val="fr-FR"/>
        </w:rPr>
      </w:pPr>
      <w:r w:rsidRPr="001018EC">
        <w:rPr>
          <w:sz w:val="18"/>
          <w:szCs w:val="18"/>
          <w:lang w:val="fr-FR"/>
        </w:rPr>
        <w:t>SCCR 26</w:t>
      </w:r>
      <w:proofErr w:type="gramStart"/>
      <w:r w:rsidRPr="001018EC">
        <w:rPr>
          <w:sz w:val="18"/>
          <w:szCs w:val="18"/>
          <w:lang w:val="fr-FR"/>
        </w:rPr>
        <w:t>:  http</w:t>
      </w:r>
      <w:proofErr w:type="gramEnd"/>
      <w:r w:rsidRPr="001018EC">
        <w:rPr>
          <w:sz w:val="18"/>
          <w:szCs w:val="18"/>
          <w:lang w:val="fr-FR"/>
        </w:rPr>
        <w:t>://www.wipo.int/meetings/e</w:t>
      </w:r>
      <w:r>
        <w:rPr>
          <w:sz w:val="18"/>
          <w:szCs w:val="18"/>
          <w:lang w:val="fr-FR"/>
        </w:rPr>
        <w:t>s</w:t>
      </w:r>
      <w:r w:rsidRPr="001018EC">
        <w:rPr>
          <w:sz w:val="18"/>
          <w:szCs w:val="18"/>
          <w:lang w:val="fr-FR"/>
        </w:rPr>
        <w:t>/details.jsp?meeting_id=29944.</w:t>
      </w:r>
    </w:p>
  </w:footnote>
  <w:footnote w:id="4">
    <w:p w:rsidR="00527233" w:rsidRPr="001018EC" w:rsidRDefault="00527233" w:rsidP="00A04F47">
      <w:pPr>
        <w:pStyle w:val="Footer"/>
        <w:tabs>
          <w:tab w:val="left" w:pos="567"/>
        </w:tabs>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t>Fuente: Base de Estadísticas de la OMPI, marzo de 2014</w:t>
      </w:r>
    </w:p>
  </w:footnote>
  <w:footnote w:id="5">
    <w:p w:rsidR="00527233" w:rsidRPr="0031679E" w:rsidRDefault="00527233" w:rsidP="00A04F47">
      <w:pPr>
        <w:pStyle w:val="Footer"/>
        <w:tabs>
          <w:tab w:val="left" w:pos="567"/>
        </w:tabs>
        <w:ind w:left="567" w:hanging="567"/>
        <w:rPr>
          <w:rFonts w:cs="Arial"/>
          <w:sz w:val="18"/>
          <w:szCs w:val="18"/>
          <w:lang w:val="es-ES_tradnl"/>
        </w:rPr>
      </w:pPr>
      <w:r w:rsidRPr="000557C0">
        <w:rPr>
          <w:rStyle w:val="FootnoteReference"/>
          <w:sz w:val="18"/>
          <w:szCs w:val="18"/>
        </w:rPr>
        <w:footnoteRef/>
      </w:r>
      <w:r w:rsidRPr="0031679E">
        <w:rPr>
          <w:sz w:val="18"/>
          <w:szCs w:val="18"/>
          <w:lang w:val="es-ES_tradnl"/>
        </w:rPr>
        <w:t xml:space="preserve"> </w:t>
      </w:r>
      <w:r w:rsidRPr="0031679E">
        <w:rPr>
          <w:sz w:val="18"/>
          <w:szCs w:val="18"/>
          <w:lang w:val="es-ES_tradnl"/>
        </w:rPr>
        <w:tab/>
      </w:r>
      <w:r w:rsidRPr="00332758">
        <w:rPr>
          <w:sz w:val="18"/>
          <w:szCs w:val="18"/>
          <w:lang w:val="es-ES_tradnl"/>
        </w:rPr>
        <w:t>Cabe mencionar que los datos relativos a las entradas en la fase nacional son suministrados a la OMPI por las oficinas de nacionales y regionales de patentes varios meses después del fin de año.</w:t>
      </w:r>
      <w:r w:rsidRPr="0031679E">
        <w:rPr>
          <w:sz w:val="18"/>
          <w:szCs w:val="18"/>
          <w:lang w:val="es-ES_tradnl"/>
        </w:rPr>
        <w:t xml:space="preserve">  </w:t>
      </w:r>
      <w:r w:rsidRPr="00332758">
        <w:rPr>
          <w:sz w:val="18"/>
          <w:szCs w:val="18"/>
          <w:lang w:val="es-ES_tradnl"/>
        </w:rPr>
        <w:t>Por consiguiente, a principios de 2012 los últimos datos disponibles relativos a las entradas en la fase nacional se referían a 2011.</w:t>
      </w:r>
    </w:p>
  </w:footnote>
  <w:footnote w:id="6">
    <w:p w:rsidR="00527233" w:rsidRPr="001018EC" w:rsidRDefault="00527233"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El costo unitario de 2012 y 2013 se calcula sobre la base de la metodología del costo unitario revisada.  </w:t>
      </w:r>
      <w:r w:rsidRPr="001018EC">
        <w:rPr>
          <w:sz w:val="18"/>
          <w:szCs w:val="18"/>
          <w:lang w:val="es-ES_tradnl"/>
        </w:rPr>
        <w:t>La metodología fue revisada en 2013 con el fin de garantizar su coherencia con la metodología aplicada para el cálculo de los costos por Unión.</w:t>
      </w:r>
    </w:p>
  </w:footnote>
  <w:footnote w:id="7">
    <w:p w:rsidR="00527233" w:rsidRPr="001018EC" w:rsidRDefault="00527233" w:rsidP="00A04F47">
      <w:pPr>
        <w:pStyle w:val="FootnoteText"/>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r>
      <w:r w:rsidRPr="0071153F">
        <w:rPr>
          <w:sz w:val="18"/>
          <w:szCs w:val="18"/>
          <w:lang w:val="es-ES_tradnl"/>
        </w:rPr>
        <w:t>Un ejemplar original es una solicitud PCT que una Oficina receptora envía a la Oficina Internacional una vez que ha sido presentada y tramitada en dicha Oficina receptora.  Como los ejemplares originales de solicitudes únicamente se reciben en la Oficina Internacional después de haber sido tramitados en las Oficinas receptoras, las cifras se ven en gran medida afectadas por los plazos de tramitación de tales Oficinas. Por ese motivo, aunque es un indicador válido del volumen de trabajo de la Oficina Internacional, la evolución en lo que respecta a la recepción de ejemplares originales no constituye siempre un indicador fiable de la demanda de servicios del PCT.</w:t>
      </w:r>
    </w:p>
  </w:footnote>
  <w:footnote w:id="8">
    <w:p w:rsidR="00527233" w:rsidRPr="001018EC" w:rsidRDefault="00527233" w:rsidP="00A04F47">
      <w:pPr>
        <w:pStyle w:val="FootnoteText"/>
        <w:ind w:left="567" w:hanging="567"/>
        <w:rPr>
          <w:sz w:val="16"/>
          <w:szCs w:val="16"/>
          <w:lang w:val="es-ES_tradnl"/>
        </w:rPr>
      </w:pPr>
      <w:r>
        <w:rPr>
          <w:rStyle w:val="FootnoteReference"/>
          <w:sz w:val="16"/>
        </w:rPr>
        <w:footnoteRef/>
      </w:r>
      <w:r w:rsidRPr="001018EC">
        <w:rPr>
          <w:sz w:val="16"/>
          <w:lang w:val="es-ES_tradnl"/>
        </w:rPr>
        <w:t xml:space="preserve"> Ídem.</w:t>
      </w:r>
    </w:p>
  </w:footnote>
  <w:footnote w:id="9">
    <w:p w:rsidR="00527233" w:rsidRPr="001018EC" w:rsidRDefault="00527233" w:rsidP="00A04F47">
      <w:pPr>
        <w:pStyle w:val="FootnoteText"/>
        <w:ind w:left="567" w:hanging="567"/>
        <w:rPr>
          <w:sz w:val="16"/>
          <w:szCs w:val="16"/>
          <w:lang w:val="es-ES_tradnl"/>
        </w:rPr>
      </w:pPr>
      <w:r>
        <w:rPr>
          <w:rStyle w:val="FootnoteReference"/>
          <w:sz w:val="16"/>
        </w:rPr>
        <w:footnoteRef/>
      </w:r>
      <w:r w:rsidRPr="001018EC">
        <w:rPr>
          <w:sz w:val="16"/>
          <w:lang w:val="es-ES_tradnl"/>
        </w:rPr>
        <w:t xml:space="preserve"> Porcentaje de irregularidades relacionadas con las clasificaciones</w:t>
      </w:r>
    </w:p>
  </w:footnote>
  <w:footnote w:id="10">
    <w:p w:rsidR="00527233" w:rsidRPr="0031679E" w:rsidRDefault="00527233"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31679E">
        <w:rPr>
          <w:sz w:val="18"/>
          <w:szCs w:val="18"/>
          <w:lang w:val="es-ES_tradnl"/>
        </w:rPr>
        <w:t xml:space="preserve"> </w:t>
      </w:r>
      <w:r w:rsidRPr="0031679E">
        <w:rPr>
          <w:sz w:val="18"/>
          <w:szCs w:val="18"/>
          <w:lang w:val="es-ES_tradnl"/>
        </w:rPr>
        <w:tab/>
        <w:t>Corrección</w:t>
      </w:r>
      <w:proofErr w:type="gramStart"/>
      <w:r w:rsidRPr="0031679E">
        <w:rPr>
          <w:sz w:val="18"/>
          <w:szCs w:val="18"/>
          <w:lang w:val="es-ES_tradnl"/>
        </w:rPr>
        <w:t>:  Debido</w:t>
      </w:r>
      <w:proofErr w:type="gramEnd"/>
      <w:r w:rsidRPr="0031679E">
        <w:rPr>
          <w:sz w:val="18"/>
          <w:szCs w:val="18"/>
          <w:lang w:val="es-ES_tradnl"/>
        </w:rPr>
        <w:t xml:space="preserve"> a una discrepancia en los criterios aplicados para calcular los datos sobre el rendimiento del Informe sobre el rendimiento de los programas en 2012, el porcentaje del 68% se reveló incorrecto. </w:t>
      </w:r>
    </w:p>
  </w:footnote>
  <w:footnote w:id="11">
    <w:p w:rsidR="00527233" w:rsidRPr="0031679E" w:rsidRDefault="00527233"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Corrección: El número de designaciones de países en desarrollo y PMA comunicado en el Informe sobre el rendimiento de los programas en 2012 (2.211) ha sido modificado para reflejar las cifras del Níger, que se omitieron en 2012 debido a un error de forma. </w:t>
      </w:r>
    </w:p>
  </w:footnote>
  <w:footnote w:id="12">
    <w:p w:rsidR="00527233" w:rsidRPr="001018EC" w:rsidRDefault="00527233"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http://www.wipo.int/export/sites/www/amc/en/docs/surveyresults.pdf</w:t>
      </w:r>
    </w:p>
  </w:footnote>
  <w:footnote w:id="13">
    <w:p w:rsidR="00527233" w:rsidRPr="001018EC" w:rsidRDefault="00527233" w:rsidP="00A04F47">
      <w:pPr>
        <w:pStyle w:val="FootnoteText"/>
        <w:tabs>
          <w:tab w:val="left" w:pos="567"/>
        </w:tabs>
        <w:ind w:left="567" w:hanging="567"/>
        <w:rPr>
          <w:sz w:val="18"/>
          <w:szCs w:val="18"/>
          <w:lang w:val="es-ES_tradnl"/>
        </w:rPr>
      </w:pPr>
      <w:r w:rsidRPr="000557C0">
        <w:rPr>
          <w:sz w:val="18"/>
          <w:szCs w:val="18"/>
          <w:vertAlign w:val="superscript"/>
        </w:rPr>
        <w:footnoteRef/>
      </w:r>
      <w:r w:rsidRPr="001018EC">
        <w:rPr>
          <w:sz w:val="18"/>
          <w:szCs w:val="18"/>
          <w:vertAlign w:val="superscript"/>
          <w:lang w:val="es-ES_tradnl"/>
        </w:rPr>
        <w:t xml:space="preserve"> </w:t>
      </w:r>
      <w:r w:rsidRPr="001018EC">
        <w:rPr>
          <w:sz w:val="18"/>
          <w:szCs w:val="18"/>
          <w:vertAlign w:val="superscript"/>
          <w:lang w:val="es-ES_tradnl"/>
        </w:rPr>
        <w:tab/>
      </w:r>
      <w:r w:rsidRPr="001018EC">
        <w:rPr>
          <w:sz w:val="18"/>
          <w:szCs w:val="18"/>
          <w:lang w:val="es-ES_tradnl"/>
        </w:rPr>
        <w:t>http://www.wipo.int/export/sites/www/amc/en/docs/lroreport.pdf</w:t>
      </w:r>
    </w:p>
  </w:footnote>
  <w:footnote w:id="14">
    <w:p w:rsidR="00527233" w:rsidRPr="001018EC" w:rsidRDefault="00527233" w:rsidP="00A04F47">
      <w:pPr>
        <w:pStyle w:val="FootnoteText"/>
        <w:tabs>
          <w:tab w:val="left" w:pos="567"/>
        </w:tabs>
        <w:ind w:left="567" w:hanging="567"/>
        <w:rPr>
          <w:sz w:val="18"/>
          <w:szCs w:val="18"/>
          <w:lang w:val="es-ES_tradnl"/>
        </w:rPr>
      </w:pPr>
      <w:r w:rsidRPr="000557C0">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http://www.wipo.int/export/sites/www/amc/en/docs/surveyresults.pdf</w:t>
      </w:r>
    </w:p>
  </w:footnote>
  <w:footnote w:id="15">
    <w:p w:rsidR="00527233" w:rsidRPr="001018EC"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1018EC">
        <w:rPr>
          <w:sz w:val="18"/>
          <w:szCs w:val="18"/>
          <w:lang w:val="es-ES_tradnl"/>
        </w:rPr>
        <w:t xml:space="preserve"> </w:t>
      </w:r>
      <w:r w:rsidRPr="001018EC">
        <w:rPr>
          <w:sz w:val="18"/>
          <w:szCs w:val="18"/>
          <w:lang w:val="es-ES_tradnl"/>
        </w:rPr>
        <w:tab/>
      </w:r>
      <w:hyperlink r:id="rId1" w:tooltip=" http://www.wipo.int/meetings/en/doc_details.jsp?doc_id=208882" w:history="1">
        <w:r>
          <w:rPr>
            <w:rStyle w:val="Hyperlink"/>
            <w:sz w:val="18"/>
            <w:szCs w:val="18"/>
            <w:lang w:val="es-ES_tradnl"/>
          </w:rPr>
          <w:t>http://www.wipo.int/meetings/es/doc_details.jsp?doc_id=208882</w:t>
        </w:r>
      </w:hyperlink>
      <w:r w:rsidRPr="001018EC">
        <w:rPr>
          <w:sz w:val="18"/>
          <w:szCs w:val="18"/>
          <w:lang w:val="es-ES_tradnl"/>
        </w:rPr>
        <w:t xml:space="preserve"> y </w:t>
      </w:r>
      <w:hyperlink r:id="rId2" w:history="1">
        <w:r>
          <w:rPr>
            <w:rStyle w:val="Hyperlink"/>
            <w:sz w:val="18"/>
            <w:szCs w:val="18"/>
            <w:lang w:val="es-ES_tradnl"/>
          </w:rPr>
          <w:t>http://www.wipo.int/meetings/es/doc_details.jsp?doc_id=239806</w:t>
        </w:r>
      </w:hyperlink>
    </w:p>
  </w:footnote>
  <w:footnote w:id="16">
    <w:p w:rsidR="00527233" w:rsidRPr="00107F6C" w:rsidRDefault="00527233">
      <w:pPr>
        <w:pStyle w:val="FootnoteText"/>
        <w:rPr>
          <w:lang w:val="es-ES_tradnl"/>
        </w:rPr>
      </w:pPr>
      <w:r>
        <w:rPr>
          <w:rStyle w:val="FootnoteReference"/>
        </w:rPr>
        <w:footnoteRef/>
      </w:r>
      <w:r w:rsidRPr="00107F6C">
        <w:rPr>
          <w:lang w:val="es-ES_tradnl"/>
        </w:rPr>
        <w:t xml:space="preserve"> </w:t>
      </w:r>
    </w:p>
  </w:footnote>
  <w:footnote w:id="17">
    <w:p w:rsidR="00527233" w:rsidRPr="001018EC"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1018EC">
        <w:rPr>
          <w:sz w:val="18"/>
          <w:szCs w:val="18"/>
          <w:lang w:val="es-ES_tradnl"/>
        </w:rPr>
        <w:t xml:space="preserve"> </w:t>
      </w:r>
      <w:r w:rsidRPr="001018EC">
        <w:rPr>
          <w:sz w:val="18"/>
          <w:szCs w:val="18"/>
          <w:lang w:val="es-ES_tradnl"/>
        </w:rPr>
        <w:tab/>
      </w:r>
      <w:hyperlink r:id="rId3" w:history="1">
        <w:r>
          <w:rPr>
            <w:rStyle w:val="Hyperlink"/>
            <w:sz w:val="18"/>
            <w:szCs w:val="18"/>
            <w:lang w:val="es-ES_tradnl"/>
          </w:rPr>
          <w:t>http://www.wipo.int/tad/es/</w:t>
        </w:r>
      </w:hyperlink>
    </w:p>
  </w:footnote>
  <w:footnote w:id="18">
    <w:p w:rsidR="00527233" w:rsidRPr="001018EC"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1018EC">
        <w:rPr>
          <w:sz w:val="18"/>
          <w:szCs w:val="18"/>
          <w:lang w:val="es-ES_tradnl"/>
        </w:rPr>
        <w:t xml:space="preserve"> </w:t>
      </w:r>
      <w:r w:rsidRPr="001018EC">
        <w:rPr>
          <w:sz w:val="18"/>
          <w:szCs w:val="18"/>
          <w:lang w:val="es-ES_tradnl"/>
        </w:rPr>
        <w:tab/>
      </w:r>
      <w:hyperlink r:id="rId4" w:history="1">
        <w:r w:rsidRPr="005540F6">
          <w:rPr>
            <w:rStyle w:val="Hyperlink"/>
            <w:sz w:val="18"/>
            <w:szCs w:val="18"/>
            <w:lang w:val="es-ES_tradnl"/>
          </w:rPr>
          <w:t>http://www.wipo.int/roc/es/</w:t>
        </w:r>
      </w:hyperlink>
    </w:p>
  </w:footnote>
  <w:footnote w:id="19">
    <w:p w:rsidR="00527233" w:rsidRPr="001018EC"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1018EC">
        <w:rPr>
          <w:sz w:val="18"/>
          <w:szCs w:val="18"/>
          <w:lang w:val="es-ES_tradnl"/>
        </w:rPr>
        <w:t xml:space="preserve"> </w:t>
      </w:r>
      <w:r w:rsidRPr="001018EC">
        <w:rPr>
          <w:sz w:val="18"/>
          <w:szCs w:val="18"/>
          <w:lang w:val="es-ES_tradnl"/>
        </w:rPr>
        <w:tab/>
      </w:r>
      <w:hyperlink r:id="rId5">
        <w:r w:rsidRPr="001018EC">
          <w:rPr>
            <w:rStyle w:val="Hyperlink"/>
            <w:sz w:val="18"/>
            <w:szCs w:val="18"/>
            <w:lang w:val="es-ES_tradnl"/>
          </w:rPr>
          <w:t>www.wipo.int/dmd</w:t>
        </w:r>
      </w:hyperlink>
    </w:p>
  </w:footnote>
  <w:footnote w:id="20">
    <w:p w:rsidR="00527233" w:rsidRPr="0031679E"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Corrección</w:t>
      </w:r>
      <w:proofErr w:type="gramStart"/>
      <w:r w:rsidRPr="0031679E">
        <w:rPr>
          <w:sz w:val="18"/>
          <w:szCs w:val="18"/>
          <w:lang w:val="es-ES_tradnl"/>
        </w:rPr>
        <w:t>:  Las</w:t>
      </w:r>
      <w:proofErr w:type="gramEnd"/>
      <w:r w:rsidRPr="0031679E">
        <w:rPr>
          <w:sz w:val="18"/>
          <w:szCs w:val="18"/>
          <w:lang w:val="es-ES_tradnl"/>
        </w:rPr>
        <w:t xml:space="preserve"> cifras de la referencia actualizada correspondientes a las regiones de África y los países árabes estaban intercambiadas en la publicación del informe sobre el rendimiento de los programas en 2012 (WO/PBC/2012).  Estas cifras han sido ahora corregidas. </w:t>
      </w:r>
    </w:p>
  </w:footnote>
  <w:footnote w:id="21">
    <w:p w:rsidR="00527233" w:rsidRPr="0031679E"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El objetivo de ocho OTT se refiere a todas las regiones.</w:t>
      </w:r>
    </w:p>
  </w:footnote>
  <w:footnote w:id="22">
    <w:p w:rsidR="00527233" w:rsidRPr="0031679E" w:rsidRDefault="00527233"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31679E">
        <w:rPr>
          <w:sz w:val="18"/>
          <w:szCs w:val="18"/>
          <w:lang w:val="es-ES_tradnl"/>
        </w:rPr>
        <w:t xml:space="preserve"> </w:t>
      </w:r>
      <w:r w:rsidRPr="0031679E">
        <w:rPr>
          <w:sz w:val="18"/>
          <w:szCs w:val="18"/>
          <w:lang w:val="es-ES_tradnl"/>
        </w:rPr>
        <w:tab/>
        <w:t>Corrección: Los cuatro países piloto son Colombia, la República Dominicana, el Perú y Túnez, y no el Ecuador tal como se había señalado en el Informe sobre el rendimiento de los programas en 2012.</w:t>
      </w:r>
    </w:p>
  </w:footnote>
  <w:footnote w:id="23">
    <w:p w:rsidR="00527233" w:rsidRPr="0031679E"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Se ha establecido un objetivo anual.</w:t>
      </w:r>
    </w:p>
  </w:footnote>
  <w:footnote w:id="24">
    <w:p w:rsidR="00527233" w:rsidRPr="0031679E" w:rsidRDefault="00527233" w:rsidP="00A04F47">
      <w:pPr>
        <w:pStyle w:val="FootnoteText"/>
        <w:ind w:left="567" w:hanging="567"/>
        <w:rPr>
          <w:lang w:val="es-ES_tradnl"/>
        </w:rPr>
      </w:pPr>
    </w:p>
  </w:footnote>
  <w:footnote w:id="25">
    <w:p w:rsidR="00527233" w:rsidRPr="00BF0114" w:rsidRDefault="00527233" w:rsidP="00A04F47">
      <w:pPr>
        <w:pStyle w:val="FootnoteText"/>
        <w:tabs>
          <w:tab w:val="left" w:pos="567"/>
        </w:tabs>
        <w:ind w:left="567" w:hanging="567"/>
        <w:rPr>
          <w:color w:val="1F497D" w:themeColor="text2"/>
          <w:sz w:val="18"/>
          <w:szCs w:val="18"/>
          <w:u w:val="single"/>
          <w:lang w:val="es-ES_tradnl"/>
        </w:rPr>
      </w:pPr>
      <w:r w:rsidRPr="004C0FD5">
        <w:rPr>
          <w:rStyle w:val="FootnoteReference"/>
          <w:sz w:val="18"/>
          <w:szCs w:val="18"/>
        </w:rPr>
        <w:footnoteRef/>
      </w:r>
      <w:r w:rsidRPr="006E72E8">
        <w:rPr>
          <w:sz w:val="18"/>
          <w:szCs w:val="18"/>
          <w:lang w:val="es-ES_tradnl"/>
        </w:rPr>
        <w:t xml:space="preserve"> </w:t>
      </w:r>
      <w:r w:rsidRPr="006E72E8">
        <w:rPr>
          <w:sz w:val="18"/>
          <w:szCs w:val="18"/>
          <w:lang w:val="es-ES_tradnl"/>
        </w:rPr>
        <w:tab/>
      </w:r>
      <w:r w:rsidRPr="00BF0114">
        <w:rPr>
          <w:color w:val="1F497D" w:themeColor="text2"/>
          <w:sz w:val="18"/>
          <w:szCs w:val="18"/>
          <w:u w:val="single"/>
          <w:lang w:val="es-ES_tradnl"/>
        </w:rPr>
        <w:t>http://etisc.wipo.org</w:t>
      </w:r>
    </w:p>
  </w:footnote>
  <w:footnote w:id="26">
    <w:p w:rsidR="00527233" w:rsidRPr="006E72E8"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6E72E8">
        <w:rPr>
          <w:sz w:val="18"/>
          <w:szCs w:val="18"/>
          <w:lang w:val="es-ES_tradnl"/>
        </w:rPr>
        <w:t xml:space="preserve"> </w:t>
      </w:r>
      <w:r w:rsidRPr="006E72E8">
        <w:rPr>
          <w:sz w:val="18"/>
          <w:szCs w:val="18"/>
          <w:lang w:val="es-ES_tradnl"/>
        </w:rPr>
        <w:tab/>
      </w:r>
      <w:hyperlink r:id="rId6">
        <w:r w:rsidRPr="006E72E8">
          <w:rPr>
            <w:rStyle w:val="Hyperlink"/>
            <w:sz w:val="18"/>
            <w:szCs w:val="18"/>
            <w:lang w:val="es-ES_tradnl"/>
          </w:rPr>
          <w:t>http://www.wipo.int/tisc/etutorial</w:t>
        </w:r>
      </w:hyperlink>
    </w:p>
  </w:footnote>
  <w:footnote w:id="27">
    <w:p w:rsidR="00527233" w:rsidRPr="006E72E8" w:rsidRDefault="00527233" w:rsidP="00A04F47">
      <w:pPr>
        <w:pStyle w:val="FootnoteText"/>
        <w:tabs>
          <w:tab w:val="left" w:pos="567"/>
        </w:tabs>
        <w:ind w:left="567" w:hanging="567"/>
        <w:rPr>
          <w:sz w:val="18"/>
          <w:szCs w:val="18"/>
          <w:lang w:val="es-ES_tradnl"/>
        </w:rPr>
      </w:pPr>
      <w:r w:rsidRPr="00BF0114">
        <w:rPr>
          <w:rStyle w:val="Hyperlink"/>
          <w:sz w:val="18"/>
          <w:szCs w:val="18"/>
          <w:u w:val="none"/>
          <w:vertAlign w:val="superscript"/>
        </w:rPr>
        <w:footnoteRef/>
      </w:r>
      <w:r w:rsidRPr="00BF0114">
        <w:rPr>
          <w:rStyle w:val="Hyperlink"/>
          <w:sz w:val="18"/>
          <w:szCs w:val="18"/>
          <w:u w:val="none"/>
          <w:vertAlign w:val="superscript"/>
          <w:lang w:val="es-ES_tradnl"/>
        </w:rPr>
        <w:t xml:space="preserve"> </w:t>
      </w:r>
      <w:r w:rsidRPr="00BF0114">
        <w:rPr>
          <w:rStyle w:val="Hyperlink"/>
          <w:sz w:val="18"/>
          <w:szCs w:val="18"/>
          <w:u w:val="none"/>
          <w:vertAlign w:val="superscript"/>
          <w:lang w:val="es-ES_tradnl"/>
        </w:rPr>
        <w:tab/>
      </w:r>
      <w:hyperlink r:id="rId7">
        <w:r w:rsidRPr="006E72E8">
          <w:rPr>
            <w:rStyle w:val="Hyperlink"/>
            <w:sz w:val="18"/>
            <w:szCs w:val="18"/>
            <w:lang w:val="es-ES_tradnl"/>
          </w:rPr>
          <w:t>http://www.wipo.int/tisc/fr/etutorial</w:t>
        </w:r>
      </w:hyperlink>
    </w:p>
  </w:footnote>
  <w:footnote w:id="28">
    <w:p w:rsidR="00527233" w:rsidRPr="006E72E8" w:rsidRDefault="00527233" w:rsidP="00A04F47">
      <w:pPr>
        <w:pStyle w:val="FootnoteText"/>
        <w:ind w:left="567" w:hanging="567"/>
        <w:rPr>
          <w:sz w:val="16"/>
          <w:szCs w:val="16"/>
          <w:lang w:val="es-ES_tradnl"/>
        </w:rPr>
      </w:pPr>
      <w:r w:rsidRPr="00332758">
        <w:rPr>
          <w:rStyle w:val="FootnoteReference"/>
          <w:sz w:val="16"/>
        </w:rPr>
        <w:footnoteRef/>
      </w:r>
      <w:r w:rsidRPr="00332758">
        <w:rPr>
          <w:sz w:val="16"/>
          <w:lang w:val="es-ES_tradnl"/>
        </w:rPr>
        <w:t xml:space="preserve"> </w:t>
      </w:r>
      <w:r w:rsidRPr="006E72E8">
        <w:rPr>
          <w:sz w:val="16"/>
          <w:lang w:val="es-ES_tradnl"/>
        </w:rPr>
        <w:t>http://www.wipo.int/export/sites/www/freepublications/en/patents/948/wipo_pub_948_4.pdf</w:t>
      </w:r>
    </w:p>
  </w:footnote>
  <w:footnote w:id="29">
    <w:p w:rsidR="00527233" w:rsidRPr="0031679E"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Corrección</w:t>
      </w:r>
      <w:proofErr w:type="gramStart"/>
      <w:r w:rsidRPr="0031679E">
        <w:rPr>
          <w:sz w:val="18"/>
          <w:szCs w:val="18"/>
          <w:lang w:val="es-ES_tradnl"/>
        </w:rPr>
        <w:t>:  Las</w:t>
      </w:r>
      <w:proofErr w:type="gramEnd"/>
      <w:r w:rsidRPr="0031679E">
        <w:rPr>
          <w:sz w:val="18"/>
          <w:szCs w:val="18"/>
          <w:lang w:val="es-ES_tradnl"/>
        </w:rPr>
        <w:t xml:space="preserve"> cifras de la referencia actualizada correspondientes a las regiones de África y los países árabes estaban intercambiadas en la publicación del informe sobre el rendimiento de los programas en 2012 (WO/PBC/2012).  Estas cifras han sido ahora corregidas. </w:t>
      </w:r>
    </w:p>
  </w:footnote>
  <w:footnote w:id="30">
    <w:p w:rsidR="00527233" w:rsidRPr="0031679E"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50 oficinas de un total de 80 estaban totalmente automatizadas. </w:t>
      </w:r>
    </w:p>
  </w:footnote>
  <w:footnote w:id="31">
    <w:p w:rsidR="00527233" w:rsidRPr="001018EC" w:rsidRDefault="00527233"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Las referencias de base y los objetivos de los indicadores de rendimiento no pudieron establecerse por la ausencia de una herramienta fiable de seguimiento estadístico en Internet.</w:t>
      </w:r>
    </w:p>
  </w:footnote>
  <w:footnote w:id="32">
    <w:p w:rsidR="00527233" w:rsidRPr="001018EC" w:rsidRDefault="00527233"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http://www.wipo.int/export/sites/www/freepublications/en/intproperty/941/wipo_pub_941_2013.pdf</w:t>
      </w:r>
    </w:p>
  </w:footnote>
  <w:footnote w:id="33">
    <w:p w:rsidR="00527233" w:rsidRPr="001018EC" w:rsidRDefault="00527233" w:rsidP="00A04F47">
      <w:pPr>
        <w:pStyle w:val="FootnoteText"/>
        <w:tabs>
          <w:tab w:val="left" w:pos="567"/>
        </w:tabs>
        <w:ind w:left="567" w:hanging="567"/>
        <w:rPr>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http://www.wipo.int/export/sites/www/freepublications/en/statistics/943/wipo_pub_943_2013.pdf</w:t>
      </w:r>
    </w:p>
  </w:footnote>
  <w:footnote w:id="34">
    <w:p w:rsidR="00527233" w:rsidRPr="001018EC" w:rsidRDefault="00527233" w:rsidP="00A04F47">
      <w:pPr>
        <w:pStyle w:val="FootnoteText"/>
        <w:tabs>
          <w:tab w:val="left" w:pos="567"/>
        </w:tabs>
        <w:ind w:left="567" w:hanging="567"/>
        <w:rPr>
          <w:rFonts w:cs="Arial"/>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http://www.wipo.int/export/sites/www/freepublications/en/global_challenges/944/wipo_pub_628.pdf</w:t>
      </w:r>
    </w:p>
  </w:footnote>
  <w:footnote w:id="35">
    <w:p w:rsidR="00527233" w:rsidRPr="001018EC" w:rsidRDefault="00527233" w:rsidP="00A04F47">
      <w:pPr>
        <w:pStyle w:val="FootnoteText"/>
        <w:tabs>
          <w:tab w:val="left" w:pos="567"/>
        </w:tabs>
        <w:ind w:left="567" w:hanging="567"/>
        <w:rPr>
          <w:rFonts w:cs="Arial"/>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http://www.wipo.int/policy/e</w:t>
      </w:r>
      <w:r>
        <w:rPr>
          <w:sz w:val="18"/>
          <w:szCs w:val="18"/>
          <w:lang w:val="es-ES_tradnl"/>
        </w:rPr>
        <w:t>s</w:t>
      </w:r>
      <w:r w:rsidRPr="001018EC">
        <w:rPr>
          <w:sz w:val="18"/>
          <w:szCs w:val="18"/>
          <w:lang w:val="es-ES_tradnl"/>
        </w:rPr>
        <w:t>/global_health/trilateral_cooperation.html</w:t>
      </w:r>
    </w:p>
  </w:footnote>
  <w:footnote w:id="36">
    <w:p w:rsidR="00527233" w:rsidRPr="001018EC" w:rsidRDefault="00527233" w:rsidP="00A04F47">
      <w:pPr>
        <w:pStyle w:val="FootnoteText"/>
        <w:tabs>
          <w:tab w:val="left" w:pos="567"/>
        </w:tabs>
        <w:ind w:left="567" w:hanging="567"/>
        <w:rPr>
          <w:rFonts w:cs="Arial"/>
          <w:sz w:val="18"/>
          <w:szCs w:val="18"/>
          <w:lang w:val="es-ES_tradnl"/>
        </w:rPr>
      </w:pPr>
      <w:r w:rsidRPr="008372FC">
        <w:rPr>
          <w:rStyle w:val="FootnoteReference"/>
          <w:sz w:val="18"/>
          <w:szCs w:val="18"/>
        </w:rPr>
        <w:footnoteRef/>
      </w:r>
      <w:r w:rsidRPr="001018EC">
        <w:rPr>
          <w:sz w:val="18"/>
          <w:szCs w:val="18"/>
          <w:lang w:val="es-ES_tradnl"/>
        </w:rPr>
        <w:t xml:space="preserve"> </w:t>
      </w:r>
      <w:r w:rsidRPr="001018EC">
        <w:rPr>
          <w:sz w:val="18"/>
          <w:szCs w:val="18"/>
          <w:lang w:val="es-ES_tradnl"/>
        </w:rPr>
        <w:tab/>
        <w:t>http://www.wipo.int/policy/en/global_health/trilateral_cooperation.html</w:t>
      </w:r>
    </w:p>
  </w:footnote>
  <w:footnote w:id="37">
    <w:p w:rsidR="00527233" w:rsidRPr="0031679E" w:rsidRDefault="00527233" w:rsidP="00A04F47">
      <w:pPr>
        <w:pStyle w:val="FootnoteText"/>
        <w:tabs>
          <w:tab w:val="left" w:pos="567"/>
        </w:tabs>
        <w:ind w:left="567" w:hanging="567"/>
        <w:rPr>
          <w:sz w:val="18"/>
          <w:szCs w:val="18"/>
          <w:lang w:val="es-ES_tradnl"/>
        </w:rPr>
      </w:pPr>
      <w:r w:rsidRPr="004C0FD5">
        <w:rPr>
          <w:rStyle w:val="FootnoteReference"/>
          <w:sz w:val="18"/>
          <w:szCs w:val="18"/>
        </w:rPr>
        <w:footnoteRef/>
      </w:r>
      <w:r w:rsidRPr="0031679E">
        <w:rPr>
          <w:sz w:val="18"/>
          <w:szCs w:val="18"/>
          <w:lang w:val="es-ES_tradnl"/>
        </w:rPr>
        <w:t xml:space="preserve"> </w:t>
      </w:r>
      <w:r w:rsidRPr="0031679E">
        <w:rPr>
          <w:sz w:val="18"/>
          <w:szCs w:val="18"/>
          <w:lang w:val="es-ES_tradnl"/>
        </w:rPr>
        <w:tab/>
        <w:t xml:space="preserve">Corrección: Aunque a finales de 2012 había 13 colaboraciones en marcha (tal como se señala en el Informe sobre el rendimiento de los programas en 2012), dos colaboraciones se encontraban todavía en la fase de la firma del acuerdo de no divulgación.  El acuerdo de colaboración no se firmó hasta 2013.  Por tanto, las fechas se han corregido para reflejar esta realidad. </w:t>
      </w:r>
    </w:p>
  </w:footnote>
  <w:footnote w:id="38">
    <w:p w:rsidR="00527233" w:rsidRPr="00FE2E71" w:rsidRDefault="00527233" w:rsidP="00A04F47">
      <w:pPr>
        <w:pStyle w:val="FootnoteText"/>
        <w:ind w:left="567" w:hanging="567"/>
        <w:rPr>
          <w:sz w:val="16"/>
          <w:szCs w:val="16"/>
        </w:rPr>
      </w:pPr>
      <w:r>
        <w:rPr>
          <w:rStyle w:val="FootnoteReference"/>
          <w:color w:val="FFFFFF" w:themeColor="background1"/>
        </w:rPr>
        <w:footnoteRef/>
      </w:r>
    </w:p>
  </w:footnote>
  <w:footnote w:id="39">
    <w:p w:rsidR="00527233" w:rsidRPr="001018EC" w:rsidRDefault="00527233" w:rsidP="00A04F47">
      <w:pPr>
        <w:pStyle w:val="FootnoteText"/>
        <w:tabs>
          <w:tab w:val="left" w:pos="567"/>
        </w:tabs>
        <w:ind w:left="567" w:hanging="567"/>
        <w:rPr>
          <w:sz w:val="18"/>
          <w:szCs w:val="18"/>
          <w:lang w:val="es-ES_tradnl"/>
        </w:rPr>
      </w:pPr>
      <w:r w:rsidRPr="001018EC">
        <w:rPr>
          <w:rStyle w:val="FootnoteReference"/>
          <w:sz w:val="18"/>
          <w:szCs w:val="18"/>
          <w:lang w:val="es-ES_tradnl"/>
        </w:rPr>
        <w:t>[1]</w:t>
      </w:r>
      <w:r w:rsidRPr="001018EC">
        <w:rPr>
          <w:sz w:val="18"/>
          <w:szCs w:val="18"/>
          <w:lang w:val="es-ES_tradnl"/>
        </w:rPr>
        <w:t xml:space="preserve"> </w:t>
      </w:r>
      <w:r w:rsidRPr="001018EC">
        <w:rPr>
          <w:sz w:val="18"/>
          <w:szCs w:val="18"/>
          <w:lang w:val="es-ES_tradnl"/>
        </w:rPr>
        <w:tab/>
        <w:t xml:space="preserve">En promedio, en las respuestas a la encuesta sobre las prioridades centrales se constata que el personal de la OMPI tiene una opinión excelente o buena de la prestación óptima de servicios interna (51,4%) y externa (61,5%) con arreglo al marco de resultados del </w:t>
      </w:r>
      <w:r>
        <w:rPr>
          <w:sz w:val="18"/>
          <w:szCs w:val="18"/>
          <w:lang w:val="es-ES_tradnl"/>
        </w:rPr>
        <w:t>Programa de Alineación Estratégica</w:t>
      </w:r>
      <w:r w:rsidRPr="001018EC">
        <w:rPr>
          <w:sz w:val="18"/>
          <w:szCs w:val="18"/>
          <w:lang w:val="es-ES_tradnl"/>
        </w:rPr>
        <w:t xml:space="preserve"> de 2012 (</w:t>
      </w:r>
      <w:hyperlink r:id="rId8" w:tooltip="http://www.wipo.int/about-wipo/en/strategic_realignment/results_framework.html">
        <w:r w:rsidRPr="001018EC">
          <w:rPr>
            <w:rStyle w:val="Hyperlink"/>
            <w:sz w:val="18"/>
            <w:szCs w:val="18"/>
            <w:lang w:val="es-ES_tradnl"/>
          </w:rPr>
          <w:t>http://www.wipo.int/about-wipo/en/strategic_realignment/results_framework.html</w:t>
        </w:r>
      </w:hyperlink>
      <w:r w:rsidRPr="001018EC">
        <w:rPr>
          <w:sz w:val="18"/>
          <w:szCs w:val="18"/>
          <w:lang w:val="es-ES_tradnl"/>
        </w:rPr>
        <w:t>)</w:t>
      </w:r>
    </w:p>
  </w:footnote>
  <w:footnote w:id="40">
    <w:p w:rsidR="00527233" w:rsidRPr="004C0FD5" w:rsidRDefault="00527233" w:rsidP="00A04F47">
      <w:pPr>
        <w:pStyle w:val="FootnoteText"/>
        <w:tabs>
          <w:tab w:val="left" w:pos="567"/>
        </w:tabs>
        <w:ind w:left="567" w:hanging="567"/>
        <w:rPr>
          <w:sz w:val="18"/>
          <w:szCs w:val="18"/>
          <w:lang w:val="es-ES_tradnl"/>
        </w:rPr>
      </w:pPr>
      <w:r w:rsidRPr="00332758">
        <w:rPr>
          <w:sz w:val="18"/>
          <w:szCs w:val="18"/>
          <w:vertAlign w:val="superscript"/>
          <w:lang w:val="es-ES_tradnl"/>
        </w:rPr>
        <w:t>[2]</w:t>
      </w:r>
      <w:r w:rsidRPr="00332758">
        <w:rPr>
          <w:sz w:val="18"/>
          <w:szCs w:val="18"/>
          <w:lang w:val="es-ES_tradnl"/>
        </w:rPr>
        <w:t xml:space="preserve"> En promedio, en las respuestas a la encuesta sobre las prioridades centrales relacionadas con la ética (70,3%) y el medio ambiente (69,8%) con arreglo al marco de resultados del </w:t>
      </w:r>
      <w:r>
        <w:rPr>
          <w:sz w:val="18"/>
          <w:szCs w:val="18"/>
          <w:lang w:val="es-ES_tradnl"/>
        </w:rPr>
        <w:t>Programa de Alineación Estratégica</w:t>
      </w:r>
      <w:r w:rsidRPr="00332758">
        <w:rPr>
          <w:sz w:val="18"/>
          <w:szCs w:val="18"/>
          <w:lang w:val="es-ES_tradnl"/>
        </w:rPr>
        <w:t xml:space="preserve"> de 2012. (h</w:t>
      </w:r>
      <w:r w:rsidRPr="001018EC">
        <w:rPr>
          <w:color w:val="000000"/>
          <w:sz w:val="18"/>
          <w:szCs w:val="18"/>
          <w:u w:val="single"/>
          <w:lang w:val="es-ES_tradnl"/>
        </w:rPr>
        <w:t>ttp://www.wipo.int/about-wipo/en/strategic_realignment/results_framework.html)</w:t>
      </w:r>
    </w:p>
  </w:footnote>
  <w:footnote w:id="41">
    <w:p w:rsidR="00527233" w:rsidRPr="004C0FD5" w:rsidRDefault="00527233"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rFonts w:cs="Arial"/>
          <w:sz w:val="18"/>
          <w:szCs w:val="18"/>
          <w:lang w:val="es-ES"/>
        </w:rPr>
        <w:t xml:space="preserve"> </w:t>
      </w:r>
      <w:r>
        <w:rPr>
          <w:rFonts w:cs="Arial"/>
          <w:sz w:val="18"/>
          <w:szCs w:val="18"/>
          <w:lang w:val="es-ES"/>
        </w:rPr>
        <w:tab/>
      </w:r>
      <w:r w:rsidRPr="004C0FD5">
        <w:rPr>
          <w:rFonts w:cs="Arial"/>
          <w:sz w:val="18"/>
          <w:szCs w:val="18"/>
          <w:lang w:val="es-ES"/>
        </w:rPr>
        <w:t>Anteriormente calificado como de “muy elevado riesgo”, documento WO/PBC/19/10 de 31 de julio de 2012, párrafos 30 y 40.</w:t>
      </w:r>
    </w:p>
  </w:footnote>
  <w:footnote w:id="42">
    <w:p w:rsidR="00527233" w:rsidRPr="004C0FD5" w:rsidRDefault="00527233"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sz w:val="18"/>
          <w:szCs w:val="18"/>
          <w:lang w:val="es-ES"/>
        </w:rPr>
        <w:t xml:space="preserve"> </w:t>
      </w:r>
      <w:r>
        <w:rPr>
          <w:sz w:val="18"/>
          <w:szCs w:val="18"/>
          <w:lang w:val="es-ES"/>
        </w:rPr>
        <w:tab/>
      </w:r>
      <w:r w:rsidRPr="004C0FD5">
        <w:rPr>
          <w:sz w:val="18"/>
          <w:szCs w:val="18"/>
          <w:lang w:val="es-ES"/>
        </w:rPr>
        <w:t xml:space="preserve">Documento </w:t>
      </w:r>
      <w:r w:rsidRPr="004C0FD5">
        <w:rPr>
          <w:rFonts w:cs="Arial"/>
          <w:sz w:val="18"/>
          <w:szCs w:val="18"/>
          <w:lang w:val="es-ES"/>
        </w:rPr>
        <w:t>WO/IAOC/31/2 de 6 de diciembre de 2013, párrafo 26.</w:t>
      </w:r>
    </w:p>
  </w:footnote>
  <w:footnote w:id="43">
    <w:p w:rsidR="00527233" w:rsidRPr="004C0FD5" w:rsidRDefault="00527233"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sz w:val="18"/>
          <w:szCs w:val="18"/>
          <w:lang w:val="es-ES"/>
        </w:rPr>
        <w:t xml:space="preserve"> </w:t>
      </w:r>
      <w:r>
        <w:rPr>
          <w:sz w:val="18"/>
          <w:szCs w:val="18"/>
          <w:lang w:val="es-ES"/>
        </w:rPr>
        <w:tab/>
        <w:t xml:space="preserve">Sin contar </w:t>
      </w:r>
      <w:r w:rsidRPr="004C0FD5">
        <w:rPr>
          <w:sz w:val="18"/>
          <w:szCs w:val="18"/>
          <w:lang w:val="es-ES"/>
        </w:rPr>
        <w:t xml:space="preserve">las palabras revisadas en el marco de los procedimientos de control de </w:t>
      </w:r>
      <w:r w:rsidRPr="00A12B8F">
        <w:rPr>
          <w:sz w:val="18"/>
          <w:szCs w:val="18"/>
          <w:lang w:val="es-ES"/>
        </w:rPr>
        <w:t>calidad (revisión, examen y corrección de pruebas) de los documentos traducidos.</w:t>
      </w:r>
    </w:p>
  </w:footnote>
  <w:footnote w:id="44">
    <w:p w:rsidR="00527233" w:rsidRPr="004C0FD5" w:rsidRDefault="00527233"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sz w:val="18"/>
          <w:szCs w:val="18"/>
          <w:lang w:val="es-ES"/>
        </w:rPr>
        <w:t xml:space="preserve"> </w:t>
      </w:r>
      <w:r>
        <w:rPr>
          <w:sz w:val="18"/>
          <w:szCs w:val="18"/>
          <w:lang w:val="es-ES"/>
        </w:rPr>
        <w:tab/>
      </w:r>
      <w:proofErr w:type="spellStart"/>
      <w:r w:rsidRPr="004C0FD5">
        <w:rPr>
          <w:sz w:val="18"/>
          <w:szCs w:val="18"/>
          <w:lang w:val="es-ES"/>
        </w:rPr>
        <w:t>Idem</w:t>
      </w:r>
      <w:proofErr w:type="spellEnd"/>
      <w:r w:rsidRPr="004C0FD5">
        <w:rPr>
          <w:sz w:val="18"/>
          <w:szCs w:val="18"/>
          <w:lang w:val="es-ES"/>
        </w:rPr>
        <w:t>.</w:t>
      </w:r>
    </w:p>
  </w:footnote>
  <w:footnote w:id="45">
    <w:p w:rsidR="00527233" w:rsidRPr="004C0FD5" w:rsidRDefault="00527233" w:rsidP="00A04F47">
      <w:pPr>
        <w:pStyle w:val="FootnoteText"/>
        <w:tabs>
          <w:tab w:val="left" w:pos="567"/>
        </w:tabs>
        <w:ind w:left="567" w:hanging="567"/>
        <w:rPr>
          <w:sz w:val="18"/>
          <w:szCs w:val="18"/>
          <w:lang w:val="es-ES"/>
        </w:rPr>
      </w:pPr>
      <w:r w:rsidRPr="004C0FD5">
        <w:rPr>
          <w:rFonts w:cs="Arial"/>
          <w:bCs/>
          <w:sz w:val="18"/>
          <w:szCs w:val="18"/>
        </w:rPr>
        <w:footnoteRef/>
      </w:r>
      <w:r w:rsidRPr="004C0FD5">
        <w:rPr>
          <w:sz w:val="18"/>
          <w:szCs w:val="18"/>
          <w:lang w:val="es-ES"/>
        </w:rPr>
        <w:t xml:space="preserve"> </w:t>
      </w:r>
      <w:r>
        <w:rPr>
          <w:sz w:val="18"/>
          <w:szCs w:val="18"/>
          <w:lang w:val="es-ES"/>
        </w:rPr>
        <w:tab/>
      </w:r>
      <w:r w:rsidRPr="004C0FD5">
        <w:rPr>
          <w:sz w:val="18"/>
          <w:szCs w:val="18"/>
          <w:lang w:val="es-ES"/>
        </w:rPr>
        <w:t>A comienzos de 2014, la fecha prevista de finalización se modificó de nuevo, pasando a ser julio de 2014</w:t>
      </w:r>
      <w:r w:rsidRPr="004C0FD5">
        <w:rPr>
          <w:rFonts w:cs="Arial"/>
          <w:bCs/>
          <w:sz w:val="18"/>
          <w:szCs w:val="18"/>
          <w:lang w:val="es-ES"/>
        </w:rPr>
        <w:t>.</w:t>
      </w:r>
    </w:p>
  </w:footnote>
  <w:footnote w:id="46">
    <w:p w:rsidR="00527233" w:rsidRPr="004C0FD5" w:rsidRDefault="00527233" w:rsidP="00A04F47">
      <w:pPr>
        <w:pStyle w:val="FootnoteText"/>
        <w:tabs>
          <w:tab w:val="left" w:pos="567"/>
        </w:tabs>
        <w:ind w:left="567" w:hanging="567"/>
        <w:rPr>
          <w:sz w:val="18"/>
          <w:szCs w:val="18"/>
          <w:lang w:val="es-ES"/>
        </w:rPr>
      </w:pPr>
      <w:r w:rsidRPr="009A247F">
        <w:rPr>
          <w:rFonts w:cs="Arial"/>
          <w:bCs/>
          <w:sz w:val="18"/>
          <w:szCs w:val="18"/>
          <w:vertAlign w:val="superscript"/>
        </w:rPr>
        <w:footnoteRef/>
      </w:r>
      <w:r w:rsidRPr="009A247F">
        <w:rPr>
          <w:rFonts w:cs="Arial"/>
          <w:bCs/>
          <w:sz w:val="18"/>
          <w:szCs w:val="18"/>
          <w:vertAlign w:val="superscript"/>
          <w:lang w:val="es-ES"/>
        </w:rPr>
        <w:t xml:space="preserve"> </w:t>
      </w:r>
      <w:r>
        <w:rPr>
          <w:rFonts w:cs="Arial"/>
          <w:bCs/>
          <w:sz w:val="18"/>
          <w:szCs w:val="18"/>
          <w:lang w:val="es-ES"/>
        </w:rPr>
        <w:tab/>
      </w:r>
      <w:proofErr w:type="spellStart"/>
      <w:r w:rsidRPr="004C0FD5">
        <w:rPr>
          <w:rFonts w:cs="Arial"/>
          <w:bCs/>
          <w:sz w:val="18"/>
          <w:szCs w:val="18"/>
          <w:lang w:val="es-ES"/>
        </w:rPr>
        <w:t>Idem</w:t>
      </w:r>
      <w:proofErr w:type="spellEnd"/>
      <w:r w:rsidRPr="004C0FD5">
        <w:rPr>
          <w:rFonts w:cs="Arial"/>
          <w:bCs/>
          <w:sz w:val="18"/>
          <w:szCs w:val="18"/>
          <w:lang w:val="es-ES"/>
        </w:rPr>
        <w:t>.</w:t>
      </w:r>
    </w:p>
  </w:footnote>
  <w:footnote w:id="47">
    <w:p w:rsidR="00527233" w:rsidRPr="00D677D2" w:rsidRDefault="00527233" w:rsidP="00F125CB">
      <w:pPr>
        <w:tabs>
          <w:tab w:val="left" w:pos="567"/>
        </w:tabs>
        <w:autoSpaceDE w:val="0"/>
        <w:autoSpaceDN w:val="0"/>
        <w:adjustRightInd w:val="0"/>
        <w:ind w:left="567" w:hanging="567"/>
        <w:rPr>
          <w:lang w:val="es-ES"/>
        </w:rPr>
      </w:pPr>
      <w:r w:rsidRPr="0071153F">
        <w:rPr>
          <w:rStyle w:val="FootnoteReference"/>
          <w:sz w:val="18"/>
          <w:szCs w:val="18"/>
        </w:rPr>
        <w:footnoteRef/>
      </w:r>
      <w:r>
        <w:rPr>
          <w:sz w:val="18"/>
          <w:szCs w:val="18"/>
          <w:lang w:val="es-ES"/>
        </w:rPr>
        <w:tab/>
      </w:r>
      <w:r w:rsidRPr="0071153F">
        <w:rPr>
          <w:sz w:val="18"/>
          <w:szCs w:val="18"/>
          <w:lang w:val="es-ES" w:bidi="th-TH"/>
        </w:rPr>
        <w:t>Examen del proceso presupuestario aplicado a los proyectos propuestos por el Comité sobre Desarrollo y propiedad Intelectual (CDIP) para aplicar las recomendaciones de la Ag</w:t>
      </w:r>
      <w:r>
        <w:rPr>
          <w:sz w:val="18"/>
          <w:szCs w:val="18"/>
          <w:lang w:val="es-ES" w:bidi="th-TH"/>
        </w:rPr>
        <w:t>enda para el Desarrollo (A/48/5 </w:t>
      </w:r>
      <w:proofErr w:type="spellStart"/>
      <w:r w:rsidRPr="0071153F">
        <w:rPr>
          <w:sz w:val="18"/>
          <w:szCs w:val="18"/>
          <w:lang w:val="es-ES" w:bidi="th-TH"/>
        </w:rPr>
        <w:t>Rev</w:t>
      </w:r>
      <w:proofErr w:type="spellEnd"/>
      <w:r w:rsidRPr="0071153F">
        <w:rPr>
          <w:sz w:val="18"/>
          <w:szCs w:val="18"/>
          <w:lang w:val="es-ES" w:bidi="th-TH"/>
        </w:rPr>
        <w:t>)</w:t>
      </w:r>
    </w:p>
  </w:footnote>
  <w:footnote w:id="48">
    <w:p w:rsidR="00527233" w:rsidRPr="00A72F35" w:rsidRDefault="00527233" w:rsidP="00A04F47">
      <w:pPr>
        <w:pStyle w:val="FootnoteText"/>
        <w:tabs>
          <w:tab w:val="left" w:pos="567"/>
        </w:tabs>
        <w:ind w:left="567" w:hanging="567"/>
        <w:rPr>
          <w:sz w:val="18"/>
          <w:szCs w:val="18"/>
          <w:lang w:val="es-ES"/>
        </w:rPr>
      </w:pPr>
      <w:r w:rsidRPr="00A72F35">
        <w:rPr>
          <w:rStyle w:val="FootnoteReference"/>
          <w:sz w:val="18"/>
          <w:szCs w:val="18"/>
        </w:rPr>
        <w:footnoteRef/>
      </w:r>
      <w:r w:rsidRPr="00A72F35">
        <w:rPr>
          <w:rFonts w:cs="Arial"/>
          <w:sz w:val="18"/>
          <w:szCs w:val="18"/>
          <w:lang w:val="es-ES"/>
        </w:rPr>
        <w:t xml:space="preserve"> </w:t>
      </w:r>
      <w:r w:rsidRPr="00A72F35">
        <w:rPr>
          <w:rFonts w:cs="Arial"/>
          <w:sz w:val="18"/>
          <w:szCs w:val="18"/>
          <w:lang w:val="es-ES"/>
        </w:rPr>
        <w:tab/>
        <w:t>La fecha de finalización del programa es el 28 de febrero de 2014</w:t>
      </w:r>
      <w:r>
        <w:rPr>
          <w:rFonts w:cs="Arial"/>
          <w:sz w:val="18"/>
          <w:szCs w:val="18"/>
          <w:lang w:val="es-ES"/>
        </w:rPr>
        <w:t>.</w:t>
      </w:r>
    </w:p>
  </w:footnote>
  <w:footnote w:id="49">
    <w:p w:rsidR="00527233" w:rsidRPr="004C0FD5" w:rsidRDefault="00527233"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rFonts w:cs="Arial"/>
          <w:sz w:val="18"/>
          <w:szCs w:val="18"/>
          <w:lang w:val="es-ES"/>
        </w:rPr>
        <w:t xml:space="preserve"> </w:t>
      </w:r>
      <w:r>
        <w:rPr>
          <w:rFonts w:cs="Arial"/>
          <w:sz w:val="18"/>
          <w:szCs w:val="18"/>
          <w:lang w:val="es-ES"/>
        </w:rPr>
        <w:tab/>
      </w:r>
      <w:r w:rsidRPr="004C0FD5">
        <w:rPr>
          <w:rFonts w:cs="Arial"/>
          <w:sz w:val="18"/>
          <w:szCs w:val="18"/>
          <w:lang w:val="es-ES"/>
        </w:rPr>
        <w:t>En octubre de 2012, se firmó un memorando de creación del fondo fiduciario FIT/IBERO, como instrumento financiero del Programa Iberoamericano de la Propiedad Industrial.</w:t>
      </w:r>
    </w:p>
  </w:footnote>
  <w:footnote w:id="50">
    <w:p w:rsidR="00527233" w:rsidRPr="004C0FD5" w:rsidRDefault="00527233"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sz w:val="18"/>
          <w:szCs w:val="18"/>
          <w:lang w:val="es-ES"/>
        </w:rPr>
        <w:t xml:space="preserve"> </w:t>
      </w:r>
      <w:r>
        <w:rPr>
          <w:sz w:val="18"/>
          <w:szCs w:val="18"/>
          <w:lang w:val="es-ES"/>
        </w:rPr>
        <w:tab/>
      </w:r>
      <w:r w:rsidRPr="004C0FD5">
        <w:rPr>
          <w:sz w:val="18"/>
          <w:szCs w:val="18"/>
          <w:lang w:val="es-ES"/>
        </w:rPr>
        <w:t>Se espera que el proceso de contratación concluya en junio de</w:t>
      </w:r>
      <w:r w:rsidRPr="004C0FD5">
        <w:rPr>
          <w:rFonts w:cs="Arial"/>
          <w:sz w:val="18"/>
          <w:szCs w:val="18"/>
          <w:lang w:val="es-ES"/>
        </w:rPr>
        <w:t xml:space="preserve"> 2014.</w:t>
      </w:r>
    </w:p>
  </w:footnote>
  <w:footnote w:id="51">
    <w:p w:rsidR="00527233" w:rsidRPr="004C0FD5" w:rsidRDefault="00527233"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rFonts w:cs="Arial"/>
          <w:sz w:val="18"/>
          <w:szCs w:val="18"/>
          <w:lang w:val="es-ES"/>
        </w:rPr>
        <w:t xml:space="preserve"> </w:t>
      </w:r>
      <w:r>
        <w:rPr>
          <w:rFonts w:cs="Arial"/>
          <w:sz w:val="18"/>
          <w:szCs w:val="18"/>
          <w:lang w:val="es-ES"/>
        </w:rPr>
        <w:tab/>
      </w:r>
      <w:r w:rsidRPr="004C0FD5">
        <w:rPr>
          <w:rFonts w:cs="Arial"/>
          <w:sz w:val="18"/>
          <w:szCs w:val="18"/>
          <w:lang w:val="es-ES"/>
        </w:rPr>
        <w:t>Fecha de finalización prevista</w:t>
      </w:r>
      <w:proofErr w:type="gramStart"/>
      <w:r w:rsidRPr="004C0FD5">
        <w:rPr>
          <w:rFonts w:cs="Arial"/>
          <w:sz w:val="18"/>
          <w:szCs w:val="18"/>
          <w:lang w:val="es-ES"/>
        </w:rPr>
        <w:t>:</w:t>
      </w:r>
      <w:r>
        <w:rPr>
          <w:rFonts w:cs="Arial"/>
          <w:sz w:val="18"/>
          <w:szCs w:val="18"/>
          <w:lang w:val="es-ES"/>
        </w:rPr>
        <w:t xml:space="preserve"> </w:t>
      </w:r>
      <w:r w:rsidRPr="004C0FD5">
        <w:rPr>
          <w:rFonts w:cs="Arial"/>
          <w:sz w:val="18"/>
          <w:szCs w:val="18"/>
          <w:lang w:val="es-ES"/>
        </w:rPr>
        <w:t xml:space="preserve"> </w:t>
      </w:r>
      <w:r>
        <w:rPr>
          <w:rFonts w:cs="Arial"/>
          <w:sz w:val="18"/>
          <w:szCs w:val="18"/>
          <w:lang w:val="es-ES"/>
        </w:rPr>
        <w:t>octubre</w:t>
      </w:r>
      <w:proofErr w:type="gramEnd"/>
      <w:r w:rsidRPr="004C0FD5">
        <w:rPr>
          <w:rFonts w:cs="Arial"/>
          <w:sz w:val="18"/>
          <w:szCs w:val="18"/>
          <w:lang w:val="es-ES"/>
        </w:rPr>
        <w:t xml:space="preserve"> de 2014.</w:t>
      </w:r>
    </w:p>
  </w:footnote>
  <w:footnote w:id="52">
    <w:p w:rsidR="00527233" w:rsidRPr="004C0FD5" w:rsidRDefault="00527233" w:rsidP="00A04F47">
      <w:pPr>
        <w:pStyle w:val="FootnoteText"/>
        <w:tabs>
          <w:tab w:val="left" w:pos="567"/>
        </w:tabs>
        <w:ind w:left="567" w:hanging="567"/>
        <w:rPr>
          <w:sz w:val="18"/>
          <w:szCs w:val="18"/>
          <w:lang w:val="es-ES"/>
        </w:rPr>
      </w:pPr>
      <w:r w:rsidRPr="004C0FD5">
        <w:rPr>
          <w:rStyle w:val="FootnoteReference"/>
          <w:sz w:val="18"/>
          <w:szCs w:val="18"/>
        </w:rPr>
        <w:footnoteRef/>
      </w:r>
      <w:r w:rsidRPr="004C0FD5">
        <w:rPr>
          <w:rFonts w:cs="Arial"/>
          <w:sz w:val="18"/>
          <w:szCs w:val="18"/>
          <w:lang w:val="es-ES"/>
        </w:rPr>
        <w:t xml:space="preserve"> </w:t>
      </w:r>
      <w:r>
        <w:rPr>
          <w:rFonts w:cs="Arial"/>
          <w:sz w:val="18"/>
          <w:szCs w:val="18"/>
          <w:lang w:val="es-ES"/>
        </w:rPr>
        <w:tab/>
      </w:r>
      <w:r w:rsidRPr="004C0FD5">
        <w:rPr>
          <w:rFonts w:cs="Arial"/>
          <w:sz w:val="18"/>
          <w:szCs w:val="18"/>
          <w:lang w:val="es-ES"/>
        </w:rPr>
        <w:t>Fecha prevista de finalización</w:t>
      </w:r>
      <w:proofErr w:type="gramStart"/>
      <w:r w:rsidRPr="004C0FD5">
        <w:rPr>
          <w:rFonts w:cs="Arial"/>
          <w:sz w:val="18"/>
          <w:szCs w:val="18"/>
          <w:lang w:val="es-ES"/>
        </w:rPr>
        <w:t xml:space="preserve">: </w:t>
      </w:r>
      <w:r>
        <w:rPr>
          <w:rFonts w:cs="Arial"/>
          <w:sz w:val="18"/>
          <w:szCs w:val="18"/>
          <w:lang w:val="es-ES"/>
        </w:rPr>
        <w:t xml:space="preserve"> </w:t>
      </w:r>
      <w:r w:rsidRPr="004C0FD5">
        <w:rPr>
          <w:rFonts w:cs="Arial"/>
          <w:sz w:val="18"/>
          <w:szCs w:val="18"/>
          <w:lang w:val="es-ES"/>
        </w:rPr>
        <w:t>abril</w:t>
      </w:r>
      <w:proofErr w:type="gramEnd"/>
      <w:r w:rsidRPr="004C0FD5">
        <w:rPr>
          <w:rFonts w:cs="Arial"/>
          <w:sz w:val="18"/>
          <w:szCs w:val="18"/>
          <w:lang w:val="es-ES"/>
        </w:rPr>
        <w:t xml:space="preserve"> de 2014.</w:t>
      </w:r>
    </w:p>
  </w:footnote>
  <w:footnote w:id="53">
    <w:p w:rsidR="00527233" w:rsidRPr="004C0FD5" w:rsidRDefault="00527233" w:rsidP="00A04F47">
      <w:pPr>
        <w:pStyle w:val="FootnoteText"/>
        <w:tabs>
          <w:tab w:val="left" w:pos="567"/>
        </w:tabs>
        <w:ind w:left="567" w:hanging="567"/>
        <w:rPr>
          <w:sz w:val="18"/>
          <w:szCs w:val="18"/>
        </w:rPr>
      </w:pPr>
      <w:r w:rsidRPr="004C0FD5">
        <w:rPr>
          <w:rStyle w:val="FootnoteReference"/>
          <w:sz w:val="18"/>
          <w:szCs w:val="18"/>
        </w:rPr>
        <w:footnoteRef/>
      </w:r>
      <w:r w:rsidRPr="004C0FD5">
        <w:rPr>
          <w:sz w:val="18"/>
          <w:szCs w:val="18"/>
        </w:rPr>
        <w:t xml:space="preserve"> </w:t>
      </w:r>
      <w:r>
        <w:rPr>
          <w:sz w:val="18"/>
          <w:szCs w:val="18"/>
        </w:rPr>
        <w:tab/>
      </w:r>
      <w:proofErr w:type="gramStart"/>
      <w:r w:rsidRPr="004C0FD5">
        <w:rPr>
          <w:rFonts w:cs="Arial"/>
          <w:sz w:val="18"/>
          <w:szCs w:val="18"/>
        </w:rPr>
        <w:t>Idem.</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A32A35" w:rsidRDefault="00527233" w:rsidP="00197073">
    <w:pPr>
      <w:jc w:val="right"/>
      <w:rPr>
        <w:lang w:val="es-ES"/>
      </w:rPr>
    </w:pPr>
    <w:bookmarkStart w:id="3" w:name="Code2"/>
    <w:bookmarkEnd w:id="3"/>
    <w:r w:rsidRPr="00A32A35">
      <w:rPr>
        <w:lang w:val="es-ES"/>
      </w:rPr>
      <w:t>A/54/CCCC</w:t>
    </w:r>
  </w:p>
  <w:p w:rsidR="00527233" w:rsidRPr="00A32A35" w:rsidRDefault="00527233" w:rsidP="00197073">
    <w:pPr>
      <w:jc w:val="right"/>
      <w:rPr>
        <w:lang w:val="es-ES"/>
      </w:rPr>
    </w:pPr>
    <w:r w:rsidRPr="002910C6">
      <w:rPr>
        <w:color w:val="008000"/>
        <w:lang w:val="es-ES_tradnl"/>
      </w:rPr>
      <w:t xml:space="preserve">Página PARTE I: </w:t>
    </w:r>
    <w:proofErr w:type="gramStart"/>
    <w:r w:rsidRPr="002910C6">
      <w:rPr>
        <w:color w:val="008000"/>
        <w:lang w:val="es-ES_tradnl"/>
      </w:rPr>
      <w:t>INTRODUCCIÓN ....................................................................................................................</w:t>
    </w:r>
    <w:proofErr w:type="gramEnd"/>
    <w:r w:rsidRPr="002910C6">
      <w:rPr>
        <w:color w:val="008000"/>
        <w:lang w:val="es-ES_tradnl"/>
      </w:rPr>
      <w:t xml:space="preserve"> 7</w:t>
    </w:r>
    <w:r w:rsidRPr="00A32A35">
      <w:rPr>
        <w:lang w:val="es-ES"/>
      </w:rPr>
      <w:t xml:space="preserve"> </w:t>
    </w:r>
    <w:r>
      <w:fldChar w:fldCharType="begin"/>
    </w:r>
    <w:r w:rsidRPr="00A32A35">
      <w:rPr>
        <w:lang w:val="es-ES"/>
      </w:rPr>
      <w:instrText xml:space="preserve"> PAGE  \* MERGEFORMAT </w:instrText>
    </w:r>
    <w:r>
      <w:fldChar w:fldCharType="separate"/>
    </w:r>
    <w:r w:rsidR="008B18BE">
      <w:rPr>
        <w:noProof/>
        <w:lang w:val="es-ES"/>
      </w:rPr>
      <w:t>cclxxxi</w:t>
    </w:r>
    <w:r>
      <w:fldChar w:fldCharType="end"/>
    </w:r>
  </w:p>
  <w:p w:rsidR="00527233" w:rsidRPr="00A32A35" w:rsidRDefault="00527233" w:rsidP="00197073">
    <w:pPr>
      <w:jc w:val="right"/>
      <w:rPr>
        <w:lang w:val="es-E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D86EA5" w:rsidRDefault="00527233" w:rsidP="00AA6702">
    <w:pPr>
      <w:pStyle w:val="Header"/>
      <w:jc w:val="right"/>
      <w:rPr>
        <w:rFonts w:cs="Arial"/>
        <w:b/>
        <w:sz w:val="18"/>
        <w:szCs w:val="18"/>
        <w:lang w:val="es-ES"/>
      </w:rPr>
    </w:pPr>
    <w:r w:rsidRPr="00D86EA5">
      <w:rPr>
        <w:rFonts w:cs="Arial"/>
        <w:b/>
        <w:sz w:val="18"/>
        <w:szCs w:val="18"/>
        <w:lang w:val="es-ES_tradnl"/>
      </w:rPr>
      <w:t>Informe sobre el rendimiento de los programas en 2012/13</w:t>
    </w:r>
  </w:p>
  <w:p w:rsidR="00527233" w:rsidRPr="00D86EA5" w:rsidRDefault="00527233" w:rsidP="00AA6702">
    <w:pPr>
      <w:pStyle w:val="Header"/>
      <w:jc w:val="right"/>
      <w:rPr>
        <w:rFonts w:cs="Arial"/>
        <w:sz w:val="18"/>
        <w:szCs w:val="18"/>
        <w:lang w:val="es-ES"/>
      </w:rPr>
    </w:pPr>
  </w:p>
  <w:p w:rsidR="00527233" w:rsidRPr="00D86EA5" w:rsidRDefault="00527233" w:rsidP="00AA6702">
    <w:pPr>
      <w:pStyle w:val="Header"/>
      <w:jc w:val="right"/>
      <w:rPr>
        <w:rFonts w:cs="Arial"/>
        <w:sz w:val="18"/>
        <w:szCs w:val="18"/>
        <w:lang w:val="es-E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D86EA5" w:rsidRDefault="00527233" w:rsidP="00197073">
    <w:pPr>
      <w:pStyle w:val="Header"/>
      <w:jc w:val="right"/>
      <w:rPr>
        <w:rFonts w:cs="Arial"/>
        <w:b/>
        <w:sz w:val="18"/>
        <w:szCs w:val="18"/>
        <w:lang w:val="es-ES"/>
      </w:rPr>
    </w:pPr>
    <w:r w:rsidRPr="00D86EA5">
      <w:rPr>
        <w:rFonts w:cs="Arial"/>
        <w:b/>
        <w:sz w:val="18"/>
        <w:szCs w:val="18"/>
        <w:lang w:val="es-ES_tradnl"/>
      </w:rPr>
      <w:t>Informe sobre el rendimiento de los programas en 2012/13</w:t>
    </w:r>
  </w:p>
  <w:p w:rsidR="00527233" w:rsidRPr="00D86EA5" w:rsidRDefault="00527233" w:rsidP="00197073">
    <w:pPr>
      <w:pStyle w:val="Header"/>
      <w:jc w:val="right"/>
      <w:rPr>
        <w:rFonts w:cs="Arial"/>
        <w:sz w:val="18"/>
        <w:szCs w:val="18"/>
        <w:lang w:val="es-ES"/>
      </w:rPr>
    </w:pPr>
  </w:p>
  <w:p w:rsidR="00527233" w:rsidRPr="00D86EA5" w:rsidRDefault="00527233" w:rsidP="00197073">
    <w:pPr>
      <w:pStyle w:val="Header"/>
      <w:jc w:val="right"/>
      <w:rPr>
        <w:rFonts w:cs="Arial"/>
        <w:sz w:val="18"/>
        <w:szCs w:val="18"/>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D90BF0" w:rsidRDefault="00527233" w:rsidP="00B2478A">
    <w:pPr>
      <w:pStyle w:val="Header"/>
      <w:jc w:val="right"/>
      <w:rPr>
        <w:sz w:val="22"/>
        <w:szCs w:val="22"/>
      </w:rPr>
    </w:pPr>
    <w:r w:rsidRPr="00D90BF0">
      <w:rPr>
        <w:sz w:val="22"/>
        <w:szCs w:val="22"/>
      </w:rPr>
      <w:t>WO/PBC/22/8</w:t>
    </w:r>
    <w:r>
      <w:rPr>
        <w:sz w:val="22"/>
        <w:szCs w:val="22"/>
      </w:rPr>
      <w:t xml:space="preserve"> Rev. 2</w:t>
    </w:r>
  </w:p>
  <w:p w:rsidR="00527233" w:rsidRPr="00D90BF0" w:rsidRDefault="00527233" w:rsidP="00B2478A">
    <w:pPr>
      <w:pStyle w:val="Header"/>
      <w:jc w:val="right"/>
      <w:rPr>
        <w:sz w:val="22"/>
        <w:szCs w:val="22"/>
      </w:rPr>
    </w:pPr>
    <w:proofErr w:type="spellStart"/>
    <w:proofErr w:type="gramStart"/>
    <w:r w:rsidRPr="00D90BF0">
      <w:rPr>
        <w:sz w:val="22"/>
        <w:szCs w:val="22"/>
      </w:rPr>
      <w:t>página</w:t>
    </w:r>
    <w:proofErr w:type="spellEnd"/>
    <w:proofErr w:type="gramEnd"/>
    <w:r w:rsidRPr="00D90BF0">
      <w:rPr>
        <w:sz w:val="22"/>
        <w:szCs w:val="22"/>
      </w:rPr>
      <w:t xml:space="preserve"> </w:t>
    </w:r>
    <w:r w:rsidRPr="00D90BF0">
      <w:rPr>
        <w:sz w:val="22"/>
        <w:szCs w:val="22"/>
      </w:rPr>
      <w:fldChar w:fldCharType="begin"/>
    </w:r>
    <w:r w:rsidRPr="00D90BF0">
      <w:rPr>
        <w:sz w:val="22"/>
        <w:szCs w:val="22"/>
      </w:rPr>
      <w:instrText xml:space="preserve"> PAGE   \* MERGEFORMAT </w:instrText>
    </w:r>
    <w:r w:rsidRPr="00D90BF0">
      <w:rPr>
        <w:sz w:val="22"/>
        <w:szCs w:val="22"/>
      </w:rPr>
      <w:fldChar w:fldCharType="separate"/>
    </w:r>
    <w:r w:rsidR="008B18BE">
      <w:rPr>
        <w:noProof/>
        <w:sz w:val="22"/>
        <w:szCs w:val="22"/>
      </w:rPr>
      <w:t>2</w:t>
    </w:r>
    <w:r w:rsidRPr="00D90BF0">
      <w:rPr>
        <w:noProof/>
        <w:sz w:val="22"/>
        <w:szCs w:val="22"/>
      </w:rPr>
      <w:fldChar w:fldCharType="end"/>
    </w:r>
  </w:p>
  <w:p w:rsidR="00527233" w:rsidRPr="00D90BF0" w:rsidRDefault="00527233" w:rsidP="00B2478A">
    <w:pPr>
      <w:pStyle w:val="Header"/>
      <w:jc w:val="right"/>
      <w:rPr>
        <w:sz w:val="22"/>
        <w:szCs w:val="22"/>
      </w:rPr>
    </w:pPr>
  </w:p>
  <w:p w:rsidR="00527233" w:rsidRPr="00D90BF0" w:rsidRDefault="00527233" w:rsidP="00B2478A">
    <w:pPr>
      <w:pStyle w:val="Header"/>
      <w:jc w:val="right"/>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D350A8" w:rsidRDefault="00527233" w:rsidP="00197073">
    <w:pPr>
      <w:pStyle w:val="Header"/>
      <w:jc w:val="right"/>
    </w:pPr>
    <w:r w:rsidRPr="00D350A8">
      <w:rPr>
        <w:lang w:val="es-ES_tradnl"/>
      </w:rPr>
      <w:t>WO/PBC/22/28</w:t>
    </w:r>
  </w:p>
  <w:p w:rsidR="00527233" w:rsidRPr="00D350A8" w:rsidRDefault="00527233" w:rsidP="00197073">
    <w:pPr>
      <w:pStyle w:val="Header"/>
      <w:jc w:val="right"/>
    </w:pPr>
    <w:proofErr w:type="gramStart"/>
    <w:r w:rsidRPr="00D350A8">
      <w:rPr>
        <w:lang w:val="es-ES_tradnl"/>
      </w:rPr>
      <w:t>página</w:t>
    </w:r>
    <w:proofErr w:type="gramEnd"/>
    <w:r w:rsidRPr="00D350A8">
      <w:rPr>
        <w:lang w:val="es-ES_tradnl"/>
      </w:rPr>
      <w:t xml:space="preserve"> 2</w:t>
    </w:r>
  </w:p>
  <w:p w:rsidR="00527233" w:rsidRPr="00D350A8" w:rsidRDefault="00527233" w:rsidP="00197073">
    <w:pPr>
      <w:pStyle w:val="Header"/>
      <w:jc w:val="right"/>
    </w:pPr>
  </w:p>
  <w:p w:rsidR="00527233" w:rsidRPr="00D350A8" w:rsidRDefault="00527233" w:rsidP="0019707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Default="00527233" w:rsidP="00197073">
    <w:pPr>
      <w:pStyle w:val="Header"/>
      <w:rPr>
        <w:rFonts w:cs="Arial"/>
        <w:sz w:val="18"/>
        <w:szCs w:val="18"/>
      </w:rPr>
    </w:pPr>
  </w:p>
  <w:p w:rsidR="00527233" w:rsidRPr="00101F3F" w:rsidRDefault="00527233" w:rsidP="00197073">
    <w:pPr>
      <w:pStyle w:val="Header"/>
      <w:jc w:val="right"/>
      <w:rPr>
        <w:rFonts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D350A8" w:rsidRDefault="00527233" w:rsidP="00197073">
    <w:pPr>
      <w:pStyle w:val="Header"/>
      <w:rPr>
        <w:rFonts w:cs="Arial"/>
        <w:b/>
        <w:sz w:val="18"/>
        <w:szCs w:val="18"/>
        <w:lang w:val="es-ES"/>
      </w:rPr>
    </w:pPr>
    <w:r w:rsidRPr="00D350A8">
      <w:rPr>
        <w:rFonts w:cs="Arial"/>
        <w:b/>
        <w:sz w:val="18"/>
        <w:szCs w:val="18"/>
        <w:lang w:val="es-ES_tradnl"/>
      </w:rPr>
      <w:t>Informe sobre el rendimiento de los programas en 2012/13</w:t>
    </w:r>
  </w:p>
  <w:p w:rsidR="00527233" w:rsidRPr="00D350A8" w:rsidRDefault="00527233" w:rsidP="00197073">
    <w:pPr>
      <w:pStyle w:val="Header"/>
      <w:rPr>
        <w:rFonts w:cs="Arial"/>
        <w:sz w:val="18"/>
        <w:szCs w:val="18"/>
        <w:lang w:val="es-ES"/>
      </w:rPr>
    </w:pPr>
  </w:p>
  <w:p w:rsidR="00527233" w:rsidRPr="00D350A8" w:rsidRDefault="00527233" w:rsidP="002E2C9D">
    <w:pPr>
      <w:pStyle w:val="Header"/>
      <w:rPr>
        <w:rFonts w:cs="Arial"/>
        <w:sz w:val="18"/>
        <w:szCs w:val="18"/>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B2478A" w:rsidRDefault="00527233" w:rsidP="00B2478A">
    <w:pPr>
      <w:pStyle w:val="Header"/>
      <w:rPr>
        <w:rFonts w:cs="Arial"/>
        <w:b/>
        <w:sz w:val="18"/>
        <w:szCs w:val="18"/>
        <w:lang w:val="es-ES"/>
      </w:rPr>
    </w:pPr>
    <w:r w:rsidRPr="00B2478A">
      <w:rPr>
        <w:rFonts w:cs="Arial"/>
        <w:b/>
        <w:sz w:val="18"/>
        <w:szCs w:val="18"/>
        <w:lang w:val="es-ES_tradnl"/>
      </w:rPr>
      <w:t>Informe sobre el rendimiento de los programas en 2012/13</w:t>
    </w:r>
  </w:p>
  <w:p w:rsidR="00527233" w:rsidRPr="00B2478A" w:rsidRDefault="00527233" w:rsidP="00B2478A">
    <w:pPr>
      <w:pStyle w:val="Header"/>
      <w:rPr>
        <w:rFonts w:cs="Arial"/>
        <w:b/>
        <w:sz w:val="18"/>
        <w:szCs w:val="18"/>
        <w:lang w:val="es-ES"/>
      </w:rPr>
    </w:pPr>
  </w:p>
  <w:p w:rsidR="00527233" w:rsidRPr="00B2478A" w:rsidRDefault="00527233" w:rsidP="00B2478A">
    <w:pPr>
      <w:pStyle w:val="Header"/>
      <w:rPr>
        <w:sz w:val="18"/>
        <w:szCs w:val="18"/>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D86EA5" w:rsidRDefault="00527233" w:rsidP="00197073">
    <w:pPr>
      <w:pStyle w:val="Header"/>
      <w:jc w:val="right"/>
      <w:rPr>
        <w:rFonts w:cs="Arial"/>
        <w:b/>
        <w:sz w:val="18"/>
        <w:szCs w:val="18"/>
        <w:lang w:val="es-ES"/>
      </w:rPr>
    </w:pPr>
    <w:r w:rsidRPr="00D86EA5">
      <w:rPr>
        <w:rFonts w:cs="Arial"/>
        <w:b/>
        <w:sz w:val="18"/>
        <w:szCs w:val="18"/>
        <w:lang w:val="es-ES_tradnl"/>
      </w:rPr>
      <w:t>Informe sobre el rendimiento de los programas en 2012/13</w:t>
    </w:r>
  </w:p>
  <w:p w:rsidR="00527233" w:rsidRPr="00D86EA5" w:rsidRDefault="00527233" w:rsidP="00197073">
    <w:pPr>
      <w:pStyle w:val="Header"/>
      <w:jc w:val="right"/>
      <w:rPr>
        <w:rFonts w:cs="Arial"/>
        <w:b/>
        <w:sz w:val="18"/>
        <w:szCs w:val="18"/>
        <w:lang w:val="es-ES"/>
      </w:rPr>
    </w:pPr>
  </w:p>
  <w:p w:rsidR="00527233" w:rsidRPr="00D86EA5" w:rsidRDefault="00527233" w:rsidP="00197073">
    <w:pPr>
      <w:pStyle w:val="Header"/>
      <w:jc w:val="right"/>
      <w:rPr>
        <w:rFonts w:cs="Arial"/>
        <w:sz w:val="18"/>
        <w:szCs w:val="18"/>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D86EA5" w:rsidRDefault="00527233" w:rsidP="00197073">
    <w:pPr>
      <w:pStyle w:val="Header"/>
      <w:jc w:val="right"/>
      <w:rPr>
        <w:rFonts w:cs="Arial"/>
        <w:b/>
        <w:sz w:val="18"/>
        <w:szCs w:val="18"/>
        <w:lang w:val="es-ES_tradnl"/>
      </w:rPr>
    </w:pPr>
    <w:r w:rsidRPr="00D86EA5">
      <w:rPr>
        <w:rFonts w:cs="Arial"/>
        <w:b/>
        <w:sz w:val="18"/>
        <w:szCs w:val="18"/>
        <w:lang w:val="es-ES_tradnl"/>
      </w:rPr>
      <w:t>Informe sobre el rendimiento de los programas en 2012/13</w:t>
    </w:r>
  </w:p>
  <w:p w:rsidR="00527233" w:rsidRPr="00D86EA5" w:rsidRDefault="00527233" w:rsidP="00197073">
    <w:pPr>
      <w:pStyle w:val="Header"/>
      <w:jc w:val="right"/>
      <w:rPr>
        <w:rFonts w:cs="Arial"/>
        <w:sz w:val="18"/>
        <w:szCs w:val="18"/>
        <w:lang w:val="es-ES"/>
      </w:rPr>
    </w:pPr>
  </w:p>
  <w:p w:rsidR="00527233" w:rsidRPr="00D86EA5" w:rsidRDefault="00527233" w:rsidP="00197073">
    <w:pPr>
      <w:pStyle w:val="Header"/>
      <w:jc w:val="right"/>
      <w:rPr>
        <w:rFonts w:cs="Arial"/>
        <w:sz w:val="18"/>
        <w:szCs w:val="18"/>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33" w:rsidRPr="00D86EA5" w:rsidRDefault="00527233" w:rsidP="00AA6702">
    <w:pPr>
      <w:pStyle w:val="Header"/>
      <w:jc w:val="right"/>
      <w:rPr>
        <w:rFonts w:cs="Arial"/>
        <w:b/>
        <w:sz w:val="18"/>
        <w:szCs w:val="18"/>
        <w:lang w:val="es-ES"/>
      </w:rPr>
    </w:pPr>
    <w:r w:rsidRPr="00D86EA5">
      <w:rPr>
        <w:rFonts w:cs="Arial"/>
        <w:b/>
        <w:sz w:val="18"/>
        <w:szCs w:val="18"/>
        <w:lang w:val="es-ES_tradnl"/>
      </w:rPr>
      <w:t>Informe sobre el rendimiento de los programas en 2012/13</w:t>
    </w:r>
  </w:p>
  <w:p w:rsidR="00527233" w:rsidRPr="00D86EA5" w:rsidRDefault="00527233" w:rsidP="00AA6702">
    <w:pPr>
      <w:pStyle w:val="Header"/>
      <w:jc w:val="right"/>
      <w:rPr>
        <w:rFonts w:cs="Arial"/>
        <w:sz w:val="18"/>
        <w:szCs w:val="18"/>
        <w:lang w:val="es-ES"/>
      </w:rPr>
    </w:pPr>
  </w:p>
  <w:p w:rsidR="00527233" w:rsidRPr="00D86EA5" w:rsidRDefault="00527233" w:rsidP="00AA6702">
    <w:pPr>
      <w:pStyle w:val="Header"/>
      <w:jc w:val="right"/>
      <w:rPr>
        <w:rFonts w:cs="Arial"/>
        <w:sz w:val="18"/>
        <w:szCs w:val="18"/>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EB6"/>
    <w:multiLevelType w:val="hybridMultilevel"/>
    <w:tmpl w:val="1BD04E24"/>
    <w:lvl w:ilvl="0" w:tplc="D5E2E400">
      <w:start w:val="1"/>
      <w:numFmt w:val="decimal"/>
      <w:lvlText w:val="11.%1."/>
      <w:lvlJc w:val="left"/>
      <w:pPr>
        <w:ind w:left="720" w:hanging="360"/>
      </w:pPr>
      <w:rPr>
        <w:rFonts w:hint="default"/>
      </w:rPr>
    </w:lvl>
    <w:lvl w:ilvl="1" w:tplc="67361502" w:tentative="1">
      <w:start w:val="1"/>
      <w:numFmt w:val="lowerLetter"/>
      <w:lvlText w:val="%2."/>
      <w:lvlJc w:val="left"/>
      <w:pPr>
        <w:ind w:left="1440" w:hanging="360"/>
      </w:pPr>
    </w:lvl>
    <w:lvl w:ilvl="2" w:tplc="40961980" w:tentative="1">
      <w:start w:val="1"/>
      <w:numFmt w:val="lowerRoman"/>
      <w:lvlText w:val="%3."/>
      <w:lvlJc w:val="right"/>
      <w:pPr>
        <w:ind w:left="2160" w:hanging="180"/>
      </w:pPr>
    </w:lvl>
    <w:lvl w:ilvl="3" w:tplc="ADAC52A0" w:tentative="1">
      <w:start w:val="1"/>
      <w:numFmt w:val="decimal"/>
      <w:lvlText w:val="%4."/>
      <w:lvlJc w:val="left"/>
      <w:pPr>
        <w:ind w:left="2880" w:hanging="360"/>
      </w:pPr>
    </w:lvl>
    <w:lvl w:ilvl="4" w:tplc="53B02068" w:tentative="1">
      <w:start w:val="1"/>
      <w:numFmt w:val="lowerLetter"/>
      <w:lvlText w:val="%5."/>
      <w:lvlJc w:val="left"/>
      <w:pPr>
        <w:ind w:left="3600" w:hanging="360"/>
      </w:pPr>
    </w:lvl>
    <w:lvl w:ilvl="5" w:tplc="AF666B1C" w:tentative="1">
      <w:start w:val="1"/>
      <w:numFmt w:val="lowerRoman"/>
      <w:lvlText w:val="%6."/>
      <w:lvlJc w:val="right"/>
      <w:pPr>
        <w:ind w:left="4320" w:hanging="180"/>
      </w:pPr>
    </w:lvl>
    <w:lvl w:ilvl="6" w:tplc="A232E552" w:tentative="1">
      <w:start w:val="1"/>
      <w:numFmt w:val="decimal"/>
      <w:lvlText w:val="%7."/>
      <w:lvlJc w:val="left"/>
      <w:pPr>
        <w:ind w:left="5040" w:hanging="360"/>
      </w:pPr>
    </w:lvl>
    <w:lvl w:ilvl="7" w:tplc="F59E6EA8" w:tentative="1">
      <w:start w:val="1"/>
      <w:numFmt w:val="lowerLetter"/>
      <w:lvlText w:val="%8."/>
      <w:lvlJc w:val="left"/>
      <w:pPr>
        <w:ind w:left="5760" w:hanging="360"/>
      </w:pPr>
    </w:lvl>
    <w:lvl w:ilvl="8" w:tplc="A99C72CC" w:tentative="1">
      <w:start w:val="1"/>
      <w:numFmt w:val="lowerRoman"/>
      <w:lvlText w:val="%9."/>
      <w:lvlJc w:val="right"/>
      <w:pPr>
        <w:ind w:left="6480" w:hanging="180"/>
      </w:pPr>
    </w:lvl>
  </w:abstractNum>
  <w:abstractNum w:abstractNumId="1">
    <w:nsid w:val="03214558"/>
    <w:multiLevelType w:val="hybridMultilevel"/>
    <w:tmpl w:val="46F82366"/>
    <w:lvl w:ilvl="0" w:tplc="CA80250E">
      <w:start w:val="1"/>
      <w:numFmt w:val="bullet"/>
      <w:lvlText w:val=""/>
      <w:lvlJc w:val="left"/>
      <w:pPr>
        <w:ind w:left="720" w:hanging="360"/>
      </w:pPr>
      <w:rPr>
        <w:rFonts w:ascii="Symbol" w:hAnsi="Symbol" w:hint="default"/>
      </w:rPr>
    </w:lvl>
    <w:lvl w:ilvl="1" w:tplc="0D4A2A0A" w:tentative="1">
      <w:start w:val="1"/>
      <w:numFmt w:val="bullet"/>
      <w:lvlText w:val="o"/>
      <w:lvlJc w:val="left"/>
      <w:pPr>
        <w:ind w:left="1440" w:hanging="360"/>
      </w:pPr>
      <w:rPr>
        <w:rFonts w:ascii="Courier New" w:hAnsi="Courier New" w:cs="Courier New" w:hint="default"/>
      </w:rPr>
    </w:lvl>
    <w:lvl w:ilvl="2" w:tplc="40EADD46" w:tentative="1">
      <w:start w:val="1"/>
      <w:numFmt w:val="bullet"/>
      <w:lvlText w:val=""/>
      <w:lvlJc w:val="left"/>
      <w:pPr>
        <w:ind w:left="2160" w:hanging="360"/>
      </w:pPr>
      <w:rPr>
        <w:rFonts w:ascii="Wingdings" w:hAnsi="Wingdings" w:hint="default"/>
      </w:rPr>
    </w:lvl>
    <w:lvl w:ilvl="3" w:tplc="4B4402F6" w:tentative="1">
      <w:start w:val="1"/>
      <w:numFmt w:val="bullet"/>
      <w:lvlText w:val=""/>
      <w:lvlJc w:val="left"/>
      <w:pPr>
        <w:ind w:left="2880" w:hanging="360"/>
      </w:pPr>
      <w:rPr>
        <w:rFonts w:ascii="Symbol" w:hAnsi="Symbol" w:hint="default"/>
      </w:rPr>
    </w:lvl>
    <w:lvl w:ilvl="4" w:tplc="EEF829E6" w:tentative="1">
      <w:start w:val="1"/>
      <w:numFmt w:val="bullet"/>
      <w:lvlText w:val="o"/>
      <w:lvlJc w:val="left"/>
      <w:pPr>
        <w:ind w:left="3600" w:hanging="360"/>
      </w:pPr>
      <w:rPr>
        <w:rFonts w:ascii="Courier New" w:hAnsi="Courier New" w:cs="Courier New" w:hint="default"/>
      </w:rPr>
    </w:lvl>
    <w:lvl w:ilvl="5" w:tplc="A8AA3280" w:tentative="1">
      <w:start w:val="1"/>
      <w:numFmt w:val="bullet"/>
      <w:lvlText w:val=""/>
      <w:lvlJc w:val="left"/>
      <w:pPr>
        <w:ind w:left="4320" w:hanging="360"/>
      </w:pPr>
      <w:rPr>
        <w:rFonts w:ascii="Wingdings" w:hAnsi="Wingdings" w:hint="default"/>
      </w:rPr>
    </w:lvl>
    <w:lvl w:ilvl="6" w:tplc="D968F79C" w:tentative="1">
      <w:start w:val="1"/>
      <w:numFmt w:val="bullet"/>
      <w:lvlText w:val=""/>
      <w:lvlJc w:val="left"/>
      <w:pPr>
        <w:ind w:left="5040" w:hanging="360"/>
      </w:pPr>
      <w:rPr>
        <w:rFonts w:ascii="Symbol" w:hAnsi="Symbol" w:hint="default"/>
      </w:rPr>
    </w:lvl>
    <w:lvl w:ilvl="7" w:tplc="B22E01D0" w:tentative="1">
      <w:start w:val="1"/>
      <w:numFmt w:val="bullet"/>
      <w:lvlText w:val="o"/>
      <w:lvlJc w:val="left"/>
      <w:pPr>
        <w:ind w:left="5760" w:hanging="360"/>
      </w:pPr>
      <w:rPr>
        <w:rFonts w:ascii="Courier New" w:hAnsi="Courier New" w:cs="Courier New" w:hint="default"/>
      </w:rPr>
    </w:lvl>
    <w:lvl w:ilvl="8" w:tplc="CEAC1A08" w:tentative="1">
      <w:start w:val="1"/>
      <w:numFmt w:val="bullet"/>
      <w:lvlText w:val=""/>
      <w:lvlJc w:val="left"/>
      <w:pPr>
        <w:ind w:left="6480" w:hanging="360"/>
      </w:pPr>
      <w:rPr>
        <w:rFonts w:ascii="Wingdings" w:hAnsi="Wingdings" w:hint="default"/>
      </w:rPr>
    </w:lvl>
  </w:abstractNum>
  <w:abstractNum w:abstractNumId="2">
    <w:nsid w:val="051B7A25"/>
    <w:multiLevelType w:val="hybridMultilevel"/>
    <w:tmpl w:val="906E5FE2"/>
    <w:lvl w:ilvl="0" w:tplc="F2BA7E5A">
      <w:start w:val="1"/>
      <w:numFmt w:val="bullet"/>
      <w:lvlText w:val="-"/>
      <w:lvlJc w:val="left"/>
      <w:pPr>
        <w:tabs>
          <w:tab w:val="num" w:pos="964"/>
        </w:tabs>
        <w:ind w:left="964" w:hanging="397"/>
      </w:pPr>
      <w:rPr>
        <w:rFonts w:ascii="Arial" w:eastAsia="Times New Roman" w:hAnsi="Arial" w:hint="default"/>
        <w:color w:val="auto"/>
      </w:rPr>
    </w:lvl>
    <w:lvl w:ilvl="1" w:tplc="A4667C1E">
      <w:start w:val="1"/>
      <w:numFmt w:val="bullet"/>
      <w:lvlText w:val=""/>
      <w:lvlJc w:val="left"/>
      <w:pPr>
        <w:tabs>
          <w:tab w:val="num" w:pos="2160"/>
        </w:tabs>
        <w:ind w:left="2160" w:hanging="360"/>
      </w:pPr>
      <w:rPr>
        <w:rFonts w:ascii="Symbol" w:hAnsi="Symbol" w:hint="default"/>
        <w:color w:val="auto"/>
      </w:rPr>
    </w:lvl>
    <w:lvl w:ilvl="2" w:tplc="F85ED6F4">
      <w:start w:val="1"/>
      <w:numFmt w:val="lowerRoman"/>
      <w:lvlText w:val="%3."/>
      <w:lvlJc w:val="right"/>
      <w:pPr>
        <w:tabs>
          <w:tab w:val="num" w:pos="2880"/>
        </w:tabs>
        <w:ind w:left="2880" w:hanging="180"/>
      </w:pPr>
    </w:lvl>
    <w:lvl w:ilvl="3" w:tplc="CA1079D2">
      <w:start w:val="1"/>
      <w:numFmt w:val="decimal"/>
      <w:lvlText w:val="%4."/>
      <w:lvlJc w:val="left"/>
      <w:pPr>
        <w:tabs>
          <w:tab w:val="num" w:pos="3600"/>
        </w:tabs>
        <w:ind w:left="3600" w:hanging="360"/>
      </w:pPr>
    </w:lvl>
    <w:lvl w:ilvl="4" w:tplc="E23EF3DA">
      <w:start w:val="1"/>
      <w:numFmt w:val="lowerLetter"/>
      <w:lvlText w:val="%5."/>
      <w:lvlJc w:val="left"/>
      <w:pPr>
        <w:tabs>
          <w:tab w:val="num" w:pos="4320"/>
        </w:tabs>
        <w:ind w:left="4320" w:hanging="360"/>
      </w:pPr>
    </w:lvl>
    <w:lvl w:ilvl="5" w:tplc="B616DFD6">
      <w:start w:val="1"/>
      <w:numFmt w:val="lowerRoman"/>
      <w:lvlText w:val="%6."/>
      <w:lvlJc w:val="right"/>
      <w:pPr>
        <w:tabs>
          <w:tab w:val="num" w:pos="5040"/>
        </w:tabs>
        <w:ind w:left="5040" w:hanging="180"/>
      </w:pPr>
    </w:lvl>
    <w:lvl w:ilvl="6" w:tplc="C4D4A01C">
      <w:start w:val="1"/>
      <w:numFmt w:val="decimal"/>
      <w:lvlText w:val="%7."/>
      <w:lvlJc w:val="left"/>
      <w:pPr>
        <w:tabs>
          <w:tab w:val="num" w:pos="5760"/>
        </w:tabs>
        <w:ind w:left="5760" w:hanging="360"/>
      </w:pPr>
    </w:lvl>
    <w:lvl w:ilvl="7" w:tplc="D5607182">
      <w:start w:val="1"/>
      <w:numFmt w:val="lowerLetter"/>
      <w:lvlText w:val="%8."/>
      <w:lvlJc w:val="left"/>
      <w:pPr>
        <w:tabs>
          <w:tab w:val="num" w:pos="6480"/>
        </w:tabs>
        <w:ind w:left="6480" w:hanging="360"/>
      </w:pPr>
    </w:lvl>
    <w:lvl w:ilvl="8" w:tplc="E0EEBBC4">
      <w:start w:val="1"/>
      <w:numFmt w:val="lowerRoman"/>
      <w:lvlText w:val="%9."/>
      <w:lvlJc w:val="right"/>
      <w:pPr>
        <w:tabs>
          <w:tab w:val="num" w:pos="7200"/>
        </w:tabs>
        <w:ind w:left="7200" w:hanging="180"/>
      </w:pPr>
    </w:lvl>
  </w:abstractNum>
  <w:abstractNum w:abstractNumId="3">
    <w:nsid w:val="06CD29E3"/>
    <w:multiLevelType w:val="multilevel"/>
    <w:tmpl w:val="18BE88D2"/>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493B94"/>
    <w:multiLevelType w:val="hybridMultilevel"/>
    <w:tmpl w:val="A282FF72"/>
    <w:lvl w:ilvl="0" w:tplc="8ED4C218">
      <w:start w:val="1"/>
      <w:numFmt w:val="bullet"/>
      <w:lvlText w:val=""/>
      <w:lvlJc w:val="left"/>
      <w:pPr>
        <w:ind w:left="360" w:hanging="360"/>
      </w:pPr>
      <w:rPr>
        <w:rFonts w:ascii="Symbol" w:hAnsi="Symbol" w:hint="default"/>
      </w:rPr>
    </w:lvl>
    <w:lvl w:ilvl="1" w:tplc="BAB68DA6" w:tentative="1">
      <w:start w:val="1"/>
      <w:numFmt w:val="bullet"/>
      <w:lvlText w:val="o"/>
      <w:lvlJc w:val="left"/>
      <w:pPr>
        <w:ind w:left="1080" w:hanging="360"/>
      </w:pPr>
      <w:rPr>
        <w:rFonts w:ascii="Courier New" w:hAnsi="Courier New" w:cs="Courier New" w:hint="default"/>
      </w:rPr>
    </w:lvl>
    <w:lvl w:ilvl="2" w:tplc="AA6C98EE" w:tentative="1">
      <w:start w:val="1"/>
      <w:numFmt w:val="bullet"/>
      <w:lvlText w:val=""/>
      <w:lvlJc w:val="left"/>
      <w:pPr>
        <w:ind w:left="1800" w:hanging="360"/>
      </w:pPr>
      <w:rPr>
        <w:rFonts w:ascii="Wingdings" w:hAnsi="Wingdings" w:hint="default"/>
      </w:rPr>
    </w:lvl>
    <w:lvl w:ilvl="3" w:tplc="625C018A" w:tentative="1">
      <w:start w:val="1"/>
      <w:numFmt w:val="bullet"/>
      <w:lvlText w:val=""/>
      <w:lvlJc w:val="left"/>
      <w:pPr>
        <w:ind w:left="2520" w:hanging="360"/>
      </w:pPr>
      <w:rPr>
        <w:rFonts w:ascii="Symbol" w:hAnsi="Symbol" w:hint="default"/>
      </w:rPr>
    </w:lvl>
    <w:lvl w:ilvl="4" w:tplc="42DC655E" w:tentative="1">
      <w:start w:val="1"/>
      <w:numFmt w:val="bullet"/>
      <w:lvlText w:val="o"/>
      <w:lvlJc w:val="left"/>
      <w:pPr>
        <w:ind w:left="3240" w:hanging="360"/>
      </w:pPr>
      <w:rPr>
        <w:rFonts w:ascii="Courier New" w:hAnsi="Courier New" w:cs="Courier New" w:hint="default"/>
      </w:rPr>
    </w:lvl>
    <w:lvl w:ilvl="5" w:tplc="21C254A2" w:tentative="1">
      <w:start w:val="1"/>
      <w:numFmt w:val="bullet"/>
      <w:lvlText w:val=""/>
      <w:lvlJc w:val="left"/>
      <w:pPr>
        <w:ind w:left="3960" w:hanging="360"/>
      </w:pPr>
      <w:rPr>
        <w:rFonts w:ascii="Wingdings" w:hAnsi="Wingdings" w:hint="default"/>
      </w:rPr>
    </w:lvl>
    <w:lvl w:ilvl="6" w:tplc="4E7AFFA4" w:tentative="1">
      <w:start w:val="1"/>
      <w:numFmt w:val="bullet"/>
      <w:lvlText w:val=""/>
      <w:lvlJc w:val="left"/>
      <w:pPr>
        <w:ind w:left="4680" w:hanging="360"/>
      </w:pPr>
      <w:rPr>
        <w:rFonts w:ascii="Symbol" w:hAnsi="Symbol" w:hint="default"/>
      </w:rPr>
    </w:lvl>
    <w:lvl w:ilvl="7" w:tplc="C504C8A8" w:tentative="1">
      <w:start w:val="1"/>
      <w:numFmt w:val="bullet"/>
      <w:lvlText w:val="o"/>
      <w:lvlJc w:val="left"/>
      <w:pPr>
        <w:ind w:left="5400" w:hanging="360"/>
      </w:pPr>
      <w:rPr>
        <w:rFonts w:ascii="Courier New" w:hAnsi="Courier New" w:cs="Courier New" w:hint="default"/>
      </w:rPr>
    </w:lvl>
    <w:lvl w:ilvl="8" w:tplc="6B5AF658" w:tentative="1">
      <w:start w:val="1"/>
      <w:numFmt w:val="bullet"/>
      <w:lvlText w:val=""/>
      <w:lvlJc w:val="left"/>
      <w:pPr>
        <w:ind w:left="6120" w:hanging="360"/>
      </w:pPr>
      <w:rPr>
        <w:rFonts w:ascii="Wingdings" w:hAnsi="Wingdings" w:hint="default"/>
      </w:rPr>
    </w:lvl>
  </w:abstractNum>
  <w:abstractNum w:abstractNumId="5">
    <w:nsid w:val="09BD4B5B"/>
    <w:multiLevelType w:val="hybridMultilevel"/>
    <w:tmpl w:val="4C2E0A68"/>
    <w:lvl w:ilvl="0" w:tplc="D34CAA12">
      <w:start w:val="1"/>
      <w:numFmt w:val="bullet"/>
      <w:lvlText w:val=""/>
      <w:lvlJc w:val="left"/>
      <w:pPr>
        <w:ind w:left="720" w:hanging="360"/>
      </w:pPr>
      <w:rPr>
        <w:rFonts w:ascii="Symbol" w:hAnsi="Symbol" w:hint="default"/>
      </w:rPr>
    </w:lvl>
    <w:lvl w:ilvl="1" w:tplc="1FAA45E6" w:tentative="1">
      <w:start w:val="1"/>
      <w:numFmt w:val="bullet"/>
      <w:lvlText w:val="o"/>
      <w:lvlJc w:val="left"/>
      <w:pPr>
        <w:ind w:left="1440" w:hanging="360"/>
      </w:pPr>
      <w:rPr>
        <w:rFonts w:ascii="Courier New" w:hAnsi="Courier New" w:cs="Courier New" w:hint="default"/>
      </w:rPr>
    </w:lvl>
    <w:lvl w:ilvl="2" w:tplc="100C100A" w:tentative="1">
      <w:start w:val="1"/>
      <w:numFmt w:val="bullet"/>
      <w:lvlText w:val=""/>
      <w:lvlJc w:val="left"/>
      <w:pPr>
        <w:ind w:left="2160" w:hanging="360"/>
      </w:pPr>
      <w:rPr>
        <w:rFonts w:ascii="Wingdings" w:hAnsi="Wingdings" w:hint="default"/>
      </w:rPr>
    </w:lvl>
    <w:lvl w:ilvl="3" w:tplc="B0923F12" w:tentative="1">
      <w:start w:val="1"/>
      <w:numFmt w:val="bullet"/>
      <w:lvlText w:val=""/>
      <w:lvlJc w:val="left"/>
      <w:pPr>
        <w:ind w:left="2880" w:hanging="360"/>
      </w:pPr>
      <w:rPr>
        <w:rFonts w:ascii="Symbol" w:hAnsi="Symbol" w:hint="default"/>
      </w:rPr>
    </w:lvl>
    <w:lvl w:ilvl="4" w:tplc="296A0F18" w:tentative="1">
      <w:start w:val="1"/>
      <w:numFmt w:val="bullet"/>
      <w:lvlText w:val="o"/>
      <w:lvlJc w:val="left"/>
      <w:pPr>
        <w:ind w:left="3600" w:hanging="360"/>
      </w:pPr>
      <w:rPr>
        <w:rFonts w:ascii="Courier New" w:hAnsi="Courier New" w:cs="Courier New" w:hint="default"/>
      </w:rPr>
    </w:lvl>
    <w:lvl w:ilvl="5" w:tplc="5C7ED90C" w:tentative="1">
      <w:start w:val="1"/>
      <w:numFmt w:val="bullet"/>
      <w:lvlText w:val=""/>
      <w:lvlJc w:val="left"/>
      <w:pPr>
        <w:ind w:left="4320" w:hanging="360"/>
      </w:pPr>
      <w:rPr>
        <w:rFonts w:ascii="Wingdings" w:hAnsi="Wingdings" w:hint="default"/>
      </w:rPr>
    </w:lvl>
    <w:lvl w:ilvl="6" w:tplc="2F98332C" w:tentative="1">
      <w:start w:val="1"/>
      <w:numFmt w:val="bullet"/>
      <w:lvlText w:val=""/>
      <w:lvlJc w:val="left"/>
      <w:pPr>
        <w:ind w:left="5040" w:hanging="360"/>
      </w:pPr>
      <w:rPr>
        <w:rFonts w:ascii="Symbol" w:hAnsi="Symbol" w:hint="default"/>
      </w:rPr>
    </w:lvl>
    <w:lvl w:ilvl="7" w:tplc="851AC246" w:tentative="1">
      <w:start w:val="1"/>
      <w:numFmt w:val="bullet"/>
      <w:lvlText w:val="o"/>
      <w:lvlJc w:val="left"/>
      <w:pPr>
        <w:ind w:left="5760" w:hanging="360"/>
      </w:pPr>
      <w:rPr>
        <w:rFonts w:ascii="Courier New" w:hAnsi="Courier New" w:cs="Courier New" w:hint="default"/>
      </w:rPr>
    </w:lvl>
    <w:lvl w:ilvl="8" w:tplc="A7AACF5E" w:tentative="1">
      <w:start w:val="1"/>
      <w:numFmt w:val="bullet"/>
      <w:lvlText w:val=""/>
      <w:lvlJc w:val="left"/>
      <w:pPr>
        <w:ind w:left="6480" w:hanging="360"/>
      </w:pPr>
      <w:rPr>
        <w:rFonts w:ascii="Wingdings" w:hAnsi="Wingdings" w:hint="default"/>
      </w:rPr>
    </w:lvl>
  </w:abstractNum>
  <w:abstractNum w:abstractNumId="6">
    <w:nsid w:val="0AA34E7F"/>
    <w:multiLevelType w:val="hybridMultilevel"/>
    <w:tmpl w:val="7750CF86"/>
    <w:lvl w:ilvl="0" w:tplc="6A50EBD8">
      <w:start w:val="1"/>
      <w:numFmt w:val="decimal"/>
      <w:lvlText w:val="19.%1."/>
      <w:lvlJc w:val="left"/>
      <w:pPr>
        <w:tabs>
          <w:tab w:val="num" w:pos="680"/>
        </w:tabs>
      </w:pPr>
      <w:rPr>
        <w:rFonts w:ascii="Arial" w:hAnsi="Arial" w:cs="Arial" w:hint="default"/>
        <w:b w:val="0"/>
        <w:bCs w:val="0"/>
        <w:i w:val="0"/>
        <w:sz w:val="20"/>
        <w:szCs w:val="20"/>
      </w:rPr>
    </w:lvl>
    <w:lvl w:ilvl="1" w:tplc="4EBC00F6">
      <w:start w:val="1"/>
      <w:numFmt w:val="lowerLetter"/>
      <w:lvlText w:val="%2."/>
      <w:lvlJc w:val="left"/>
      <w:pPr>
        <w:tabs>
          <w:tab w:val="num" w:pos="1440"/>
        </w:tabs>
        <w:ind w:left="1440" w:hanging="360"/>
      </w:pPr>
    </w:lvl>
    <w:lvl w:ilvl="2" w:tplc="1A7C6FD0">
      <w:start w:val="1"/>
      <w:numFmt w:val="lowerRoman"/>
      <w:lvlText w:val="%3."/>
      <w:lvlJc w:val="right"/>
      <w:pPr>
        <w:tabs>
          <w:tab w:val="num" w:pos="2160"/>
        </w:tabs>
        <w:ind w:left="2160" w:hanging="180"/>
      </w:pPr>
    </w:lvl>
    <w:lvl w:ilvl="3" w:tplc="20662B04">
      <w:start w:val="1"/>
      <w:numFmt w:val="decimal"/>
      <w:lvlText w:val="%4."/>
      <w:lvlJc w:val="left"/>
      <w:pPr>
        <w:tabs>
          <w:tab w:val="num" w:pos="2880"/>
        </w:tabs>
        <w:ind w:left="2880" w:hanging="360"/>
      </w:pPr>
    </w:lvl>
    <w:lvl w:ilvl="4" w:tplc="AC8E65A4">
      <w:start w:val="1"/>
      <w:numFmt w:val="lowerLetter"/>
      <w:lvlText w:val="%5."/>
      <w:lvlJc w:val="left"/>
      <w:pPr>
        <w:tabs>
          <w:tab w:val="num" w:pos="3600"/>
        </w:tabs>
        <w:ind w:left="3600" w:hanging="360"/>
      </w:pPr>
    </w:lvl>
    <w:lvl w:ilvl="5" w:tplc="A5AE7AEC">
      <w:start w:val="1"/>
      <w:numFmt w:val="lowerRoman"/>
      <w:lvlText w:val="%6."/>
      <w:lvlJc w:val="right"/>
      <w:pPr>
        <w:tabs>
          <w:tab w:val="num" w:pos="4320"/>
        </w:tabs>
        <w:ind w:left="4320" w:hanging="180"/>
      </w:pPr>
    </w:lvl>
    <w:lvl w:ilvl="6" w:tplc="2B5A9088">
      <w:start w:val="1"/>
      <w:numFmt w:val="decimal"/>
      <w:lvlText w:val="%7."/>
      <w:lvlJc w:val="left"/>
      <w:pPr>
        <w:tabs>
          <w:tab w:val="num" w:pos="5040"/>
        </w:tabs>
        <w:ind w:left="5040" w:hanging="360"/>
      </w:pPr>
    </w:lvl>
    <w:lvl w:ilvl="7" w:tplc="1AEE62F4">
      <w:start w:val="1"/>
      <w:numFmt w:val="lowerLetter"/>
      <w:lvlText w:val="%8."/>
      <w:lvlJc w:val="left"/>
      <w:pPr>
        <w:tabs>
          <w:tab w:val="num" w:pos="5760"/>
        </w:tabs>
        <w:ind w:left="5760" w:hanging="360"/>
      </w:pPr>
    </w:lvl>
    <w:lvl w:ilvl="8" w:tplc="A3521504">
      <w:start w:val="1"/>
      <w:numFmt w:val="lowerRoman"/>
      <w:lvlText w:val="%9."/>
      <w:lvlJc w:val="right"/>
      <w:pPr>
        <w:tabs>
          <w:tab w:val="num" w:pos="6480"/>
        </w:tabs>
        <w:ind w:left="6480" w:hanging="180"/>
      </w:pPr>
    </w:lvl>
  </w:abstractNum>
  <w:abstractNum w:abstractNumId="7">
    <w:nsid w:val="0B2672DB"/>
    <w:multiLevelType w:val="hybridMultilevel"/>
    <w:tmpl w:val="2F425B20"/>
    <w:lvl w:ilvl="0" w:tplc="798EC892">
      <w:start w:val="1"/>
      <w:numFmt w:val="bullet"/>
      <w:lvlText w:val=""/>
      <w:lvlJc w:val="left"/>
      <w:pPr>
        <w:ind w:left="360" w:hanging="360"/>
      </w:pPr>
      <w:rPr>
        <w:rFonts w:ascii="Symbol" w:hAnsi="Symbol" w:hint="default"/>
      </w:rPr>
    </w:lvl>
    <w:lvl w:ilvl="1" w:tplc="2AE87B72" w:tentative="1">
      <w:start w:val="1"/>
      <w:numFmt w:val="bullet"/>
      <w:lvlText w:val="o"/>
      <w:lvlJc w:val="left"/>
      <w:pPr>
        <w:ind w:left="1080" w:hanging="360"/>
      </w:pPr>
      <w:rPr>
        <w:rFonts w:ascii="Courier New" w:hAnsi="Courier New" w:cs="Courier New" w:hint="default"/>
      </w:rPr>
    </w:lvl>
    <w:lvl w:ilvl="2" w:tplc="429CDE02" w:tentative="1">
      <w:start w:val="1"/>
      <w:numFmt w:val="bullet"/>
      <w:lvlText w:val=""/>
      <w:lvlJc w:val="left"/>
      <w:pPr>
        <w:ind w:left="1800" w:hanging="360"/>
      </w:pPr>
      <w:rPr>
        <w:rFonts w:ascii="Wingdings" w:hAnsi="Wingdings" w:hint="default"/>
      </w:rPr>
    </w:lvl>
    <w:lvl w:ilvl="3" w:tplc="89EA6B2A" w:tentative="1">
      <w:start w:val="1"/>
      <w:numFmt w:val="bullet"/>
      <w:lvlText w:val=""/>
      <w:lvlJc w:val="left"/>
      <w:pPr>
        <w:ind w:left="2520" w:hanging="360"/>
      </w:pPr>
      <w:rPr>
        <w:rFonts w:ascii="Symbol" w:hAnsi="Symbol" w:hint="default"/>
      </w:rPr>
    </w:lvl>
    <w:lvl w:ilvl="4" w:tplc="B9045F56" w:tentative="1">
      <w:start w:val="1"/>
      <w:numFmt w:val="bullet"/>
      <w:lvlText w:val="o"/>
      <w:lvlJc w:val="left"/>
      <w:pPr>
        <w:ind w:left="3240" w:hanging="360"/>
      </w:pPr>
      <w:rPr>
        <w:rFonts w:ascii="Courier New" w:hAnsi="Courier New" w:cs="Courier New" w:hint="default"/>
      </w:rPr>
    </w:lvl>
    <w:lvl w:ilvl="5" w:tplc="03F8AE22" w:tentative="1">
      <w:start w:val="1"/>
      <w:numFmt w:val="bullet"/>
      <w:lvlText w:val=""/>
      <w:lvlJc w:val="left"/>
      <w:pPr>
        <w:ind w:left="3960" w:hanging="360"/>
      </w:pPr>
      <w:rPr>
        <w:rFonts w:ascii="Wingdings" w:hAnsi="Wingdings" w:hint="default"/>
      </w:rPr>
    </w:lvl>
    <w:lvl w:ilvl="6" w:tplc="C980BECA" w:tentative="1">
      <w:start w:val="1"/>
      <w:numFmt w:val="bullet"/>
      <w:lvlText w:val=""/>
      <w:lvlJc w:val="left"/>
      <w:pPr>
        <w:ind w:left="4680" w:hanging="360"/>
      </w:pPr>
      <w:rPr>
        <w:rFonts w:ascii="Symbol" w:hAnsi="Symbol" w:hint="default"/>
      </w:rPr>
    </w:lvl>
    <w:lvl w:ilvl="7" w:tplc="E6562B00" w:tentative="1">
      <w:start w:val="1"/>
      <w:numFmt w:val="bullet"/>
      <w:lvlText w:val="o"/>
      <w:lvlJc w:val="left"/>
      <w:pPr>
        <w:ind w:left="5400" w:hanging="360"/>
      </w:pPr>
      <w:rPr>
        <w:rFonts w:ascii="Courier New" w:hAnsi="Courier New" w:cs="Courier New" w:hint="default"/>
      </w:rPr>
    </w:lvl>
    <w:lvl w:ilvl="8" w:tplc="FD927B38" w:tentative="1">
      <w:start w:val="1"/>
      <w:numFmt w:val="bullet"/>
      <w:lvlText w:val=""/>
      <w:lvlJc w:val="left"/>
      <w:pPr>
        <w:ind w:left="6120" w:hanging="360"/>
      </w:pPr>
      <w:rPr>
        <w:rFonts w:ascii="Wingdings" w:hAnsi="Wingdings" w:hint="default"/>
      </w:rPr>
    </w:lvl>
  </w:abstractNum>
  <w:abstractNum w:abstractNumId="8">
    <w:nsid w:val="0B4C02D6"/>
    <w:multiLevelType w:val="hybridMultilevel"/>
    <w:tmpl w:val="33F80932"/>
    <w:lvl w:ilvl="0" w:tplc="FDCAF92A">
      <w:start w:val="1"/>
      <w:numFmt w:val="decimal"/>
      <w:lvlText w:val="5.%1."/>
      <w:lvlJc w:val="left"/>
      <w:pPr>
        <w:ind w:left="720" w:hanging="360"/>
      </w:pPr>
      <w:rPr>
        <w:rFonts w:hint="default"/>
      </w:rPr>
    </w:lvl>
    <w:lvl w:ilvl="1" w:tplc="8326A77E" w:tentative="1">
      <w:start w:val="1"/>
      <w:numFmt w:val="lowerLetter"/>
      <w:lvlText w:val="%2."/>
      <w:lvlJc w:val="left"/>
      <w:pPr>
        <w:ind w:left="1440" w:hanging="360"/>
      </w:pPr>
    </w:lvl>
    <w:lvl w:ilvl="2" w:tplc="38E64BA2" w:tentative="1">
      <w:start w:val="1"/>
      <w:numFmt w:val="lowerRoman"/>
      <w:lvlText w:val="%3."/>
      <w:lvlJc w:val="right"/>
      <w:pPr>
        <w:ind w:left="2160" w:hanging="180"/>
      </w:pPr>
    </w:lvl>
    <w:lvl w:ilvl="3" w:tplc="E654B454" w:tentative="1">
      <w:start w:val="1"/>
      <w:numFmt w:val="decimal"/>
      <w:lvlText w:val="%4."/>
      <w:lvlJc w:val="left"/>
      <w:pPr>
        <w:ind w:left="2880" w:hanging="360"/>
      </w:pPr>
    </w:lvl>
    <w:lvl w:ilvl="4" w:tplc="B0D0A7F8" w:tentative="1">
      <w:start w:val="1"/>
      <w:numFmt w:val="lowerLetter"/>
      <w:lvlText w:val="%5."/>
      <w:lvlJc w:val="left"/>
      <w:pPr>
        <w:ind w:left="3600" w:hanging="360"/>
      </w:pPr>
    </w:lvl>
    <w:lvl w:ilvl="5" w:tplc="70029E34" w:tentative="1">
      <w:start w:val="1"/>
      <w:numFmt w:val="lowerRoman"/>
      <w:lvlText w:val="%6."/>
      <w:lvlJc w:val="right"/>
      <w:pPr>
        <w:ind w:left="4320" w:hanging="180"/>
      </w:pPr>
    </w:lvl>
    <w:lvl w:ilvl="6" w:tplc="C3565670" w:tentative="1">
      <w:start w:val="1"/>
      <w:numFmt w:val="decimal"/>
      <w:lvlText w:val="%7."/>
      <w:lvlJc w:val="left"/>
      <w:pPr>
        <w:ind w:left="5040" w:hanging="360"/>
      </w:pPr>
    </w:lvl>
    <w:lvl w:ilvl="7" w:tplc="8D7426E4" w:tentative="1">
      <w:start w:val="1"/>
      <w:numFmt w:val="lowerLetter"/>
      <w:lvlText w:val="%8."/>
      <w:lvlJc w:val="left"/>
      <w:pPr>
        <w:ind w:left="5760" w:hanging="360"/>
      </w:pPr>
    </w:lvl>
    <w:lvl w:ilvl="8" w:tplc="57EEC6A6" w:tentative="1">
      <w:start w:val="1"/>
      <w:numFmt w:val="lowerRoman"/>
      <w:lvlText w:val="%9."/>
      <w:lvlJc w:val="right"/>
      <w:pPr>
        <w:ind w:left="6480" w:hanging="180"/>
      </w:pPr>
    </w:lvl>
  </w:abstractNum>
  <w:abstractNum w:abstractNumId="9">
    <w:nsid w:val="112C748A"/>
    <w:multiLevelType w:val="hybridMultilevel"/>
    <w:tmpl w:val="52448A44"/>
    <w:lvl w:ilvl="0" w:tplc="C4D232B4">
      <w:start w:val="1"/>
      <w:numFmt w:val="bullet"/>
      <w:lvlText w:val=""/>
      <w:lvlJc w:val="left"/>
      <w:pPr>
        <w:ind w:left="720" w:hanging="360"/>
      </w:pPr>
      <w:rPr>
        <w:rFonts w:ascii="Symbol" w:hAnsi="Symbol" w:hint="default"/>
      </w:rPr>
    </w:lvl>
    <w:lvl w:ilvl="1" w:tplc="6E32D3B4" w:tentative="1">
      <w:start w:val="1"/>
      <w:numFmt w:val="bullet"/>
      <w:lvlText w:val="o"/>
      <w:lvlJc w:val="left"/>
      <w:pPr>
        <w:ind w:left="1440" w:hanging="360"/>
      </w:pPr>
      <w:rPr>
        <w:rFonts w:ascii="Courier New" w:hAnsi="Courier New" w:cs="Courier New" w:hint="default"/>
      </w:rPr>
    </w:lvl>
    <w:lvl w:ilvl="2" w:tplc="4CDE484A" w:tentative="1">
      <w:start w:val="1"/>
      <w:numFmt w:val="bullet"/>
      <w:lvlText w:val=""/>
      <w:lvlJc w:val="left"/>
      <w:pPr>
        <w:ind w:left="2160" w:hanging="360"/>
      </w:pPr>
      <w:rPr>
        <w:rFonts w:ascii="Wingdings" w:hAnsi="Wingdings" w:hint="default"/>
      </w:rPr>
    </w:lvl>
    <w:lvl w:ilvl="3" w:tplc="AC049578" w:tentative="1">
      <w:start w:val="1"/>
      <w:numFmt w:val="bullet"/>
      <w:lvlText w:val=""/>
      <w:lvlJc w:val="left"/>
      <w:pPr>
        <w:ind w:left="2880" w:hanging="360"/>
      </w:pPr>
      <w:rPr>
        <w:rFonts w:ascii="Symbol" w:hAnsi="Symbol" w:hint="default"/>
      </w:rPr>
    </w:lvl>
    <w:lvl w:ilvl="4" w:tplc="B594A146" w:tentative="1">
      <w:start w:val="1"/>
      <w:numFmt w:val="bullet"/>
      <w:lvlText w:val="o"/>
      <w:lvlJc w:val="left"/>
      <w:pPr>
        <w:ind w:left="3600" w:hanging="360"/>
      </w:pPr>
      <w:rPr>
        <w:rFonts w:ascii="Courier New" w:hAnsi="Courier New" w:cs="Courier New" w:hint="default"/>
      </w:rPr>
    </w:lvl>
    <w:lvl w:ilvl="5" w:tplc="74EC00B6" w:tentative="1">
      <w:start w:val="1"/>
      <w:numFmt w:val="bullet"/>
      <w:lvlText w:val=""/>
      <w:lvlJc w:val="left"/>
      <w:pPr>
        <w:ind w:left="4320" w:hanging="360"/>
      </w:pPr>
      <w:rPr>
        <w:rFonts w:ascii="Wingdings" w:hAnsi="Wingdings" w:hint="default"/>
      </w:rPr>
    </w:lvl>
    <w:lvl w:ilvl="6" w:tplc="97DEB80E" w:tentative="1">
      <w:start w:val="1"/>
      <w:numFmt w:val="bullet"/>
      <w:lvlText w:val=""/>
      <w:lvlJc w:val="left"/>
      <w:pPr>
        <w:ind w:left="5040" w:hanging="360"/>
      </w:pPr>
      <w:rPr>
        <w:rFonts w:ascii="Symbol" w:hAnsi="Symbol" w:hint="default"/>
      </w:rPr>
    </w:lvl>
    <w:lvl w:ilvl="7" w:tplc="A23C4D56" w:tentative="1">
      <w:start w:val="1"/>
      <w:numFmt w:val="bullet"/>
      <w:lvlText w:val="o"/>
      <w:lvlJc w:val="left"/>
      <w:pPr>
        <w:ind w:left="5760" w:hanging="360"/>
      </w:pPr>
      <w:rPr>
        <w:rFonts w:ascii="Courier New" w:hAnsi="Courier New" w:cs="Courier New" w:hint="default"/>
      </w:rPr>
    </w:lvl>
    <w:lvl w:ilvl="8" w:tplc="5FCA3166" w:tentative="1">
      <w:start w:val="1"/>
      <w:numFmt w:val="bullet"/>
      <w:lvlText w:val=""/>
      <w:lvlJc w:val="left"/>
      <w:pPr>
        <w:ind w:left="6480" w:hanging="360"/>
      </w:pPr>
      <w:rPr>
        <w:rFonts w:ascii="Wingdings" w:hAnsi="Wingdings" w:hint="default"/>
      </w:rPr>
    </w:lvl>
  </w:abstractNum>
  <w:abstractNum w:abstractNumId="10">
    <w:nsid w:val="125325CA"/>
    <w:multiLevelType w:val="hybridMultilevel"/>
    <w:tmpl w:val="34CE2BC2"/>
    <w:lvl w:ilvl="0" w:tplc="5A54A80A">
      <w:start w:val="1"/>
      <w:numFmt w:val="bullet"/>
      <w:lvlText w:val=""/>
      <w:lvlJc w:val="left"/>
      <w:pPr>
        <w:ind w:left="360" w:hanging="360"/>
      </w:pPr>
      <w:rPr>
        <w:rFonts w:ascii="Symbol" w:hAnsi="Symbol" w:hint="default"/>
      </w:rPr>
    </w:lvl>
    <w:lvl w:ilvl="1" w:tplc="F2C87DD0" w:tentative="1">
      <w:start w:val="1"/>
      <w:numFmt w:val="bullet"/>
      <w:lvlText w:val="o"/>
      <w:lvlJc w:val="left"/>
      <w:pPr>
        <w:ind w:left="1080" w:hanging="360"/>
      </w:pPr>
      <w:rPr>
        <w:rFonts w:ascii="Courier New" w:hAnsi="Courier New" w:cs="Courier New" w:hint="default"/>
      </w:rPr>
    </w:lvl>
    <w:lvl w:ilvl="2" w:tplc="1D9EAF6A" w:tentative="1">
      <w:start w:val="1"/>
      <w:numFmt w:val="bullet"/>
      <w:lvlText w:val=""/>
      <w:lvlJc w:val="left"/>
      <w:pPr>
        <w:ind w:left="1800" w:hanging="360"/>
      </w:pPr>
      <w:rPr>
        <w:rFonts w:ascii="Wingdings" w:hAnsi="Wingdings" w:hint="default"/>
      </w:rPr>
    </w:lvl>
    <w:lvl w:ilvl="3" w:tplc="1DDCDEBE" w:tentative="1">
      <w:start w:val="1"/>
      <w:numFmt w:val="bullet"/>
      <w:lvlText w:val=""/>
      <w:lvlJc w:val="left"/>
      <w:pPr>
        <w:ind w:left="2520" w:hanging="360"/>
      </w:pPr>
      <w:rPr>
        <w:rFonts w:ascii="Symbol" w:hAnsi="Symbol" w:hint="default"/>
      </w:rPr>
    </w:lvl>
    <w:lvl w:ilvl="4" w:tplc="C9403EEE" w:tentative="1">
      <w:start w:val="1"/>
      <w:numFmt w:val="bullet"/>
      <w:lvlText w:val="o"/>
      <w:lvlJc w:val="left"/>
      <w:pPr>
        <w:ind w:left="3240" w:hanging="360"/>
      </w:pPr>
      <w:rPr>
        <w:rFonts w:ascii="Courier New" w:hAnsi="Courier New" w:cs="Courier New" w:hint="default"/>
      </w:rPr>
    </w:lvl>
    <w:lvl w:ilvl="5" w:tplc="8B18937C" w:tentative="1">
      <w:start w:val="1"/>
      <w:numFmt w:val="bullet"/>
      <w:lvlText w:val=""/>
      <w:lvlJc w:val="left"/>
      <w:pPr>
        <w:ind w:left="3960" w:hanging="360"/>
      </w:pPr>
      <w:rPr>
        <w:rFonts w:ascii="Wingdings" w:hAnsi="Wingdings" w:hint="default"/>
      </w:rPr>
    </w:lvl>
    <w:lvl w:ilvl="6" w:tplc="7876CFE2" w:tentative="1">
      <w:start w:val="1"/>
      <w:numFmt w:val="bullet"/>
      <w:lvlText w:val=""/>
      <w:lvlJc w:val="left"/>
      <w:pPr>
        <w:ind w:left="4680" w:hanging="360"/>
      </w:pPr>
      <w:rPr>
        <w:rFonts w:ascii="Symbol" w:hAnsi="Symbol" w:hint="default"/>
      </w:rPr>
    </w:lvl>
    <w:lvl w:ilvl="7" w:tplc="A08EF32E" w:tentative="1">
      <w:start w:val="1"/>
      <w:numFmt w:val="bullet"/>
      <w:lvlText w:val="o"/>
      <w:lvlJc w:val="left"/>
      <w:pPr>
        <w:ind w:left="5400" w:hanging="360"/>
      </w:pPr>
      <w:rPr>
        <w:rFonts w:ascii="Courier New" w:hAnsi="Courier New" w:cs="Courier New" w:hint="default"/>
      </w:rPr>
    </w:lvl>
    <w:lvl w:ilvl="8" w:tplc="DD06DA38" w:tentative="1">
      <w:start w:val="1"/>
      <w:numFmt w:val="bullet"/>
      <w:lvlText w:val=""/>
      <w:lvlJc w:val="left"/>
      <w:pPr>
        <w:ind w:left="6120" w:hanging="360"/>
      </w:pPr>
      <w:rPr>
        <w:rFonts w:ascii="Wingdings" w:hAnsi="Wingdings" w:hint="default"/>
      </w:rPr>
    </w:lvl>
  </w:abstractNum>
  <w:abstractNum w:abstractNumId="11">
    <w:nsid w:val="13636494"/>
    <w:multiLevelType w:val="hybridMultilevel"/>
    <w:tmpl w:val="902688C6"/>
    <w:lvl w:ilvl="0" w:tplc="5C2EEEE4">
      <w:start w:val="1"/>
      <w:numFmt w:val="lowerLetter"/>
      <w:lvlText w:val="%1)"/>
      <w:lvlJc w:val="left"/>
      <w:pPr>
        <w:ind w:left="1080" w:hanging="720"/>
      </w:pPr>
      <w:rPr>
        <w:rFonts w:hint="default"/>
      </w:rPr>
    </w:lvl>
    <w:lvl w:ilvl="1" w:tplc="5B7C0DA6" w:tentative="1">
      <w:start w:val="1"/>
      <w:numFmt w:val="lowerLetter"/>
      <w:lvlText w:val="%2."/>
      <w:lvlJc w:val="left"/>
      <w:pPr>
        <w:ind w:left="1440" w:hanging="360"/>
      </w:pPr>
    </w:lvl>
    <w:lvl w:ilvl="2" w:tplc="11E61C52" w:tentative="1">
      <w:start w:val="1"/>
      <w:numFmt w:val="lowerRoman"/>
      <w:lvlText w:val="%3."/>
      <w:lvlJc w:val="right"/>
      <w:pPr>
        <w:ind w:left="2160" w:hanging="180"/>
      </w:pPr>
    </w:lvl>
    <w:lvl w:ilvl="3" w:tplc="C404698A" w:tentative="1">
      <w:start w:val="1"/>
      <w:numFmt w:val="decimal"/>
      <w:lvlText w:val="%4."/>
      <w:lvlJc w:val="left"/>
      <w:pPr>
        <w:ind w:left="2880" w:hanging="360"/>
      </w:pPr>
    </w:lvl>
    <w:lvl w:ilvl="4" w:tplc="6E80B60A" w:tentative="1">
      <w:start w:val="1"/>
      <w:numFmt w:val="lowerLetter"/>
      <w:lvlText w:val="%5."/>
      <w:lvlJc w:val="left"/>
      <w:pPr>
        <w:ind w:left="3600" w:hanging="360"/>
      </w:pPr>
    </w:lvl>
    <w:lvl w:ilvl="5" w:tplc="1360C3A2" w:tentative="1">
      <w:start w:val="1"/>
      <w:numFmt w:val="lowerRoman"/>
      <w:lvlText w:val="%6."/>
      <w:lvlJc w:val="right"/>
      <w:pPr>
        <w:ind w:left="4320" w:hanging="180"/>
      </w:pPr>
    </w:lvl>
    <w:lvl w:ilvl="6" w:tplc="C7A232AC" w:tentative="1">
      <w:start w:val="1"/>
      <w:numFmt w:val="decimal"/>
      <w:lvlText w:val="%7."/>
      <w:lvlJc w:val="left"/>
      <w:pPr>
        <w:ind w:left="5040" w:hanging="360"/>
      </w:pPr>
    </w:lvl>
    <w:lvl w:ilvl="7" w:tplc="4ED2467E" w:tentative="1">
      <w:start w:val="1"/>
      <w:numFmt w:val="lowerLetter"/>
      <w:lvlText w:val="%8."/>
      <w:lvlJc w:val="left"/>
      <w:pPr>
        <w:ind w:left="5760" w:hanging="360"/>
      </w:pPr>
    </w:lvl>
    <w:lvl w:ilvl="8" w:tplc="DC2C08BC" w:tentative="1">
      <w:start w:val="1"/>
      <w:numFmt w:val="lowerRoman"/>
      <w:lvlText w:val="%9."/>
      <w:lvlJc w:val="right"/>
      <w:pPr>
        <w:ind w:left="6480" w:hanging="180"/>
      </w:pPr>
    </w:lvl>
  </w:abstractNum>
  <w:abstractNum w:abstractNumId="12">
    <w:nsid w:val="14437332"/>
    <w:multiLevelType w:val="hybridMultilevel"/>
    <w:tmpl w:val="0BAC38BA"/>
    <w:lvl w:ilvl="0" w:tplc="7F20939C">
      <w:start w:val="1"/>
      <w:numFmt w:val="bullet"/>
      <w:lvlText w:val=""/>
      <w:lvlJc w:val="left"/>
      <w:pPr>
        <w:ind w:left="720" w:hanging="360"/>
      </w:pPr>
      <w:rPr>
        <w:rFonts w:ascii="Symbol" w:hAnsi="Symbol" w:hint="default"/>
      </w:rPr>
    </w:lvl>
    <w:lvl w:ilvl="1" w:tplc="6B7847D4" w:tentative="1">
      <w:start w:val="1"/>
      <w:numFmt w:val="bullet"/>
      <w:lvlText w:val="o"/>
      <w:lvlJc w:val="left"/>
      <w:pPr>
        <w:ind w:left="1440" w:hanging="360"/>
      </w:pPr>
      <w:rPr>
        <w:rFonts w:ascii="Courier New" w:hAnsi="Courier New" w:cs="Courier New" w:hint="default"/>
      </w:rPr>
    </w:lvl>
    <w:lvl w:ilvl="2" w:tplc="E684D1DE" w:tentative="1">
      <w:start w:val="1"/>
      <w:numFmt w:val="bullet"/>
      <w:lvlText w:val=""/>
      <w:lvlJc w:val="left"/>
      <w:pPr>
        <w:ind w:left="2160" w:hanging="360"/>
      </w:pPr>
      <w:rPr>
        <w:rFonts w:ascii="Wingdings" w:hAnsi="Wingdings" w:hint="default"/>
      </w:rPr>
    </w:lvl>
    <w:lvl w:ilvl="3" w:tplc="A82C1308" w:tentative="1">
      <w:start w:val="1"/>
      <w:numFmt w:val="bullet"/>
      <w:lvlText w:val=""/>
      <w:lvlJc w:val="left"/>
      <w:pPr>
        <w:ind w:left="2880" w:hanging="360"/>
      </w:pPr>
      <w:rPr>
        <w:rFonts w:ascii="Symbol" w:hAnsi="Symbol" w:hint="default"/>
      </w:rPr>
    </w:lvl>
    <w:lvl w:ilvl="4" w:tplc="97B0DB5A" w:tentative="1">
      <w:start w:val="1"/>
      <w:numFmt w:val="bullet"/>
      <w:lvlText w:val="o"/>
      <w:lvlJc w:val="left"/>
      <w:pPr>
        <w:ind w:left="3600" w:hanging="360"/>
      </w:pPr>
      <w:rPr>
        <w:rFonts w:ascii="Courier New" w:hAnsi="Courier New" w:cs="Courier New" w:hint="default"/>
      </w:rPr>
    </w:lvl>
    <w:lvl w:ilvl="5" w:tplc="9EF21D3E" w:tentative="1">
      <w:start w:val="1"/>
      <w:numFmt w:val="bullet"/>
      <w:lvlText w:val=""/>
      <w:lvlJc w:val="left"/>
      <w:pPr>
        <w:ind w:left="4320" w:hanging="360"/>
      </w:pPr>
      <w:rPr>
        <w:rFonts w:ascii="Wingdings" w:hAnsi="Wingdings" w:hint="default"/>
      </w:rPr>
    </w:lvl>
    <w:lvl w:ilvl="6" w:tplc="5204C846" w:tentative="1">
      <w:start w:val="1"/>
      <w:numFmt w:val="bullet"/>
      <w:lvlText w:val=""/>
      <w:lvlJc w:val="left"/>
      <w:pPr>
        <w:ind w:left="5040" w:hanging="360"/>
      </w:pPr>
      <w:rPr>
        <w:rFonts w:ascii="Symbol" w:hAnsi="Symbol" w:hint="default"/>
      </w:rPr>
    </w:lvl>
    <w:lvl w:ilvl="7" w:tplc="C430D968" w:tentative="1">
      <w:start w:val="1"/>
      <w:numFmt w:val="bullet"/>
      <w:lvlText w:val="o"/>
      <w:lvlJc w:val="left"/>
      <w:pPr>
        <w:ind w:left="5760" w:hanging="360"/>
      </w:pPr>
      <w:rPr>
        <w:rFonts w:ascii="Courier New" w:hAnsi="Courier New" w:cs="Courier New" w:hint="default"/>
      </w:rPr>
    </w:lvl>
    <w:lvl w:ilvl="8" w:tplc="0D445AB4" w:tentative="1">
      <w:start w:val="1"/>
      <w:numFmt w:val="bullet"/>
      <w:lvlText w:val=""/>
      <w:lvlJc w:val="left"/>
      <w:pPr>
        <w:ind w:left="6480" w:hanging="360"/>
      </w:pPr>
      <w:rPr>
        <w:rFonts w:ascii="Wingdings" w:hAnsi="Wingdings" w:hint="default"/>
      </w:rPr>
    </w:lvl>
  </w:abstractNum>
  <w:abstractNum w:abstractNumId="13">
    <w:nsid w:val="14A47D93"/>
    <w:multiLevelType w:val="hybridMultilevel"/>
    <w:tmpl w:val="FC2CCC84"/>
    <w:lvl w:ilvl="0" w:tplc="90F6D936">
      <w:start w:val="1"/>
      <w:numFmt w:val="decimal"/>
      <w:lvlText w:val="4.%1."/>
      <w:lvlJc w:val="left"/>
      <w:pPr>
        <w:ind w:left="720" w:hanging="360"/>
      </w:pPr>
      <w:rPr>
        <w:rFonts w:hint="default"/>
        <w:sz w:val="20"/>
        <w:szCs w:val="20"/>
      </w:rPr>
    </w:lvl>
    <w:lvl w:ilvl="1" w:tplc="C6F421D6">
      <w:start w:val="1"/>
      <w:numFmt w:val="decimal"/>
      <w:lvlText w:val="4.%2."/>
      <w:lvlJc w:val="left"/>
      <w:pPr>
        <w:ind w:left="1440" w:hanging="360"/>
      </w:pPr>
      <w:rPr>
        <w:rFonts w:hint="default"/>
      </w:rPr>
    </w:lvl>
    <w:lvl w:ilvl="2" w:tplc="99942B5A" w:tentative="1">
      <w:start w:val="1"/>
      <w:numFmt w:val="lowerRoman"/>
      <w:lvlText w:val="%3."/>
      <w:lvlJc w:val="right"/>
      <w:pPr>
        <w:ind w:left="2160" w:hanging="180"/>
      </w:pPr>
    </w:lvl>
    <w:lvl w:ilvl="3" w:tplc="8806F836" w:tentative="1">
      <w:start w:val="1"/>
      <w:numFmt w:val="decimal"/>
      <w:lvlText w:val="%4."/>
      <w:lvlJc w:val="left"/>
      <w:pPr>
        <w:ind w:left="2880" w:hanging="360"/>
      </w:pPr>
    </w:lvl>
    <w:lvl w:ilvl="4" w:tplc="B22832EE" w:tentative="1">
      <w:start w:val="1"/>
      <w:numFmt w:val="lowerLetter"/>
      <w:lvlText w:val="%5."/>
      <w:lvlJc w:val="left"/>
      <w:pPr>
        <w:ind w:left="3600" w:hanging="360"/>
      </w:pPr>
    </w:lvl>
    <w:lvl w:ilvl="5" w:tplc="2D58D938" w:tentative="1">
      <w:start w:val="1"/>
      <w:numFmt w:val="lowerRoman"/>
      <w:lvlText w:val="%6."/>
      <w:lvlJc w:val="right"/>
      <w:pPr>
        <w:ind w:left="4320" w:hanging="180"/>
      </w:pPr>
    </w:lvl>
    <w:lvl w:ilvl="6" w:tplc="E3EC97B4" w:tentative="1">
      <w:start w:val="1"/>
      <w:numFmt w:val="decimal"/>
      <w:lvlText w:val="%7."/>
      <w:lvlJc w:val="left"/>
      <w:pPr>
        <w:ind w:left="5040" w:hanging="360"/>
      </w:pPr>
    </w:lvl>
    <w:lvl w:ilvl="7" w:tplc="53BCD97A" w:tentative="1">
      <w:start w:val="1"/>
      <w:numFmt w:val="lowerLetter"/>
      <w:lvlText w:val="%8."/>
      <w:lvlJc w:val="left"/>
      <w:pPr>
        <w:ind w:left="5760" w:hanging="360"/>
      </w:pPr>
    </w:lvl>
    <w:lvl w:ilvl="8" w:tplc="CE923B0C" w:tentative="1">
      <w:start w:val="1"/>
      <w:numFmt w:val="lowerRoman"/>
      <w:lvlText w:val="%9."/>
      <w:lvlJc w:val="right"/>
      <w:pPr>
        <w:ind w:left="6480" w:hanging="180"/>
      </w:pPr>
    </w:lvl>
  </w:abstractNum>
  <w:abstractNum w:abstractNumId="14">
    <w:nsid w:val="153A10EF"/>
    <w:multiLevelType w:val="hybridMultilevel"/>
    <w:tmpl w:val="91783D60"/>
    <w:lvl w:ilvl="0" w:tplc="24C02D1E">
      <w:start w:val="1"/>
      <w:numFmt w:val="bullet"/>
      <w:lvlText w:val="-"/>
      <w:lvlJc w:val="left"/>
      <w:pPr>
        <w:ind w:left="720" w:hanging="360"/>
      </w:pPr>
      <w:rPr>
        <w:rFonts w:ascii="Courier New" w:hAnsi="Courier New" w:hint="default"/>
      </w:rPr>
    </w:lvl>
    <w:lvl w:ilvl="1" w:tplc="5DD8A960" w:tentative="1">
      <w:start w:val="1"/>
      <w:numFmt w:val="bullet"/>
      <w:lvlText w:val="o"/>
      <w:lvlJc w:val="left"/>
      <w:pPr>
        <w:ind w:left="1440" w:hanging="360"/>
      </w:pPr>
      <w:rPr>
        <w:rFonts w:ascii="Courier New" w:hAnsi="Courier New" w:cs="Courier New" w:hint="default"/>
      </w:rPr>
    </w:lvl>
    <w:lvl w:ilvl="2" w:tplc="79843FDC" w:tentative="1">
      <w:start w:val="1"/>
      <w:numFmt w:val="bullet"/>
      <w:lvlText w:val=""/>
      <w:lvlJc w:val="left"/>
      <w:pPr>
        <w:ind w:left="2160" w:hanging="360"/>
      </w:pPr>
      <w:rPr>
        <w:rFonts w:ascii="Wingdings" w:hAnsi="Wingdings" w:hint="default"/>
      </w:rPr>
    </w:lvl>
    <w:lvl w:ilvl="3" w:tplc="51EEA53A" w:tentative="1">
      <w:start w:val="1"/>
      <w:numFmt w:val="bullet"/>
      <w:lvlText w:val=""/>
      <w:lvlJc w:val="left"/>
      <w:pPr>
        <w:ind w:left="2880" w:hanging="360"/>
      </w:pPr>
      <w:rPr>
        <w:rFonts w:ascii="Symbol" w:hAnsi="Symbol" w:hint="default"/>
      </w:rPr>
    </w:lvl>
    <w:lvl w:ilvl="4" w:tplc="20CC9522" w:tentative="1">
      <w:start w:val="1"/>
      <w:numFmt w:val="bullet"/>
      <w:lvlText w:val="o"/>
      <w:lvlJc w:val="left"/>
      <w:pPr>
        <w:ind w:left="3600" w:hanging="360"/>
      </w:pPr>
      <w:rPr>
        <w:rFonts w:ascii="Courier New" w:hAnsi="Courier New" w:cs="Courier New" w:hint="default"/>
      </w:rPr>
    </w:lvl>
    <w:lvl w:ilvl="5" w:tplc="D8EA3382" w:tentative="1">
      <w:start w:val="1"/>
      <w:numFmt w:val="bullet"/>
      <w:lvlText w:val=""/>
      <w:lvlJc w:val="left"/>
      <w:pPr>
        <w:ind w:left="4320" w:hanging="360"/>
      </w:pPr>
      <w:rPr>
        <w:rFonts w:ascii="Wingdings" w:hAnsi="Wingdings" w:hint="default"/>
      </w:rPr>
    </w:lvl>
    <w:lvl w:ilvl="6" w:tplc="913421CC" w:tentative="1">
      <w:start w:val="1"/>
      <w:numFmt w:val="bullet"/>
      <w:lvlText w:val=""/>
      <w:lvlJc w:val="left"/>
      <w:pPr>
        <w:ind w:left="5040" w:hanging="360"/>
      </w:pPr>
      <w:rPr>
        <w:rFonts w:ascii="Symbol" w:hAnsi="Symbol" w:hint="default"/>
      </w:rPr>
    </w:lvl>
    <w:lvl w:ilvl="7" w:tplc="18724B62" w:tentative="1">
      <w:start w:val="1"/>
      <w:numFmt w:val="bullet"/>
      <w:lvlText w:val="o"/>
      <w:lvlJc w:val="left"/>
      <w:pPr>
        <w:ind w:left="5760" w:hanging="360"/>
      </w:pPr>
      <w:rPr>
        <w:rFonts w:ascii="Courier New" w:hAnsi="Courier New" w:cs="Courier New" w:hint="default"/>
      </w:rPr>
    </w:lvl>
    <w:lvl w:ilvl="8" w:tplc="70CE05C2" w:tentative="1">
      <w:start w:val="1"/>
      <w:numFmt w:val="bullet"/>
      <w:lvlText w:val=""/>
      <w:lvlJc w:val="left"/>
      <w:pPr>
        <w:ind w:left="6480" w:hanging="360"/>
      </w:pPr>
      <w:rPr>
        <w:rFonts w:ascii="Wingdings" w:hAnsi="Wingdings" w:hint="default"/>
      </w:rPr>
    </w:lvl>
  </w:abstractNum>
  <w:abstractNum w:abstractNumId="15">
    <w:nsid w:val="161E2E61"/>
    <w:multiLevelType w:val="hybridMultilevel"/>
    <w:tmpl w:val="F098835C"/>
    <w:lvl w:ilvl="0" w:tplc="961E7D2A">
      <w:start w:val="1"/>
      <w:numFmt w:val="upperRoman"/>
      <w:pStyle w:val="Heading1"/>
      <w:lvlText w:val="%1."/>
      <w:lvlJc w:val="right"/>
      <w:pPr>
        <w:tabs>
          <w:tab w:val="num" w:pos="3828"/>
        </w:tabs>
        <w:ind w:left="4264" w:hanging="720"/>
      </w:pPr>
      <w:rPr>
        <w:rFonts w:ascii="Arial" w:hAnsi="Arial" w:hint="default"/>
        <w:sz w:val="22"/>
      </w:rPr>
    </w:lvl>
    <w:lvl w:ilvl="1" w:tplc="53D81136" w:tentative="1">
      <w:start w:val="1"/>
      <w:numFmt w:val="lowerLetter"/>
      <w:lvlText w:val="%2."/>
      <w:lvlJc w:val="left"/>
      <w:pPr>
        <w:tabs>
          <w:tab w:val="num" w:pos="1440"/>
        </w:tabs>
        <w:ind w:left="1440" w:hanging="360"/>
      </w:pPr>
    </w:lvl>
    <w:lvl w:ilvl="2" w:tplc="AE4E968A" w:tentative="1">
      <w:start w:val="1"/>
      <w:numFmt w:val="lowerRoman"/>
      <w:lvlText w:val="%3."/>
      <w:lvlJc w:val="right"/>
      <w:pPr>
        <w:tabs>
          <w:tab w:val="num" w:pos="2160"/>
        </w:tabs>
        <w:ind w:left="2160" w:hanging="180"/>
      </w:pPr>
    </w:lvl>
    <w:lvl w:ilvl="3" w:tplc="C1AA23F4" w:tentative="1">
      <w:start w:val="1"/>
      <w:numFmt w:val="decimal"/>
      <w:lvlText w:val="%4."/>
      <w:lvlJc w:val="left"/>
      <w:pPr>
        <w:tabs>
          <w:tab w:val="num" w:pos="2880"/>
        </w:tabs>
        <w:ind w:left="2880" w:hanging="360"/>
      </w:pPr>
    </w:lvl>
    <w:lvl w:ilvl="4" w:tplc="A3C6817A" w:tentative="1">
      <w:start w:val="1"/>
      <w:numFmt w:val="lowerLetter"/>
      <w:lvlText w:val="%5."/>
      <w:lvlJc w:val="left"/>
      <w:pPr>
        <w:tabs>
          <w:tab w:val="num" w:pos="3600"/>
        </w:tabs>
        <w:ind w:left="3600" w:hanging="360"/>
      </w:pPr>
    </w:lvl>
    <w:lvl w:ilvl="5" w:tplc="946C892A" w:tentative="1">
      <w:start w:val="1"/>
      <w:numFmt w:val="lowerRoman"/>
      <w:lvlText w:val="%6."/>
      <w:lvlJc w:val="right"/>
      <w:pPr>
        <w:tabs>
          <w:tab w:val="num" w:pos="4320"/>
        </w:tabs>
        <w:ind w:left="4320" w:hanging="180"/>
      </w:pPr>
    </w:lvl>
    <w:lvl w:ilvl="6" w:tplc="90CA3558" w:tentative="1">
      <w:start w:val="1"/>
      <w:numFmt w:val="decimal"/>
      <w:lvlText w:val="%7."/>
      <w:lvlJc w:val="left"/>
      <w:pPr>
        <w:tabs>
          <w:tab w:val="num" w:pos="5040"/>
        </w:tabs>
        <w:ind w:left="5040" w:hanging="360"/>
      </w:pPr>
    </w:lvl>
    <w:lvl w:ilvl="7" w:tplc="E45E7FF0" w:tentative="1">
      <w:start w:val="1"/>
      <w:numFmt w:val="lowerLetter"/>
      <w:lvlText w:val="%8."/>
      <w:lvlJc w:val="left"/>
      <w:pPr>
        <w:tabs>
          <w:tab w:val="num" w:pos="5760"/>
        </w:tabs>
        <w:ind w:left="5760" w:hanging="360"/>
      </w:pPr>
    </w:lvl>
    <w:lvl w:ilvl="8" w:tplc="AA80A0D0" w:tentative="1">
      <w:start w:val="1"/>
      <w:numFmt w:val="lowerRoman"/>
      <w:lvlText w:val="%9."/>
      <w:lvlJc w:val="right"/>
      <w:pPr>
        <w:tabs>
          <w:tab w:val="num" w:pos="6480"/>
        </w:tabs>
        <w:ind w:left="6480" w:hanging="180"/>
      </w:pPr>
    </w:lvl>
  </w:abstractNum>
  <w:abstractNum w:abstractNumId="16">
    <w:nsid w:val="16654ACA"/>
    <w:multiLevelType w:val="hybridMultilevel"/>
    <w:tmpl w:val="D04A63C8"/>
    <w:lvl w:ilvl="0" w:tplc="AB72C68E">
      <w:start w:val="1"/>
      <w:numFmt w:val="bullet"/>
      <w:lvlText w:val="-"/>
      <w:lvlJc w:val="left"/>
      <w:pPr>
        <w:ind w:left="360" w:hanging="360"/>
      </w:pPr>
      <w:rPr>
        <w:rFonts w:ascii="Arial" w:eastAsia="Times New Roman" w:hAnsi="Arial" w:hint="default"/>
      </w:rPr>
    </w:lvl>
    <w:lvl w:ilvl="1" w:tplc="B880B432" w:tentative="1">
      <w:start w:val="1"/>
      <w:numFmt w:val="bullet"/>
      <w:lvlText w:val="o"/>
      <w:lvlJc w:val="left"/>
      <w:pPr>
        <w:ind w:left="1080" w:hanging="360"/>
      </w:pPr>
      <w:rPr>
        <w:rFonts w:ascii="Courier New" w:hAnsi="Courier New" w:cs="Courier New" w:hint="default"/>
      </w:rPr>
    </w:lvl>
    <w:lvl w:ilvl="2" w:tplc="99A4D4E8" w:tentative="1">
      <w:start w:val="1"/>
      <w:numFmt w:val="bullet"/>
      <w:lvlText w:val=""/>
      <w:lvlJc w:val="left"/>
      <w:pPr>
        <w:ind w:left="1800" w:hanging="360"/>
      </w:pPr>
      <w:rPr>
        <w:rFonts w:ascii="Wingdings" w:hAnsi="Wingdings" w:hint="default"/>
      </w:rPr>
    </w:lvl>
    <w:lvl w:ilvl="3" w:tplc="48DC8228" w:tentative="1">
      <w:start w:val="1"/>
      <w:numFmt w:val="bullet"/>
      <w:lvlText w:val=""/>
      <w:lvlJc w:val="left"/>
      <w:pPr>
        <w:ind w:left="2520" w:hanging="360"/>
      </w:pPr>
      <w:rPr>
        <w:rFonts w:ascii="Symbol" w:hAnsi="Symbol" w:hint="default"/>
      </w:rPr>
    </w:lvl>
    <w:lvl w:ilvl="4" w:tplc="B804292A" w:tentative="1">
      <w:start w:val="1"/>
      <w:numFmt w:val="bullet"/>
      <w:lvlText w:val="o"/>
      <w:lvlJc w:val="left"/>
      <w:pPr>
        <w:ind w:left="3240" w:hanging="360"/>
      </w:pPr>
      <w:rPr>
        <w:rFonts w:ascii="Courier New" w:hAnsi="Courier New" w:cs="Courier New" w:hint="default"/>
      </w:rPr>
    </w:lvl>
    <w:lvl w:ilvl="5" w:tplc="86D2BBEA" w:tentative="1">
      <w:start w:val="1"/>
      <w:numFmt w:val="bullet"/>
      <w:lvlText w:val=""/>
      <w:lvlJc w:val="left"/>
      <w:pPr>
        <w:ind w:left="3960" w:hanging="360"/>
      </w:pPr>
      <w:rPr>
        <w:rFonts w:ascii="Wingdings" w:hAnsi="Wingdings" w:hint="default"/>
      </w:rPr>
    </w:lvl>
    <w:lvl w:ilvl="6" w:tplc="B8C86AC2" w:tentative="1">
      <w:start w:val="1"/>
      <w:numFmt w:val="bullet"/>
      <w:lvlText w:val=""/>
      <w:lvlJc w:val="left"/>
      <w:pPr>
        <w:ind w:left="4680" w:hanging="360"/>
      </w:pPr>
      <w:rPr>
        <w:rFonts w:ascii="Symbol" w:hAnsi="Symbol" w:hint="default"/>
      </w:rPr>
    </w:lvl>
    <w:lvl w:ilvl="7" w:tplc="0CFC7C4E" w:tentative="1">
      <w:start w:val="1"/>
      <w:numFmt w:val="bullet"/>
      <w:lvlText w:val="o"/>
      <w:lvlJc w:val="left"/>
      <w:pPr>
        <w:ind w:left="5400" w:hanging="360"/>
      </w:pPr>
      <w:rPr>
        <w:rFonts w:ascii="Courier New" w:hAnsi="Courier New" w:cs="Courier New" w:hint="default"/>
      </w:rPr>
    </w:lvl>
    <w:lvl w:ilvl="8" w:tplc="41B057E0" w:tentative="1">
      <w:start w:val="1"/>
      <w:numFmt w:val="bullet"/>
      <w:lvlText w:val=""/>
      <w:lvlJc w:val="left"/>
      <w:pPr>
        <w:ind w:left="6120" w:hanging="360"/>
      </w:pPr>
      <w:rPr>
        <w:rFonts w:ascii="Wingdings" w:hAnsi="Wingdings" w:hint="default"/>
      </w:rPr>
    </w:lvl>
  </w:abstractNum>
  <w:abstractNum w:abstractNumId="17">
    <w:nsid w:val="17106EBE"/>
    <w:multiLevelType w:val="hybridMultilevel"/>
    <w:tmpl w:val="5962666E"/>
    <w:lvl w:ilvl="0" w:tplc="D512CE74">
      <w:start w:val="1"/>
      <w:numFmt w:val="bullet"/>
      <w:lvlText w:val=""/>
      <w:lvlJc w:val="left"/>
      <w:pPr>
        <w:ind w:left="927" w:hanging="360"/>
      </w:pPr>
      <w:rPr>
        <w:rFonts w:ascii="Symbol" w:hAnsi="Symbol" w:hint="default"/>
      </w:rPr>
    </w:lvl>
    <w:lvl w:ilvl="1" w:tplc="B99E64F8" w:tentative="1">
      <w:start w:val="1"/>
      <w:numFmt w:val="bullet"/>
      <w:lvlText w:val="o"/>
      <w:lvlJc w:val="left"/>
      <w:pPr>
        <w:ind w:left="1647" w:hanging="360"/>
      </w:pPr>
      <w:rPr>
        <w:rFonts w:ascii="Courier New" w:hAnsi="Courier New" w:cs="Courier New" w:hint="default"/>
      </w:rPr>
    </w:lvl>
    <w:lvl w:ilvl="2" w:tplc="09B82C62" w:tentative="1">
      <w:start w:val="1"/>
      <w:numFmt w:val="bullet"/>
      <w:lvlText w:val=""/>
      <w:lvlJc w:val="left"/>
      <w:pPr>
        <w:ind w:left="2367" w:hanging="360"/>
      </w:pPr>
      <w:rPr>
        <w:rFonts w:ascii="Wingdings" w:hAnsi="Wingdings" w:hint="default"/>
      </w:rPr>
    </w:lvl>
    <w:lvl w:ilvl="3" w:tplc="2190D6A4" w:tentative="1">
      <w:start w:val="1"/>
      <w:numFmt w:val="bullet"/>
      <w:lvlText w:val=""/>
      <w:lvlJc w:val="left"/>
      <w:pPr>
        <w:ind w:left="3087" w:hanging="360"/>
      </w:pPr>
      <w:rPr>
        <w:rFonts w:ascii="Symbol" w:hAnsi="Symbol" w:hint="default"/>
      </w:rPr>
    </w:lvl>
    <w:lvl w:ilvl="4" w:tplc="DCCCFFA2" w:tentative="1">
      <w:start w:val="1"/>
      <w:numFmt w:val="bullet"/>
      <w:lvlText w:val="o"/>
      <w:lvlJc w:val="left"/>
      <w:pPr>
        <w:ind w:left="3807" w:hanging="360"/>
      </w:pPr>
      <w:rPr>
        <w:rFonts w:ascii="Courier New" w:hAnsi="Courier New" w:cs="Courier New" w:hint="default"/>
      </w:rPr>
    </w:lvl>
    <w:lvl w:ilvl="5" w:tplc="7234B804" w:tentative="1">
      <w:start w:val="1"/>
      <w:numFmt w:val="bullet"/>
      <w:lvlText w:val=""/>
      <w:lvlJc w:val="left"/>
      <w:pPr>
        <w:ind w:left="4527" w:hanging="360"/>
      </w:pPr>
      <w:rPr>
        <w:rFonts w:ascii="Wingdings" w:hAnsi="Wingdings" w:hint="default"/>
      </w:rPr>
    </w:lvl>
    <w:lvl w:ilvl="6" w:tplc="FC12CAD8" w:tentative="1">
      <w:start w:val="1"/>
      <w:numFmt w:val="bullet"/>
      <w:lvlText w:val=""/>
      <w:lvlJc w:val="left"/>
      <w:pPr>
        <w:ind w:left="5247" w:hanging="360"/>
      </w:pPr>
      <w:rPr>
        <w:rFonts w:ascii="Symbol" w:hAnsi="Symbol" w:hint="default"/>
      </w:rPr>
    </w:lvl>
    <w:lvl w:ilvl="7" w:tplc="6834231A" w:tentative="1">
      <w:start w:val="1"/>
      <w:numFmt w:val="bullet"/>
      <w:lvlText w:val="o"/>
      <w:lvlJc w:val="left"/>
      <w:pPr>
        <w:ind w:left="5967" w:hanging="360"/>
      </w:pPr>
      <w:rPr>
        <w:rFonts w:ascii="Courier New" w:hAnsi="Courier New" w:cs="Courier New" w:hint="default"/>
      </w:rPr>
    </w:lvl>
    <w:lvl w:ilvl="8" w:tplc="E47C0EB8" w:tentative="1">
      <w:start w:val="1"/>
      <w:numFmt w:val="bullet"/>
      <w:lvlText w:val=""/>
      <w:lvlJc w:val="left"/>
      <w:pPr>
        <w:ind w:left="6687" w:hanging="360"/>
      </w:pPr>
      <w:rPr>
        <w:rFonts w:ascii="Wingdings" w:hAnsi="Wingdings" w:hint="default"/>
      </w:rPr>
    </w:lvl>
  </w:abstractNum>
  <w:abstractNum w:abstractNumId="18">
    <w:nsid w:val="17D45F57"/>
    <w:multiLevelType w:val="multilevel"/>
    <w:tmpl w:val="65F26FCE"/>
    <w:lvl w:ilvl="0">
      <w:start w:val="1"/>
      <w:numFmt w:val="lowerRoman"/>
      <w:lvlText w:val="%1)"/>
      <w:lvlJc w:val="left"/>
      <w:pPr>
        <w:tabs>
          <w:tab w:val="num" w:pos="1324"/>
        </w:tabs>
        <w:ind w:left="1324" w:hanging="360"/>
      </w:pPr>
      <w:rPr>
        <w:rFonts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19">
    <w:nsid w:val="182F7E1C"/>
    <w:multiLevelType w:val="hybridMultilevel"/>
    <w:tmpl w:val="8ABCC6EC"/>
    <w:lvl w:ilvl="0" w:tplc="2CFABDA6">
      <w:start w:val="1"/>
      <w:numFmt w:val="bullet"/>
      <w:lvlText w:val=""/>
      <w:lvlJc w:val="left"/>
      <w:pPr>
        <w:ind w:left="360" w:hanging="360"/>
      </w:pPr>
      <w:rPr>
        <w:rFonts w:ascii="Symbol" w:hAnsi="Symbol" w:hint="default"/>
      </w:rPr>
    </w:lvl>
    <w:lvl w:ilvl="1" w:tplc="FFC61C7C" w:tentative="1">
      <w:start w:val="1"/>
      <w:numFmt w:val="bullet"/>
      <w:lvlText w:val="o"/>
      <w:lvlJc w:val="left"/>
      <w:pPr>
        <w:ind w:left="1080" w:hanging="360"/>
      </w:pPr>
      <w:rPr>
        <w:rFonts w:ascii="Courier New" w:hAnsi="Courier New" w:cs="Courier New" w:hint="default"/>
      </w:rPr>
    </w:lvl>
    <w:lvl w:ilvl="2" w:tplc="2F2E6DA6" w:tentative="1">
      <w:start w:val="1"/>
      <w:numFmt w:val="bullet"/>
      <w:lvlText w:val=""/>
      <w:lvlJc w:val="left"/>
      <w:pPr>
        <w:ind w:left="1800" w:hanging="360"/>
      </w:pPr>
      <w:rPr>
        <w:rFonts w:ascii="Wingdings" w:hAnsi="Wingdings" w:hint="default"/>
      </w:rPr>
    </w:lvl>
    <w:lvl w:ilvl="3" w:tplc="02E6B482" w:tentative="1">
      <w:start w:val="1"/>
      <w:numFmt w:val="bullet"/>
      <w:lvlText w:val=""/>
      <w:lvlJc w:val="left"/>
      <w:pPr>
        <w:ind w:left="2520" w:hanging="360"/>
      </w:pPr>
      <w:rPr>
        <w:rFonts w:ascii="Symbol" w:hAnsi="Symbol" w:hint="default"/>
      </w:rPr>
    </w:lvl>
    <w:lvl w:ilvl="4" w:tplc="95987D2C" w:tentative="1">
      <w:start w:val="1"/>
      <w:numFmt w:val="bullet"/>
      <w:lvlText w:val="o"/>
      <w:lvlJc w:val="left"/>
      <w:pPr>
        <w:ind w:left="3240" w:hanging="360"/>
      </w:pPr>
      <w:rPr>
        <w:rFonts w:ascii="Courier New" w:hAnsi="Courier New" w:cs="Courier New" w:hint="default"/>
      </w:rPr>
    </w:lvl>
    <w:lvl w:ilvl="5" w:tplc="A12A3190" w:tentative="1">
      <w:start w:val="1"/>
      <w:numFmt w:val="bullet"/>
      <w:lvlText w:val=""/>
      <w:lvlJc w:val="left"/>
      <w:pPr>
        <w:ind w:left="3960" w:hanging="360"/>
      </w:pPr>
      <w:rPr>
        <w:rFonts w:ascii="Wingdings" w:hAnsi="Wingdings" w:hint="default"/>
      </w:rPr>
    </w:lvl>
    <w:lvl w:ilvl="6" w:tplc="AC3E6D78" w:tentative="1">
      <w:start w:val="1"/>
      <w:numFmt w:val="bullet"/>
      <w:lvlText w:val=""/>
      <w:lvlJc w:val="left"/>
      <w:pPr>
        <w:ind w:left="4680" w:hanging="360"/>
      </w:pPr>
      <w:rPr>
        <w:rFonts w:ascii="Symbol" w:hAnsi="Symbol" w:hint="default"/>
      </w:rPr>
    </w:lvl>
    <w:lvl w:ilvl="7" w:tplc="001452F2" w:tentative="1">
      <w:start w:val="1"/>
      <w:numFmt w:val="bullet"/>
      <w:lvlText w:val="o"/>
      <w:lvlJc w:val="left"/>
      <w:pPr>
        <w:ind w:left="5400" w:hanging="360"/>
      </w:pPr>
      <w:rPr>
        <w:rFonts w:ascii="Courier New" w:hAnsi="Courier New" w:cs="Courier New" w:hint="default"/>
      </w:rPr>
    </w:lvl>
    <w:lvl w:ilvl="8" w:tplc="98208E4C" w:tentative="1">
      <w:start w:val="1"/>
      <w:numFmt w:val="bullet"/>
      <w:lvlText w:val=""/>
      <w:lvlJc w:val="left"/>
      <w:pPr>
        <w:ind w:left="6120" w:hanging="360"/>
      </w:pPr>
      <w:rPr>
        <w:rFonts w:ascii="Wingdings" w:hAnsi="Wingdings" w:hint="default"/>
      </w:rPr>
    </w:lvl>
  </w:abstractNum>
  <w:abstractNum w:abstractNumId="20">
    <w:nsid w:val="1D0E6885"/>
    <w:multiLevelType w:val="hybridMultilevel"/>
    <w:tmpl w:val="1CA89FB6"/>
    <w:lvl w:ilvl="0" w:tplc="73E6BCF0">
      <w:start w:val="1"/>
      <w:numFmt w:val="bullet"/>
      <w:lvlText w:val=""/>
      <w:lvlJc w:val="left"/>
      <w:pPr>
        <w:ind w:left="927" w:hanging="360"/>
      </w:pPr>
      <w:rPr>
        <w:rFonts w:ascii="Symbol" w:hAnsi="Symbol" w:hint="default"/>
      </w:rPr>
    </w:lvl>
    <w:lvl w:ilvl="1" w:tplc="BF20CED4" w:tentative="1">
      <w:start w:val="1"/>
      <w:numFmt w:val="bullet"/>
      <w:lvlText w:val="o"/>
      <w:lvlJc w:val="left"/>
      <w:pPr>
        <w:ind w:left="1647" w:hanging="360"/>
      </w:pPr>
      <w:rPr>
        <w:rFonts w:ascii="Courier New" w:hAnsi="Courier New" w:cs="Courier New" w:hint="default"/>
      </w:rPr>
    </w:lvl>
    <w:lvl w:ilvl="2" w:tplc="3EBC0770" w:tentative="1">
      <w:start w:val="1"/>
      <w:numFmt w:val="bullet"/>
      <w:lvlText w:val=""/>
      <w:lvlJc w:val="left"/>
      <w:pPr>
        <w:ind w:left="2367" w:hanging="360"/>
      </w:pPr>
      <w:rPr>
        <w:rFonts w:ascii="Wingdings" w:hAnsi="Wingdings" w:hint="default"/>
      </w:rPr>
    </w:lvl>
    <w:lvl w:ilvl="3" w:tplc="9168B72E" w:tentative="1">
      <w:start w:val="1"/>
      <w:numFmt w:val="bullet"/>
      <w:lvlText w:val=""/>
      <w:lvlJc w:val="left"/>
      <w:pPr>
        <w:ind w:left="3087" w:hanging="360"/>
      </w:pPr>
      <w:rPr>
        <w:rFonts w:ascii="Symbol" w:hAnsi="Symbol" w:hint="default"/>
      </w:rPr>
    </w:lvl>
    <w:lvl w:ilvl="4" w:tplc="CEA67278" w:tentative="1">
      <w:start w:val="1"/>
      <w:numFmt w:val="bullet"/>
      <w:lvlText w:val="o"/>
      <w:lvlJc w:val="left"/>
      <w:pPr>
        <w:ind w:left="3807" w:hanging="360"/>
      </w:pPr>
      <w:rPr>
        <w:rFonts w:ascii="Courier New" w:hAnsi="Courier New" w:cs="Courier New" w:hint="default"/>
      </w:rPr>
    </w:lvl>
    <w:lvl w:ilvl="5" w:tplc="F08AA40A" w:tentative="1">
      <w:start w:val="1"/>
      <w:numFmt w:val="bullet"/>
      <w:lvlText w:val=""/>
      <w:lvlJc w:val="left"/>
      <w:pPr>
        <w:ind w:left="4527" w:hanging="360"/>
      </w:pPr>
      <w:rPr>
        <w:rFonts w:ascii="Wingdings" w:hAnsi="Wingdings" w:hint="default"/>
      </w:rPr>
    </w:lvl>
    <w:lvl w:ilvl="6" w:tplc="9222859C" w:tentative="1">
      <w:start w:val="1"/>
      <w:numFmt w:val="bullet"/>
      <w:lvlText w:val=""/>
      <w:lvlJc w:val="left"/>
      <w:pPr>
        <w:ind w:left="5247" w:hanging="360"/>
      </w:pPr>
      <w:rPr>
        <w:rFonts w:ascii="Symbol" w:hAnsi="Symbol" w:hint="default"/>
      </w:rPr>
    </w:lvl>
    <w:lvl w:ilvl="7" w:tplc="4B60376E" w:tentative="1">
      <w:start w:val="1"/>
      <w:numFmt w:val="bullet"/>
      <w:lvlText w:val="o"/>
      <w:lvlJc w:val="left"/>
      <w:pPr>
        <w:ind w:left="5967" w:hanging="360"/>
      </w:pPr>
      <w:rPr>
        <w:rFonts w:ascii="Courier New" w:hAnsi="Courier New" w:cs="Courier New" w:hint="default"/>
      </w:rPr>
    </w:lvl>
    <w:lvl w:ilvl="8" w:tplc="F9DE669A" w:tentative="1">
      <w:start w:val="1"/>
      <w:numFmt w:val="bullet"/>
      <w:lvlText w:val=""/>
      <w:lvlJc w:val="left"/>
      <w:pPr>
        <w:ind w:left="6687" w:hanging="360"/>
      </w:pPr>
      <w:rPr>
        <w:rFonts w:ascii="Wingdings" w:hAnsi="Wingdings" w:hint="default"/>
      </w:rPr>
    </w:lvl>
  </w:abstractNum>
  <w:abstractNum w:abstractNumId="21">
    <w:nsid w:val="1FD44917"/>
    <w:multiLevelType w:val="hybridMultilevel"/>
    <w:tmpl w:val="7F8CC5BE"/>
    <w:lvl w:ilvl="0" w:tplc="A10E23C6">
      <w:start w:val="1"/>
      <w:numFmt w:val="decimal"/>
      <w:lvlText w:val="21.%1."/>
      <w:lvlJc w:val="left"/>
      <w:pPr>
        <w:tabs>
          <w:tab w:val="num" w:pos="680"/>
        </w:tabs>
        <w:ind w:left="0" w:firstLine="0"/>
      </w:pPr>
      <w:rPr>
        <w:rFonts w:ascii="Arial" w:hAnsi="Arial" w:cs="Arial" w:hint="default"/>
        <w:sz w:val="20"/>
        <w:szCs w:val="20"/>
      </w:rPr>
    </w:lvl>
    <w:lvl w:ilvl="1" w:tplc="AF1A038A" w:tentative="1">
      <w:start w:val="1"/>
      <w:numFmt w:val="lowerLetter"/>
      <w:lvlText w:val="%2."/>
      <w:lvlJc w:val="left"/>
      <w:pPr>
        <w:tabs>
          <w:tab w:val="num" w:pos="1440"/>
        </w:tabs>
        <w:ind w:left="1440" w:hanging="360"/>
      </w:pPr>
    </w:lvl>
    <w:lvl w:ilvl="2" w:tplc="FC502788" w:tentative="1">
      <w:start w:val="1"/>
      <w:numFmt w:val="lowerRoman"/>
      <w:lvlText w:val="%3."/>
      <w:lvlJc w:val="right"/>
      <w:pPr>
        <w:tabs>
          <w:tab w:val="num" w:pos="2160"/>
        </w:tabs>
        <w:ind w:left="2160" w:hanging="180"/>
      </w:pPr>
    </w:lvl>
    <w:lvl w:ilvl="3" w:tplc="152E0092" w:tentative="1">
      <w:start w:val="1"/>
      <w:numFmt w:val="decimal"/>
      <w:lvlText w:val="%4."/>
      <w:lvlJc w:val="left"/>
      <w:pPr>
        <w:tabs>
          <w:tab w:val="num" w:pos="2880"/>
        </w:tabs>
        <w:ind w:left="2880" w:hanging="360"/>
      </w:pPr>
    </w:lvl>
    <w:lvl w:ilvl="4" w:tplc="1D8E5BBE" w:tentative="1">
      <w:start w:val="1"/>
      <w:numFmt w:val="lowerLetter"/>
      <w:lvlText w:val="%5."/>
      <w:lvlJc w:val="left"/>
      <w:pPr>
        <w:tabs>
          <w:tab w:val="num" w:pos="3600"/>
        </w:tabs>
        <w:ind w:left="3600" w:hanging="360"/>
      </w:pPr>
    </w:lvl>
    <w:lvl w:ilvl="5" w:tplc="03BC7E8A" w:tentative="1">
      <w:start w:val="1"/>
      <w:numFmt w:val="lowerRoman"/>
      <w:lvlText w:val="%6."/>
      <w:lvlJc w:val="right"/>
      <w:pPr>
        <w:tabs>
          <w:tab w:val="num" w:pos="4320"/>
        </w:tabs>
        <w:ind w:left="4320" w:hanging="180"/>
      </w:pPr>
    </w:lvl>
    <w:lvl w:ilvl="6" w:tplc="033EB6BE" w:tentative="1">
      <w:start w:val="1"/>
      <w:numFmt w:val="decimal"/>
      <w:lvlText w:val="%7."/>
      <w:lvlJc w:val="left"/>
      <w:pPr>
        <w:tabs>
          <w:tab w:val="num" w:pos="5040"/>
        </w:tabs>
        <w:ind w:left="5040" w:hanging="360"/>
      </w:pPr>
    </w:lvl>
    <w:lvl w:ilvl="7" w:tplc="0F56A7E2" w:tentative="1">
      <w:start w:val="1"/>
      <w:numFmt w:val="lowerLetter"/>
      <w:lvlText w:val="%8."/>
      <w:lvlJc w:val="left"/>
      <w:pPr>
        <w:tabs>
          <w:tab w:val="num" w:pos="5760"/>
        </w:tabs>
        <w:ind w:left="5760" w:hanging="360"/>
      </w:pPr>
    </w:lvl>
    <w:lvl w:ilvl="8" w:tplc="1D64FD70" w:tentative="1">
      <w:start w:val="1"/>
      <w:numFmt w:val="lowerRoman"/>
      <w:lvlText w:val="%9."/>
      <w:lvlJc w:val="right"/>
      <w:pPr>
        <w:tabs>
          <w:tab w:val="num" w:pos="6480"/>
        </w:tabs>
        <w:ind w:left="6480" w:hanging="180"/>
      </w:pPr>
    </w:lvl>
  </w:abstractNum>
  <w:abstractNum w:abstractNumId="22">
    <w:nsid w:val="22567DBB"/>
    <w:multiLevelType w:val="hybridMultilevel"/>
    <w:tmpl w:val="20584CB0"/>
    <w:lvl w:ilvl="0" w:tplc="D3C259CC">
      <w:start w:val="1"/>
      <w:numFmt w:val="decimal"/>
      <w:lvlText w:val="6.%1."/>
      <w:lvlJc w:val="left"/>
      <w:pPr>
        <w:ind w:left="720" w:hanging="360"/>
      </w:pPr>
      <w:rPr>
        <w:rFonts w:hint="default"/>
      </w:rPr>
    </w:lvl>
    <w:lvl w:ilvl="1" w:tplc="7E18BF18" w:tentative="1">
      <w:start w:val="1"/>
      <w:numFmt w:val="lowerLetter"/>
      <w:lvlText w:val="%2."/>
      <w:lvlJc w:val="left"/>
      <w:pPr>
        <w:ind w:left="1440" w:hanging="360"/>
      </w:pPr>
    </w:lvl>
    <w:lvl w:ilvl="2" w:tplc="7C2646C4" w:tentative="1">
      <w:start w:val="1"/>
      <w:numFmt w:val="lowerRoman"/>
      <w:lvlText w:val="%3."/>
      <w:lvlJc w:val="right"/>
      <w:pPr>
        <w:ind w:left="2160" w:hanging="180"/>
      </w:pPr>
    </w:lvl>
    <w:lvl w:ilvl="3" w:tplc="3D2E7606" w:tentative="1">
      <w:start w:val="1"/>
      <w:numFmt w:val="decimal"/>
      <w:lvlText w:val="%4."/>
      <w:lvlJc w:val="left"/>
      <w:pPr>
        <w:ind w:left="2880" w:hanging="360"/>
      </w:pPr>
    </w:lvl>
    <w:lvl w:ilvl="4" w:tplc="55307642" w:tentative="1">
      <w:start w:val="1"/>
      <w:numFmt w:val="lowerLetter"/>
      <w:lvlText w:val="%5."/>
      <w:lvlJc w:val="left"/>
      <w:pPr>
        <w:ind w:left="3600" w:hanging="360"/>
      </w:pPr>
    </w:lvl>
    <w:lvl w:ilvl="5" w:tplc="2092FE46" w:tentative="1">
      <w:start w:val="1"/>
      <w:numFmt w:val="lowerRoman"/>
      <w:lvlText w:val="%6."/>
      <w:lvlJc w:val="right"/>
      <w:pPr>
        <w:ind w:left="4320" w:hanging="180"/>
      </w:pPr>
    </w:lvl>
    <w:lvl w:ilvl="6" w:tplc="70BC71D2" w:tentative="1">
      <w:start w:val="1"/>
      <w:numFmt w:val="decimal"/>
      <w:lvlText w:val="%7."/>
      <w:lvlJc w:val="left"/>
      <w:pPr>
        <w:ind w:left="5040" w:hanging="360"/>
      </w:pPr>
    </w:lvl>
    <w:lvl w:ilvl="7" w:tplc="2352479E" w:tentative="1">
      <w:start w:val="1"/>
      <w:numFmt w:val="lowerLetter"/>
      <w:lvlText w:val="%8."/>
      <w:lvlJc w:val="left"/>
      <w:pPr>
        <w:ind w:left="5760" w:hanging="360"/>
      </w:pPr>
    </w:lvl>
    <w:lvl w:ilvl="8" w:tplc="0A3E3170" w:tentative="1">
      <w:start w:val="1"/>
      <w:numFmt w:val="lowerRoman"/>
      <w:lvlText w:val="%9."/>
      <w:lvlJc w:val="right"/>
      <w:pPr>
        <w:ind w:left="6480" w:hanging="180"/>
      </w:pPr>
    </w:lvl>
  </w:abstractNum>
  <w:abstractNum w:abstractNumId="23">
    <w:nsid w:val="22694810"/>
    <w:multiLevelType w:val="hybridMultilevel"/>
    <w:tmpl w:val="932EF95A"/>
    <w:lvl w:ilvl="0" w:tplc="A62C7F32">
      <w:start w:val="1"/>
      <w:numFmt w:val="bullet"/>
      <w:lvlText w:val="-"/>
      <w:lvlJc w:val="left"/>
      <w:pPr>
        <w:ind w:left="360" w:hanging="360"/>
      </w:pPr>
      <w:rPr>
        <w:rFonts w:ascii="Courier New" w:hAnsi="Courier New" w:hint="default"/>
      </w:rPr>
    </w:lvl>
    <w:lvl w:ilvl="1" w:tplc="2B4A0874" w:tentative="1">
      <w:start w:val="1"/>
      <w:numFmt w:val="bullet"/>
      <w:lvlText w:val="o"/>
      <w:lvlJc w:val="left"/>
      <w:pPr>
        <w:ind w:left="1080" w:hanging="360"/>
      </w:pPr>
      <w:rPr>
        <w:rFonts w:ascii="Courier New" w:hAnsi="Courier New" w:cs="Courier New" w:hint="default"/>
      </w:rPr>
    </w:lvl>
    <w:lvl w:ilvl="2" w:tplc="B18CE5A8" w:tentative="1">
      <w:start w:val="1"/>
      <w:numFmt w:val="bullet"/>
      <w:lvlText w:val=""/>
      <w:lvlJc w:val="left"/>
      <w:pPr>
        <w:ind w:left="1800" w:hanging="360"/>
      </w:pPr>
      <w:rPr>
        <w:rFonts w:ascii="Wingdings" w:hAnsi="Wingdings" w:hint="default"/>
      </w:rPr>
    </w:lvl>
    <w:lvl w:ilvl="3" w:tplc="E2A809F2" w:tentative="1">
      <w:start w:val="1"/>
      <w:numFmt w:val="bullet"/>
      <w:lvlText w:val=""/>
      <w:lvlJc w:val="left"/>
      <w:pPr>
        <w:ind w:left="2520" w:hanging="360"/>
      </w:pPr>
      <w:rPr>
        <w:rFonts w:ascii="Symbol" w:hAnsi="Symbol" w:hint="default"/>
      </w:rPr>
    </w:lvl>
    <w:lvl w:ilvl="4" w:tplc="F5FA3706" w:tentative="1">
      <w:start w:val="1"/>
      <w:numFmt w:val="bullet"/>
      <w:lvlText w:val="o"/>
      <w:lvlJc w:val="left"/>
      <w:pPr>
        <w:ind w:left="3240" w:hanging="360"/>
      </w:pPr>
      <w:rPr>
        <w:rFonts w:ascii="Courier New" w:hAnsi="Courier New" w:cs="Courier New" w:hint="default"/>
      </w:rPr>
    </w:lvl>
    <w:lvl w:ilvl="5" w:tplc="3618840E" w:tentative="1">
      <w:start w:val="1"/>
      <w:numFmt w:val="bullet"/>
      <w:lvlText w:val=""/>
      <w:lvlJc w:val="left"/>
      <w:pPr>
        <w:ind w:left="3960" w:hanging="360"/>
      </w:pPr>
      <w:rPr>
        <w:rFonts w:ascii="Wingdings" w:hAnsi="Wingdings" w:hint="default"/>
      </w:rPr>
    </w:lvl>
    <w:lvl w:ilvl="6" w:tplc="7DD83B92" w:tentative="1">
      <w:start w:val="1"/>
      <w:numFmt w:val="bullet"/>
      <w:lvlText w:val=""/>
      <w:lvlJc w:val="left"/>
      <w:pPr>
        <w:ind w:left="4680" w:hanging="360"/>
      </w:pPr>
      <w:rPr>
        <w:rFonts w:ascii="Symbol" w:hAnsi="Symbol" w:hint="default"/>
      </w:rPr>
    </w:lvl>
    <w:lvl w:ilvl="7" w:tplc="E1D4258C" w:tentative="1">
      <w:start w:val="1"/>
      <w:numFmt w:val="bullet"/>
      <w:lvlText w:val="o"/>
      <w:lvlJc w:val="left"/>
      <w:pPr>
        <w:ind w:left="5400" w:hanging="360"/>
      </w:pPr>
      <w:rPr>
        <w:rFonts w:ascii="Courier New" w:hAnsi="Courier New" w:cs="Courier New" w:hint="default"/>
      </w:rPr>
    </w:lvl>
    <w:lvl w:ilvl="8" w:tplc="BE5A0BDC" w:tentative="1">
      <w:start w:val="1"/>
      <w:numFmt w:val="bullet"/>
      <w:lvlText w:val=""/>
      <w:lvlJc w:val="left"/>
      <w:pPr>
        <w:ind w:left="6120" w:hanging="360"/>
      </w:pPr>
      <w:rPr>
        <w:rFonts w:ascii="Wingdings" w:hAnsi="Wingdings" w:hint="default"/>
      </w:rPr>
    </w:lvl>
  </w:abstractNum>
  <w:abstractNum w:abstractNumId="24">
    <w:nsid w:val="23FF1CE4"/>
    <w:multiLevelType w:val="hybridMultilevel"/>
    <w:tmpl w:val="0AFA890E"/>
    <w:lvl w:ilvl="0" w:tplc="C99E2764">
      <w:start w:val="1"/>
      <w:numFmt w:val="bullet"/>
      <w:lvlText w:val=""/>
      <w:lvlJc w:val="left"/>
      <w:pPr>
        <w:ind w:left="720" w:hanging="360"/>
      </w:pPr>
      <w:rPr>
        <w:rFonts w:ascii="Symbol" w:hAnsi="Symbol" w:hint="default"/>
      </w:rPr>
    </w:lvl>
    <w:lvl w:ilvl="1" w:tplc="76BA4C64" w:tentative="1">
      <w:start w:val="1"/>
      <w:numFmt w:val="bullet"/>
      <w:lvlText w:val="o"/>
      <w:lvlJc w:val="left"/>
      <w:pPr>
        <w:ind w:left="1440" w:hanging="360"/>
      </w:pPr>
      <w:rPr>
        <w:rFonts w:ascii="Courier New" w:hAnsi="Courier New" w:hint="default"/>
      </w:rPr>
    </w:lvl>
    <w:lvl w:ilvl="2" w:tplc="E8D4C8AE" w:tentative="1">
      <w:start w:val="1"/>
      <w:numFmt w:val="bullet"/>
      <w:lvlText w:val=""/>
      <w:lvlJc w:val="left"/>
      <w:pPr>
        <w:ind w:left="2160" w:hanging="360"/>
      </w:pPr>
      <w:rPr>
        <w:rFonts w:ascii="Wingdings" w:hAnsi="Wingdings" w:hint="default"/>
      </w:rPr>
    </w:lvl>
    <w:lvl w:ilvl="3" w:tplc="75442D1E" w:tentative="1">
      <w:start w:val="1"/>
      <w:numFmt w:val="bullet"/>
      <w:lvlText w:val=""/>
      <w:lvlJc w:val="left"/>
      <w:pPr>
        <w:ind w:left="2880" w:hanging="360"/>
      </w:pPr>
      <w:rPr>
        <w:rFonts w:ascii="Symbol" w:hAnsi="Symbol" w:hint="default"/>
      </w:rPr>
    </w:lvl>
    <w:lvl w:ilvl="4" w:tplc="5A280C8C" w:tentative="1">
      <w:start w:val="1"/>
      <w:numFmt w:val="bullet"/>
      <w:lvlText w:val="o"/>
      <w:lvlJc w:val="left"/>
      <w:pPr>
        <w:ind w:left="3600" w:hanging="360"/>
      </w:pPr>
      <w:rPr>
        <w:rFonts w:ascii="Courier New" w:hAnsi="Courier New" w:hint="default"/>
      </w:rPr>
    </w:lvl>
    <w:lvl w:ilvl="5" w:tplc="B3E6F65E" w:tentative="1">
      <w:start w:val="1"/>
      <w:numFmt w:val="bullet"/>
      <w:lvlText w:val=""/>
      <w:lvlJc w:val="left"/>
      <w:pPr>
        <w:ind w:left="4320" w:hanging="360"/>
      </w:pPr>
      <w:rPr>
        <w:rFonts w:ascii="Wingdings" w:hAnsi="Wingdings" w:hint="default"/>
      </w:rPr>
    </w:lvl>
    <w:lvl w:ilvl="6" w:tplc="0BFC076E" w:tentative="1">
      <w:start w:val="1"/>
      <w:numFmt w:val="bullet"/>
      <w:lvlText w:val=""/>
      <w:lvlJc w:val="left"/>
      <w:pPr>
        <w:ind w:left="5040" w:hanging="360"/>
      </w:pPr>
      <w:rPr>
        <w:rFonts w:ascii="Symbol" w:hAnsi="Symbol" w:hint="default"/>
      </w:rPr>
    </w:lvl>
    <w:lvl w:ilvl="7" w:tplc="5650CE1C" w:tentative="1">
      <w:start w:val="1"/>
      <w:numFmt w:val="bullet"/>
      <w:lvlText w:val="o"/>
      <w:lvlJc w:val="left"/>
      <w:pPr>
        <w:ind w:left="5760" w:hanging="360"/>
      </w:pPr>
      <w:rPr>
        <w:rFonts w:ascii="Courier New" w:hAnsi="Courier New" w:hint="default"/>
      </w:rPr>
    </w:lvl>
    <w:lvl w:ilvl="8" w:tplc="AFD05F7C" w:tentative="1">
      <w:start w:val="1"/>
      <w:numFmt w:val="bullet"/>
      <w:lvlText w:val=""/>
      <w:lvlJc w:val="left"/>
      <w:pPr>
        <w:ind w:left="6480" w:hanging="360"/>
      </w:pPr>
      <w:rPr>
        <w:rFonts w:ascii="Wingdings" w:hAnsi="Wingdings" w:hint="default"/>
      </w:rPr>
    </w:lvl>
  </w:abstractNum>
  <w:abstractNum w:abstractNumId="25">
    <w:nsid w:val="24FA47EC"/>
    <w:multiLevelType w:val="hybridMultilevel"/>
    <w:tmpl w:val="B590E79E"/>
    <w:lvl w:ilvl="0" w:tplc="5A46B174">
      <w:start w:val="1"/>
      <w:numFmt w:val="bullet"/>
      <w:lvlText w:val=""/>
      <w:lvlJc w:val="left"/>
      <w:pPr>
        <w:ind w:left="360" w:hanging="360"/>
      </w:pPr>
      <w:rPr>
        <w:rFonts w:ascii="Symbol" w:hAnsi="Symbol" w:hint="default"/>
      </w:rPr>
    </w:lvl>
    <w:lvl w:ilvl="1" w:tplc="23D050E0" w:tentative="1">
      <w:start w:val="1"/>
      <w:numFmt w:val="bullet"/>
      <w:lvlText w:val="o"/>
      <w:lvlJc w:val="left"/>
      <w:pPr>
        <w:ind w:left="1440" w:hanging="360"/>
      </w:pPr>
      <w:rPr>
        <w:rFonts w:ascii="Courier New" w:hAnsi="Courier New" w:cs="Courier New" w:hint="default"/>
      </w:rPr>
    </w:lvl>
    <w:lvl w:ilvl="2" w:tplc="3598618E" w:tentative="1">
      <w:start w:val="1"/>
      <w:numFmt w:val="bullet"/>
      <w:lvlText w:val=""/>
      <w:lvlJc w:val="left"/>
      <w:pPr>
        <w:ind w:left="2160" w:hanging="360"/>
      </w:pPr>
      <w:rPr>
        <w:rFonts w:ascii="Wingdings" w:hAnsi="Wingdings" w:hint="default"/>
      </w:rPr>
    </w:lvl>
    <w:lvl w:ilvl="3" w:tplc="FE2A1C36" w:tentative="1">
      <w:start w:val="1"/>
      <w:numFmt w:val="bullet"/>
      <w:lvlText w:val=""/>
      <w:lvlJc w:val="left"/>
      <w:pPr>
        <w:ind w:left="2880" w:hanging="360"/>
      </w:pPr>
      <w:rPr>
        <w:rFonts w:ascii="Symbol" w:hAnsi="Symbol" w:hint="default"/>
      </w:rPr>
    </w:lvl>
    <w:lvl w:ilvl="4" w:tplc="85CC7D6A" w:tentative="1">
      <w:start w:val="1"/>
      <w:numFmt w:val="bullet"/>
      <w:lvlText w:val="o"/>
      <w:lvlJc w:val="left"/>
      <w:pPr>
        <w:ind w:left="3600" w:hanging="360"/>
      </w:pPr>
      <w:rPr>
        <w:rFonts w:ascii="Courier New" w:hAnsi="Courier New" w:cs="Courier New" w:hint="default"/>
      </w:rPr>
    </w:lvl>
    <w:lvl w:ilvl="5" w:tplc="F25EAFDE" w:tentative="1">
      <w:start w:val="1"/>
      <w:numFmt w:val="bullet"/>
      <w:lvlText w:val=""/>
      <w:lvlJc w:val="left"/>
      <w:pPr>
        <w:ind w:left="4320" w:hanging="360"/>
      </w:pPr>
      <w:rPr>
        <w:rFonts w:ascii="Wingdings" w:hAnsi="Wingdings" w:hint="default"/>
      </w:rPr>
    </w:lvl>
    <w:lvl w:ilvl="6" w:tplc="4DEEFDFE" w:tentative="1">
      <w:start w:val="1"/>
      <w:numFmt w:val="bullet"/>
      <w:lvlText w:val=""/>
      <w:lvlJc w:val="left"/>
      <w:pPr>
        <w:ind w:left="5040" w:hanging="360"/>
      </w:pPr>
      <w:rPr>
        <w:rFonts w:ascii="Symbol" w:hAnsi="Symbol" w:hint="default"/>
      </w:rPr>
    </w:lvl>
    <w:lvl w:ilvl="7" w:tplc="B4FEF0A2" w:tentative="1">
      <w:start w:val="1"/>
      <w:numFmt w:val="bullet"/>
      <w:lvlText w:val="o"/>
      <w:lvlJc w:val="left"/>
      <w:pPr>
        <w:ind w:left="5760" w:hanging="360"/>
      </w:pPr>
      <w:rPr>
        <w:rFonts w:ascii="Courier New" w:hAnsi="Courier New" w:cs="Courier New" w:hint="default"/>
      </w:rPr>
    </w:lvl>
    <w:lvl w:ilvl="8" w:tplc="002CD6E6" w:tentative="1">
      <w:start w:val="1"/>
      <w:numFmt w:val="bullet"/>
      <w:lvlText w:val=""/>
      <w:lvlJc w:val="left"/>
      <w:pPr>
        <w:ind w:left="6480" w:hanging="360"/>
      </w:pPr>
      <w:rPr>
        <w:rFonts w:ascii="Wingdings" w:hAnsi="Wingdings" w:hint="default"/>
      </w:rPr>
    </w:lvl>
  </w:abstractNum>
  <w:abstractNum w:abstractNumId="26">
    <w:nsid w:val="27E941D9"/>
    <w:multiLevelType w:val="multilevel"/>
    <w:tmpl w:val="9B3E3A60"/>
    <w:lvl w:ilvl="0">
      <w:start w:val="1"/>
      <w:numFmt w:val="none"/>
      <w:lvlText w:val="-"/>
      <w:lvlJc w:val="left"/>
      <w:pPr>
        <w:tabs>
          <w:tab w:val="num" w:pos="1324"/>
        </w:tabs>
        <w:ind w:left="1324" w:hanging="360"/>
      </w:pPr>
      <w:rPr>
        <w:rFonts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7">
    <w:nsid w:val="287424CA"/>
    <w:multiLevelType w:val="hybridMultilevel"/>
    <w:tmpl w:val="3E525CA0"/>
    <w:lvl w:ilvl="0" w:tplc="C73CE4DE">
      <w:start w:val="1"/>
      <w:numFmt w:val="lowerRoman"/>
      <w:lvlText w:val="%1)"/>
      <w:lvlJc w:val="left"/>
      <w:pPr>
        <w:ind w:left="360" w:hanging="360"/>
      </w:pPr>
      <w:rPr>
        <w:rFonts w:ascii="Arial" w:eastAsiaTheme="minorHAnsi" w:hAnsi="Arial" w:cs="Arial"/>
      </w:rPr>
    </w:lvl>
    <w:lvl w:ilvl="1" w:tplc="D1C64026" w:tentative="1">
      <w:start w:val="1"/>
      <w:numFmt w:val="bullet"/>
      <w:lvlText w:val="o"/>
      <w:lvlJc w:val="left"/>
      <w:pPr>
        <w:ind w:left="1080" w:hanging="360"/>
      </w:pPr>
      <w:rPr>
        <w:rFonts w:ascii="Courier New" w:hAnsi="Courier New" w:cs="Courier New" w:hint="default"/>
      </w:rPr>
    </w:lvl>
    <w:lvl w:ilvl="2" w:tplc="503CA548" w:tentative="1">
      <w:start w:val="1"/>
      <w:numFmt w:val="bullet"/>
      <w:lvlText w:val=""/>
      <w:lvlJc w:val="left"/>
      <w:pPr>
        <w:ind w:left="1800" w:hanging="360"/>
      </w:pPr>
      <w:rPr>
        <w:rFonts w:ascii="Wingdings" w:hAnsi="Wingdings" w:hint="default"/>
      </w:rPr>
    </w:lvl>
    <w:lvl w:ilvl="3" w:tplc="27AC6956" w:tentative="1">
      <w:start w:val="1"/>
      <w:numFmt w:val="bullet"/>
      <w:lvlText w:val=""/>
      <w:lvlJc w:val="left"/>
      <w:pPr>
        <w:ind w:left="2520" w:hanging="360"/>
      </w:pPr>
      <w:rPr>
        <w:rFonts w:ascii="Symbol" w:hAnsi="Symbol" w:hint="default"/>
      </w:rPr>
    </w:lvl>
    <w:lvl w:ilvl="4" w:tplc="9A80BB56" w:tentative="1">
      <w:start w:val="1"/>
      <w:numFmt w:val="bullet"/>
      <w:lvlText w:val="o"/>
      <w:lvlJc w:val="left"/>
      <w:pPr>
        <w:ind w:left="3240" w:hanging="360"/>
      </w:pPr>
      <w:rPr>
        <w:rFonts w:ascii="Courier New" w:hAnsi="Courier New" w:cs="Courier New" w:hint="default"/>
      </w:rPr>
    </w:lvl>
    <w:lvl w:ilvl="5" w:tplc="4BEE4E44" w:tentative="1">
      <w:start w:val="1"/>
      <w:numFmt w:val="bullet"/>
      <w:lvlText w:val=""/>
      <w:lvlJc w:val="left"/>
      <w:pPr>
        <w:ind w:left="3960" w:hanging="360"/>
      </w:pPr>
      <w:rPr>
        <w:rFonts w:ascii="Wingdings" w:hAnsi="Wingdings" w:hint="default"/>
      </w:rPr>
    </w:lvl>
    <w:lvl w:ilvl="6" w:tplc="1152F6A8" w:tentative="1">
      <w:start w:val="1"/>
      <w:numFmt w:val="bullet"/>
      <w:lvlText w:val=""/>
      <w:lvlJc w:val="left"/>
      <w:pPr>
        <w:ind w:left="4680" w:hanging="360"/>
      </w:pPr>
      <w:rPr>
        <w:rFonts w:ascii="Symbol" w:hAnsi="Symbol" w:hint="default"/>
      </w:rPr>
    </w:lvl>
    <w:lvl w:ilvl="7" w:tplc="0EB24708" w:tentative="1">
      <w:start w:val="1"/>
      <w:numFmt w:val="bullet"/>
      <w:lvlText w:val="o"/>
      <w:lvlJc w:val="left"/>
      <w:pPr>
        <w:ind w:left="5400" w:hanging="360"/>
      </w:pPr>
      <w:rPr>
        <w:rFonts w:ascii="Courier New" w:hAnsi="Courier New" w:cs="Courier New" w:hint="default"/>
      </w:rPr>
    </w:lvl>
    <w:lvl w:ilvl="8" w:tplc="710C59C4" w:tentative="1">
      <w:start w:val="1"/>
      <w:numFmt w:val="bullet"/>
      <w:lvlText w:val=""/>
      <w:lvlJc w:val="left"/>
      <w:pPr>
        <w:ind w:left="6120" w:hanging="360"/>
      </w:pPr>
      <w:rPr>
        <w:rFonts w:ascii="Wingdings" w:hAnsi="Wingdings" w:hint="default"/>
      </w:rPr>
    </w:lvl>
  </w:abstractNum>
  <w:abstractNum w:abstractNumId="28">
    <w:nsid w:val="29CE7E18"/>
    <w:multiLevelType w:val="hybridMultilevel"/>
    <w:tmpl w:val="3616674E"/>
    <w:lvl w:ilvl="0" w:tplc="E026A5BC">
      <w:start w:val="1"/>
      <w:numFmt w:val="bullet"/>
      <w:lvlText w:val=""/>
      <w:lvlJc w:val="left"/>
      <w:pPr>
        <w:ind w:left="360" w:hanging="360"/>
      </w:pPr>
      <w:rPr>
        <w:rFonts w:ascii="Symbol" w:hAnsi="Symbol" w:hint="default"/>
      </w:rPr>
    </w:lvl>
    <w:lvl w:ilvl="1" w:tplc="C940593C" w:tentative="1">
      <w:start w:val="1"/>
      <w:numFmt w:val="bullet"/>
      <w:lvlText w:val="o"/>
      <w:lvlJc w:val="left"/>
      <w:pPr>
        <w:ind w:left="1080" w:hanging="360"/>
      </w:pPr>
      <w:rPr>
        <w:rFonts w:ascii="Courier New" w:hAnsi="Courier New" w:cs="Courier New" w:hint="default"/>
      </w:rPr>
    </w:lvl>
    <w:lvl w:ilvl="2" w:tplc="AA98F2C4" w:tentative="1">
      <w:start w:val="1"/>
      <w:numFmt w:val="bullet"/>
      <w:lvlText w:val=""/>
      <w:lvlJc w:val="left"/>
      <w:pPr>
        <w:ind w:left="1800" w:hanging="360"/>
      </w:pPr>
      <w:rPr>
        <w:rFonts w:ascii="Wingdings" w:hAnsi="Wingdings" w:hint="default"/>
      </w:rPr>
    </w:lvl>
    <w:lvl w:ilvl="3" w:tplc="F16E9E4A" w:tentative="1">
      <w:start w:val="1"/>
      <w:numFmt w:val="bullet"/>
      <w:lvlText w:val=""/>
      <w:lvlJc w:val="left"/>
      <w:pPr>
        <w:ind w:left="2520" w:hanging="360"/>
      </w:pPr>
      <w:rPr>
        <w:rFonts w:ascii="Symbol" w:hAnsi="Symbol" w:hint="default"/>
      </w:rPr>
    </w:lvl>
    <w:lvl w:ilvl="4" w:tplc="09C6740A" w:tentative="1">
      <w:start w:val="1"/>
      <w:numFmt w:val="bullet"/>
      <w:lvlText w:val="o"/>
      <w:lvlJc w:val="left"/>
      <w:pPr>
        <w:ind w:left="3240" w:hanging="360"/>
      </w:pPr>
      <w:rPr>
        <w:rFonts w:ascii="Courier New" w:hAnsi="Courier New" w:cs="Courier New" w:hint="default"/>
      </w:rPr>
    </w:lvl>
    <w:lvl w:ilvl="5" w:tplc="16FE7BEA" w:tentative="1">
      <w:start w:val="1"/>
      <w:numFmt w:val="bullet"/>
      <w:lvlText w:val=""/>
      <w:lvlJc w:val="left"/>
      <w:pPr>
        <w:ind w:left="3960" w:hanging="360"/>
      </w:pPr>
      <w:rPr>
        <w:rFonts w:ascii="Wingdings" w:hAnsi="Wingdings" w:hint="default"/>
      </w:rPr>
    </w:lvl>
    <w:lvl w:ilvl="6" w:tplc="22EC3146" w:tentative="1">
      <w:start w:val="1"/>
      <w:numFmt w:val="bullet"/>
      <w:lvlText w:val=""/>
      <w:lvlJc w:val="left"/>
      <w:pPr>
        <w:ind w:left="4680" w:hanging="360"/>
      </w:pPr>
      <w:rPr>
        <w:rFonts w:ascii="Symbol" w:hAnsi="Symbol" w:hint="default"/>
      </w:rPr>
    </w:lvl>
    <w:lvl w:ilvl="7" w:tplc="9684EB6A" w:tentative="1">
      <w:start w:val="1"/>
      <w:numFmt w:val="bullet"/>
      <w:lvlText w:val="o"/>
      <w:lvlJc w:val="left"/>
      <w:pPr>
        <w:ind w:left="5400" w:hanging="360"/>
      </w:pPr>
      <w:rPr>
        <w:rFonts w:ascii="Courier New" w:hAnsi="Courier New" w:cs="Courier New" w:hint="default"/>
      </w:rPr>
    </w:lvl>
    <w:lvl w:ilvl="8" w:tplc="E38892AC" w:tentative="1">
      <w:start w:val="1"/>
      <w:numFmt w:val="bullet"/>
      <w:lvlText w:val=""/>
      <w:lvlJc w:val="left"/>
      <w:pPr>
        <w:ind w:left="6120" w:hanging="360"/>
      </w:pPr>
      <w:rPr>
        <w:rFonts w:ascii="Wingdings" w:hAnsi="Wingdings" w:hint="default"/>
      </w:rPr>
    </w:lvl>
  </w:abstractNum>
  <w:abstractNum w:abstractNumId="29">
    <w:nsid w:val="2A995966"/>
    <w:multiLevelType w:val="hybridMultilevel"/>
    <w:tmpl w:val="5B10FBB4"/>
    <w:lvl w:ilvl="0" w:tplc="1DA0CFF6">
      <w:start w:val="1"/>
      <w:numFmt w:val="bullet"/>
      <w:lvlText w:val=""/>
      <w:lvlJc w:val="left"/>
      <w:pPr>
        <w:ind w:left="360" w:hanging="360"/>
      </w:pPr>
      <w:rPr>
        <w:rFonts w:ascii="Symbol" w:hAnsi="Symbol" w:hint="default"/>
      </w:rPr>
    </w:lvl>
    <w:lvl w:ilvl="1" w:tplc="A9326F3A">
      <w:start w:val="1"/>
      <w:numFmt w:val="bullet"/>
      <w:lvlText w:val="o"/>
      <w:lvlJc w:val="left"/>
      <w:pPr>
        <w:ind w:left="1080" w:hanging="360"/>
      </w:pPr>
      <w:rPr>
        <w:rFonts w:ascii="Courier New" w:hAnsi="Courier New" w:cs="Courier New" w:hint="default"/>
      </w:rPr>
    </w:lvl>
    <w:lvl w:ilvl="2" w:tplc="75B8AB82" w:tentative="1">
      <w:start w:val="1"/>
      <w:numFmt w:val="bullet"/>
      <w:lvlText w:val=""/>
      <w:lvlJc w:val="left"/>
      <w:pPr>
        <w:ind w:left="1800" w:hanging="360"/>
      </w:pPr>
      <w:rPr>
        <w:rFonts w:ascii="Wingdings" w:hAnsi="Wingdings" w:hint="default"/>
      </w:rPr>
    </w:lvl>
    <w:lvl w:ilvl="3" w:tplc="27287708" w:tentative="1">
      <w:start w:val="1"/>
      <w:numFmt w:val="bullet"/>
      <w:lvlText w:val=""/>
      <w:lvlJc w:val="left"/>
      <w:pPr>
        <w:ind w:left="2520" w:hanging="360"/>
      </w:pPr>
      <w:rPr>
        <w:rFonts w:ascii="Symbol" w:hAnsi="Symbol" w:hint="default"/>
      </w:rPr>
    </w:lvl>
    <w:lvl w:ilvl="4" w:tplc="0D74785A" w:tentative="1">
      <w:start w:val="1"/>
      <w:numFmt w:val="bullet"/>
      <w:lvlText w:val="o"/>
      <w:lvlJc w:val="left"/>
      <w:pPr>
        <w:ind w:left="3240" w:hanging="360"/>
      </w:pPr>
      <w:rPr>
        <w:rFonts w:ascii="Courier New" w:hAnsi="Courier New" w:cs="Courier New" w:hint="default"/>
      </w:rPr>
    </w:lvl>
    <w:lvl w:ilvl="5" w:tplc="825A589E" w:tentative="1">
      <w:start w:val="1"/>
      <w:numFmt w:val="bullet"/>
      <w:lvlText w:val=""/>
      <w:lvlJc w:val="left"/>
      <w:pPr>
        <w:ind w:left="3960" w:hanging="360"/>
      </w:pPr>
      <w:rPr>
        <w:rFonts w:ascii="Wingdings" w:hAnsi="Wingdings" w:hint="default"/>
      </w:rPr>
    </w:lvl>
    <w:lvl w:ilvl="6" w:tplc="328C7360" w:tentative="1">
      <w:start w:val="1"/>
      <w:numFmt w:val="bullet"/>
      <w:lvlText w:val=""/>
      <w:lvlJc w:val="left"/>
      <w:pPr>
        <w:ind w:left="4680" w:hanging="360"/>
      </w:pPr>
      <w:rPr>
        <w:rFonts w:ascii="Symbol" w:hAnsi="Symbol" w:hint="default"/>
      </w:rPr>
    </w:lvl>
    <w:lvl w:ilvl="7" w:tplc="C1B02A48" w:tentative="1">
      <w:start w:val="1"/>
      <w:numFmt w:val="bullet"/>
      <w:lvlText w:val="o"/>
      <w:lvlJc w:val="left"/>
      <w:pPr>
        <w:ind w:left="5400" w:hanging="360"/>
      </w:pPr>
      <w:rPr>
        <w:rFonts w:ascii="Courier New" w:hAnsi="Courier New" w:cs="Courier New" w:hint="default"/>
      </w:rPr>
    </w:lvl>
    <w:lvl w:ilvl="8" w:tplc="87D690AE" w:tentative="1">
      <w:start w:val="1"/>
      <w:numFmt w:val="bullet"/>
      <w:lvlText w:val=""/>
      <w:lvlJc w:val="left"/>
      <w:pPr>
        <w:ind w:left="6120" w:hanging="360"/>
      </w:pPr>
      <w:rPr>
        <w:rFonts w:ascii="Wingdings" w:hAnsi="Wingdings" w:hint="default"/>
      </w:rPr>
    </w:lvl>
  </w:abstractNum>
  <w:abstractNum w:abstractNumId="30">
    <w:nsid w:val="2D130078"/>
    <w:multiLevelType w:val="hybridMultilevel"/>
    <w:tmpl w:val="58D8BACC"/>
    <w:lvl w:ilvl="0" w:tplc="DF2071D6">
      <w:start w:val="1"/>
      <w:numFmt w:val="lowerRoman"/>
      <w:lvlText w:val="%1)"/>
      <w:lvlJc w:val="left"/>
      <w:pPr>
        <w:tabs>
          <w:tab w:val="num" w:pos="1080"/>
        </w:tabs>
        <w:ind w:left="1080" w:hanging="720"/>
      </w:pPr>
      <w:rPr>
        <w:rFonts w:hint="default"/>
      </w:rPr>
    </w:lvl>
    <w:lvl w:ilvl="1" w:tplc="7F4E6BCA" w:tentative="1">
      <w:start w:val="1"/>
      <w:numFmt w:val="lowerLetter"/>
      <w:lvlText w:val="%2."/>
      <w:lvlJc w:val="left"/>
      <w:pPr>
        <w:tabs>
          <w:tab w:val="num" w:pos="1440"/>
        </w:tabs>
        <w:ind w:left="1440" w:hanging="360"/>
      </w:pPr>
    </w:lvl>
    <w:lvl w:ilvl="2" w:tplc="89BA0A3E" w:tentative="1">
      <w:start w:val="1"/>
      <w:numFmt w:val="lowerRoman"/>
      <w:lvlText w:val="%3."/>
      <w:lvlJc w:val="right"/>
      <w:pPr>
        <w:tabs>
          <w:tab w:val="num" w:pos="2160"/>
        </w:tabs>
        <w:ind w:left="2160" w:hanging="180"/>
      </w:pPr>
    </w:lvl>
    <w:lvl w:ilvl="3" w:tplc="31E47F2A" w:tentative="1">
      <w:start w:val="1"/>
      <w:numFmt w:val="decimal"/>
      <w:lvlText w:val="%4."/>
      <w:lvlJc w:val="left"/>
      <w:pPr>
        <w:tabs>
          <w:tab w:val="num" w:pos="2880"/>
        </w:tabs>
        <w:ind w:left="2880" w:hanging="360"/>
      </w:pPr>
    </w:lvl>
    <w:lvl w:ilvl="4" w:tplc="D9541FF6" w:tentative="1">
      <w:start w:val="1"/>
      <w:numFmt w:val="lowerLetter"/>
      <w:lvlText w:val="%5."/>
      <w:lvlJc w:val="left"/>
      <w:pPr>
        <w:tabs>
          <w:tab w:val="num" w:pos="3600"/>
        </w:tabs>
        <w:ind w:left="3600" w:hanging="360"/>
      </w:pPr>
    </w:lvl>
    <w:lvl w:ilvl="5" w:tplc="91B8DE2C" w:tentative="1">
      <w:start w:val="1"/>
      <w:numFmt w:val="lowerRoman"/>
      <w:lvlText w:val="%6."/>
      <w:lvlJc w:val="right"/>
      <w:pPr>
        <w:tabs>
          <w:tab w:val="num" w:pos="4320"/>
        </w:tabs>
        <w:ind w:left="4320" w:hanging="180"/>
      </w:pPr>
    </w:lvl>
    <w:lvl w:ilvl="6" w:tplc="D952C4A8" w:tentative="1">
      <w:start w:val="1"/>
      <w:numFmt w:val="decimal"/>
      <w:lvlText w:val="%7."/>
      <w:lvlJc w:val="left"/>
      <w:pPr>
        <w:tabs>
          <w:tab w:val="num" w:pos="5040"/>
        </w:tabs>
        <w:ind w:left="5040" w:hanging="360"/>
      </w:pPr>
    </w:lvl>
    <w:lvl w:ilvl="7" w:tplc="02A83864" w:tentative="1">
      <w:start w:val="1"/>
      <w:numFmt w:val="lowerLetter"/>
      <w:lvlText w:val="%8."/>
      <w:lvlJc w:val="left"/>
      <w:pPr>
        <w:tabs>
          <w:tab w:val="num" w:pos="5760"/>
        </w:tabs>
        <w:ind w:left="5760" w:hanging="360"/>
      </w:pPr>
    </w:lvl>
    <w:lvl w:ilvl="8" w:tplc="CDA2675E" w:tentative="1">
      <w:start w:val="1"/>
      <w:numFmt w:val="lowerRoman"/>
      <w:lvlText w:val="%9."/>
      <w:lvlJc w:val="right"/>
      <w:pPr>
        <w:tabs>
          <w:tab w:val="num" w:pos="6480"/>
        </w:tabs>
        <w:ind w:left="6480" w:hanging="180"/>
      </w:pPr>
    </w:lvl>
  </w:abstractNum>
  <w:abstractNum w:abstractNumId="31">
    <w:nsid w:val="2ECD1A5E"/>
    <w:multiLevelType w:val="hybridMultilevel"/>
    <w:tmpl w:val="5D8C1E6C"/>
    <w:lvl w:ilvl="0" w:tplc="90E4F34C">
      <w:start w:val="1"/>
      <w:numFmt w:val="bullet"/>
      <w:lvlText w:val=""/>
      <w:lvlJc w:val="left"/>
      <w:pPr>
        <w:tabs>
          <w:tab w:val="num" w:pos="720"/>
        </w:tabs>
        <w:ind w:left="720" w:hanging="360"/>
      </w:pPr>
      <w:rPr>
        <w:rFonts w:ascii="Wingdings" w:hAnsi="Wingdings" w:hint="default"/>
      </w:rPr>
    </w:lvl>
    <w:lvl w:ilvl="1" w:tplc="49EEB564" w:tentative="1">
      <w:start w:val="1"/>
      <w:numFmt w:val="bullet"/>
      <w:lvlText w:val="o"/>
      <w:lvlJc w:val="left"/>
      <w:pPr>
        <w:tabs>
          <w:tab w:val="num" w:pos="1440"/>
        </w:tabs>
        <w:ind w:left="1440" w:hanging="360"/>
      </w:pPr>
      <w:rPr>
        <w:rFonts w:ascii="Courier New" w:hAnsi="Courier New" w:cs="Courier New" w:hint="default"/>
      </w:rPr>
    </w:lvl>
    <w:lvl w:ilvl="2" w:tplc="5BF2C5BC" w:tentative="1">
      <w:start w:val="1"/>
      <w:numFmt w:val="bullet"/>
      <w:lvlText w:val=""/>
      <w:lvlJc w:val="left"/>
      <w:pPr>
        <w:tabs>
          <w:tab w:val="num" w:pos="2160"/>
        </w:tabs>
        <w:ind w:left="2160" w:hanging="360"/>
      </w:pPr>
      <w:rPr>
        <w:rFonts w:ascii="Wingdings" w:hAnsi="Wingdings" w:hint="default"/>
      </w:rPr>
    </w:lvl>
    <w:lvl w:ilvl="3" w:tplc="53CC163C" w:tentative="1">
      <w:start w:val="1"/>
      <w:numFmt w:val="bullet"/>
      <w:lvlText w:val=""/>
      <w:lvlJc w:val="left"/>
      <w:pPr>
        <w:tabs>
          <w:tab w:val="num" w:pos="2880"/>
        </w:tabs>
        <w:ind w:left="2880" w:hanging="360"/>
      </w:pPr>
      <w:rPr>
        <w:rFonts w:ascii="Symbol" w:hAnsi="Symbol" w:hint="default"/>
      </w:rPr>
    </w:lvl>
    <w:lvl w:ilvl="4" w:tplc="6F8E2750" w:tentative="1">
      <w:start w:val="1"/>
      <w:numFmt w:val="bullet"/>
      <w:lvlText w:val="o"/>
      <w:lvlJc w:val="left"/>
      <w:pPr>
        <w:tabs>
          <w:tab w:val="num" w:pos="3600"/>
        </w:tabs>
        <w:ind w:left="3600" w:hanging="360"/>
      </w:pPr>
      <w:rPr>
        <w:rFonts w:ascii="Courier New" w:hAnsi="Courier New" w:cs="Courier New" w:hint="default"/>
      </w:rPr>
    </w:lvl>
    <w:lvl w:ilvl="5" w:tplc="A9A81ADE" w:tentative="1">
      <w:start w:val="1"/>
      <w:numFmt w:val="bullet"/>
      <w:lvlText w:val=""/>
      <w:lvlJc w:val="left"/>
      <w:pPr>
        <w:tabs>
          <w:tab w:val="num" w:pos="4320"/>
        </w:tabs>
        <w:ind w:left="4320" w:hanging="360"/>
      </w:pPr>
      <w:rPr>
        <w:rFonts w:ascii="Wingdings" w:hAnsi="Wingdings" w:hint="default"/>
      </w:rPr>
    </w:lvl>
    <w:lvl w:ilvl="6" w:tplc="3FE6ECDC" w:tentative="1">
      <w:start w:val="1"/>
      <w:numFmt w:val="bullet"/>
      <w:lvlText w:val=""/>
      <w:lvlJc w:val="left"/>
      <w:pPr>
        <w:tabs>
          <w:tab w:val="num" w:pos="5040"/>
        </w:tabs>
        <w:ind w:left="5040" w:hanging="360"/>
      </w:pPr>
      <w:rPr>
        <w:rFonts w:ascii="Symbol" w:hAnsi="Symbol" w:hint="default"/>
      </w:rPr>
    </w:lvl>
    <w:lvl w:ilvl="7" w:tplc="41E692B6" w:tentative="1">
      <w:start w:val="1"/>
      <w:numFmt w:val="bullet"/>
      <w:lvlText w:val="o"/>
      <w:lvlJc w:val="left"/>
      <w:pPr>
        <w:tabs>
          <w:tab w:val="num" w:pos="5760"/>
        </w:tabs>
        <w:ind w:left="5760" w:hanging="360"/>
      </w:pPr>
      <w:rPr>
        <w:rFonts w:ascii="Courier New" w:hAnsi="Courier New" w:cs="Courier New" w:hint="default"/>
      </w:rPr>
    </w:lvl>
    <w:lvl w:ilvl="8" w:tplc="DC42585A" w:tentative="1">
      <w:start w:val="1"/>
      <w:numFmt w:val="bullet"/>
      <w:lvlText w:val=""/>
      <w:lvlJc w:val="left"/>
      <w:pPr>
        <w:tabs>
          <w:tab w:val="num" w:pos="6480"/>
        </w:tabs>
        <w:ind w:left="6480" w:hanging="360"/>
      </w:pPr>
      <w:rPr>
        <w:rFonts w:ascii="Wingdings" w:hAnsi="Wingdings" w:hint="default"/>
      </w:rPr>
    </w:lvl>
  </w:abstractNum>
  <w:abstractNum w:abstractNumId="32">
    <w:nsid w:val="2EFC378E"/>
    <w:multiLevelType w:val="hybridMultilevel"/>
    <w:tmpl w:val="4E2673C6"/>
    <w:lvl w:ilvl="0" w:tplc="16808A3C">
      <w:start w:val="1"/>
      <w:numFmt w:val="bullet"/>
      <w:lvlText w:val="-"/>
      <w:lvlJc w:val="left"/>
      <w:pPr>
        <w:ind w:left="360" w:hanging="360"/>
      </w:pPr>
      <w:rPr>
        <w:rFonts w:ascii="Arial" w:eastAsia="Times New Roman" w:hAnsi="Arial" w:hint="default"/>
      </w:rPr>
    </w:lvl>
    <w:lvl w:ilvl="1" w:tplc="8C483F3C" w:tentative="1">
      <w:start w:val="1"/>
      <w:numFmt w:val="bullet"/>
      <w:lvlText w:val="o"/>
      <w:lvlJc w:val="left"/>
      <w:pPr>
        <w:ind w:left="1080" w:hanging="360"/>
      </w:pPr>
      <w:rPr>
        <w:rFonts w:ascii="Courier New" w:hAnsi="Courier New" w:cs="Courier New" w:hint="default"/>
      </w:rPr>
    </w:lvl>
    <w:lvl w:ilvl="2" w:tplc="4F20CEAC" w:tentative="1">
      <w:start w:val="1"/>
      <w:numFmt w:val="bullet"/>
      <w:lvlText w:val=""/>
      <w:lvlJc w:val="left"/>
      <w:pPr>
        <w:ind w:left="1800" w:hanging="360"/>
      </w:pPr>
      <w:rPr>
        <w:rFonts w:ascii="Wingdings" w:hAnsi="Wingdings" w:hint="default"/>
      </w:rPr>
    </w:lvl>
    <w:lvl w:ilvl="3" w:tplc="5BF8B1B2" w:tentative="1">
      <w:start w:val="1"/>
      <w:numFmt w:val="bullet"/>
      <w:lvlText w:val=""/>
      <w:lvlJc w:val="left"/>
      <w:pPr>
        <w:ind w:left="2520" w:hanging="360"/>
      </w:pPr>
      <w:rPr>
        <w:rFonts w:ascii="Symbol" w:hAnsi="Symbol" w:hint="default"/>
      </w:rPr>
    </w:lvl>
    <w:lvl w:ilvl="4" w:tplc="7BA62DA2" w:tentative="1">
      <w:start w:val="1"/>
      <w:numFmt w:val="bullet"/>
      <w:lvlText w:val="o"/>
      <w:lvlJc w:val="left"/>
      <w:pPr>
        <w:ind w:left="3240" w:hanging="360"/>
      </w:pPr>
      <w:rPr>
        <w:rFonts w:ascii="Courier New" w:hAnsi="Courier New" w:cs="Courier New" w:hint="default"/>
      </w:rPr>
    </w:lvl>
    <w:lvl w:ilvl="5" w:tplc="1CF8A9DC" w:tentative="1">
      <w:start w:val="1"/>
      <w:numFmt w:val="bullet"/>
      <w:lvlText w:val=""/>
      <w:lvlJc w:val="left"/>
      <w:pPr>
        <w:ind w:left="3960" w:hanging="360"/>
      </w:pPr>
      <w:rPr>
        <w:rFonts w:ascii="Wingdings" w:hAnsi="Wingdings" w:hint="default"/>
      </w:rPr>
    </w:lvl>
    <w:lvl w:ilvl="6" w:tplc="117401D0" w:tentative="1">
      <w:start w:val="1"/>
      <w:numFmt w:val="bullet"/>
      <w:lvlText w:val=""/>
      <w:lvlJc w:val="left"/>
      <w:pPr>
        <w:ind w:left="4680" w:hanging="360"/>
      </w:pPr>
      <w:rPr>
        <w:rFonts w:ascii="Symbol" w:hAnsi="Symbol" w:hint="default"/>
      </w:rPr>
    </w:lvl>
    <w:lvl w:ilvl="7" w:tplc="CF64AFD4" w:tentative="1">
      <w:start w:val="1"/>
      <w:numFmt w:val="bullet"/>
      <w:lvlText w:val="o"/>
      <w:lvlJc w:val="left"/>
      <w:pPr>
        <w:ind w:left="5400" w:hanging="360"/>
      </w:pPr>
      <w:rPr>
        <w:rFonts w:ascii="Courier New" w:hAnsi="Courier New" w:cs="Courier New" w:hint="default"/>
      </w:rPr>
    </w:lvl>
    <w:lvl w:ilvl="8" w:tplc="E1366B60" w:tentative="1">
      <w:start w:val="1"/>
      <w:numFmt w:val="bullet"/>
      <w:lvlText w:val=""/>
      <w:lvlJc w:val="left"/>
      <w:pPr>
        <w:ind w:left="6120" w:hanging="360"/>
      </w:pPr>
      <w:rPr>
        <w:rFonts w:ascii="Wingdings" w:hAnsi="Wingdings" w:hint="default"/>
      </w:rPr>
    </w:lvl>
  </w:abstractNum>
  <w:abstractNum w:abstractNumId="33">
    <w:nsid w:val="33EE7164"/>
    <w:multiLevelType w:val="multilevel"/>
    <w:tmpl w:val="A36041B8"/>
    <w:lvl w:ilvl="0">
      <w:start w:val="1"/>
      <w:numFmt w:val="decimal"/>
      <w:lvlText w:val="%1."/>
      <w:lvlJc w:val="left"/>
      <w:pPr>
        <w:ind w:left="360" w:hanging="360"/>
      </w:pPr>
      <w:rPr>
        <w:rFonts w:hint="default"/>
        <w:color w:val="002060"/>
        <w:lang w:val="es-ES"/>
      </w:rPr>
    </w:lvl>
    <w:lvl w:ilvl="1">
      <w:start w:val="5"/>
      <w:numFmt w:val="decimal"/>
      <w:isLgl/>
      <w:lvlText w:val="%1.%2."/>
      <w:lvlJc w:val="left"/>
      <w:pPr>
        <w:ind w:left="720" w:hanging="720"/>
      </w:pPr>
      <w:rPr>
        <w:rFonts w:hint="default"/>
        <w:color w:val="FF00FF"/>
      </w:rPr>
    </w:lvl>
    <w:lvl w:ilvl="2">
      <w:start w:val="1"/>
      <w:numFmt w:val="decimal"/>
      <w:isLgl/>
      <w:lvlText w:val="%1.%2.%3."/>
      <w:lvlJc w:val="left"/>
      <w:pPr>
        <w:ind w:left="720" w:hanging="720"/>
      </w:pPr>
      <w:rPr>
        <w:rFonts w:hint="default"/>
        <w:color w:val="FF00FF"/>
      </w:rPr>
    </w:lvl>
    <w:lvl w:ilvl="3">
      <w:start w:val="1"/>
      <w:numFmt w:val="decimal"/>
      <w:isLgl/>
      <w:lvlText w:val="%1.%2.%3.%4."/>
      <w:lvlJc w:val="left"/>
      <w:pPr>
        <w:ind w:left="1080" w:hanging="1080"/>
      </w:pPr>
      <w:rPr>
        <w:rFonts w:hint="default"/>
        <w:color w:val="FF00FF"/>
      </w:rPr>
    </w:lvl>
    <w:lvl w:ilvl="4">
      <w:start w:val="1"/>
      <w:numFmt w:val="decimal"/>
      <w:isLgl/>
      <w:lvlText w:val="%1.%2.%3.%4.%5."/>
      <w:lvlJc w:val="left"/>
      <w:pPr>
        <w:ind w:left="1080" w:hanging="1080"/>
      </w:pPr>
      <w:rPr>
        <w:rFonts w:hint="default"/>
        <w:color w:val="FF00FF"/>
      </w:rPr>
    </w:lvl>
    <w:lvl w:ilvl="5">
      <w:start w:val="1"/>
      <w:numFmt w:val="decimal"/>
      <w:isLgl/>
      <w:lvlText w:val="%1.%2.%3.%4.%5.%6."/>
      <w:lvlJc w:val="left"/>
      <w:pPr>
        <w:ind w:left="1440" w:hanging="1440"/>
      </w:pPr>
      <w:rPr>
        <w:rFonts w:hint="default"/>
        <w:color w:val="FF00FF"/>
      </w:rPr>
    </w:lvl>
    <w:lvl w:ilvl="6">
      <w:start w:val="1"/>
      <w:numFmt w:val="decimal"/>
      <w:isLgl/>
      <w:lvlText w:val="%1.%2.%3.%4.%5.%6.%7."/>
      <w:lvlJc w:val="left"/>
      <w:pPr>
        <w:ind w:left="1440" w:hanging="1440"/>
      </w:pPr>
      <w:rPr>
        <w:rFonts w:hint="default"/>
        <w:color w:val="FF00FF"/>
      </w:rPr>
    </w:lvl>
    <w:lvl w:ilvl="7">
      <w:start w:val="1"/>
      <w:numFmt w:val="decimal"/>
      <w:isLgl/>
      <w:lvlText w:val="%1.%2.%3.%4.%5.%6.%7.%8."/>
      <w:lvlJc w:val="left"/>
      <w:pPr>
        <w:ind w:left="1800" w:hanging="1800"/>
      </w:pPr>
      <w:rPr>
        <w:rFonts w:hint="default"/>
        <w:color w:val="FF00FF"/>
      </w:rPr>
    </w:lvl>
    <w:lvl w:ilvl="8">
      <w:start w:val="1"/>
      <w:numFmt w:val="decimal"/>
      <w:isLgl/>
      <w:lvlText w:val="%1.%2.%3.%4.%5.%6.%7.%8.%9."/>
      <w:lvlJc w:val="left"/>
      <w:pPr>
        <w:ind w:left="1800" w:hanging="1800"/>
      </w:pPr>
      <w:rPr>
        <w:rFonts w:hint="default"/>
        <w:color w:val="FF00FF"/>
      </w:rPr>
    </w:lvl>
  </w:abstractNum>
  <w:abstractNum w:abstractNumId="34">
    <w:nsid w:val="34AE4553"/>
    <w:multiLevelType w:val="hybridMultilevel"/>
    <w:tmpl w:val="981CE354"/>
    <w:lvl w:ilvl="0" w:tplc="B12683D8">
      <w:start w:val="1"/>
      <w:numFmt w:val="bullet"/>
      <w:lvlText w:val=""/>
      <w:lvlJc w:val="left"/>
      <w:pPr>
        <w:ind w:left="360" w:hanging="360"/>
      </w:pPr>
      <w:rPr>
        <w:rFonts w:ascii="Symbol" w:hAnsi="Symbol" w:hint="default"/>
      </w:rPr>
    </w:lvl>
    <w:lvl w:ilvl="1" w:tplc="9E9438A4" w:tentative="1">
      <w:start w:val="1"/>
      <w:numFmt w:val="bullet"/>
      <w:lvlText w:val="o"/>
      <w:lvlJc w:val="left"/>
      <w:pPr>
        <w:ind w:left="1080" w:hanging="360"/>
      </w:pPr>
      <w:rPr>
        <w:rFonts w:ascii="Courier New" w:hAnsi="Courier New" w:cs="Courier New" w:hint="default"/>
      </w:rPr>
    </w:lvl>
    <w:lvl w:ilvl="2" w:tplc="5ABEB2F2" w:tentative="1">
      <w:start w:val="1"/>
      <w:numFmt w:val="bullet"/>
      <w:lvlText w:val=""/>
      <w:lvlJc w:val="left"/>
      <w:pPr>
        <w:ind w:left="1800" w:hanging="360"/>
      </w:pPr>
      <w:rPr>
        <w:rFonts w:ascii="Wingdings" w:hAnsi="Wingdings" w:hint="default"/>
      </w:rPr>
    </w:lvl>
    <w:lvl w:ilvl="3" w:tplc="6568D678" w:tentative="1">
      <w:start w:val="1"/>
      <w:numFmt w:val="bullet"/>
      <w:lvlText w:val=""/>
      <w:lvlJc w:val="left"/>
      <w:pPr>
        <w:ind w:left="2520" w:hanging="360"/>
      </w:pPr>
      <w:rPr>
        <w:rFonts w:ascii="Symbol" w:hAnsi="Symbol" w:hint="default"/>
      </w:rPr>
    </w:lvl>
    <w:lvl w:ilvl="4" w:tplc="640CAD4E" w:tentative="1">
      <w:start w:val="1"/>
      <w:numFmt w:val="bullet"/>
      <w:lvlText w:val="o"/>
      <w:lvlJc w:val="left"/>
      <w:pPr>
        <w:ind w:left="3240" w:hanging="360"/>
      </w:pPr>
      <w:rPr>
        <w:rFonts w:ascii="Courier New" w:hAnsi="Courier New" w:cs="Courier New" w:hint="default"/>
      </w:rPr>
    </w:lvl>
    <w:lvl w:ilvl="5" w:tplc="3EE2B3AA" w:tentative="1">
      <w:start w:val="1"/>
      <w:numFmt w:val="bullet"/>
      <w:lvlText w:val=""/>
      <w:lvlJc w:val="left"/>
      <w:pPr>
        <w:ind w:left="3960" w:hanging="360"/>
      </w:pPr>
      <w:rPr>
        <w:rFonts w:ascii="Wingdings" w:hAnsi="Wingdings" w:hint="default"/>
      </w:rPr>
    </w:lvl>
    <w:lvl w:ilvl="6" w:tplc="170471FA" w:tentative="1">
      <w:start w:val="1"/>
      <w:numFmt w:val="bullet"/>
      <w:lvlText w:val=""/>
      <w:lvlJc w:val="left"/>
      <w:pPr>
        <w:ind w:left="4680" w:hanging="360"/>
      </w:pPr>
      <w:rPr>
        <w:rFonts w:ascii="Symbol" w:hAnsi="Symbol" w:hint="default"/>
      </w:rPr>
    </w:lvl>
    <w:lvl w:ilvl="7" w:tplc="E6784AAA" w:tentative="1">
      <w:start w:val="1"/>
      <w:numFmt w:val="bullet"/>
      <w:lvlText w:val="o"/>
      <w:lvlJc w:val="left"/>
      <w:pPr>
        <w:ind w:left="5400" w:hanging="360"/>
      </w:pPr>
      <w:rPr>
        <w:rFonts w:ascii="Courier New" w:hAnsi="Courier New" w:cs="Courier New" w:hint="default"/>
      </w:rPr>
    </w:lvl>
    <w:lvl w:ilvl="8" w:tplc="CA582EB2" w:tentative="1">
      <w:start w:val="1"/>
      <w:numFmt w:val="bullet"/>
      <w:lvlText w:val=""/>
      <w:lvlJc w:val="left"/>
      <w:pPr>
        <w:ind w:left="6120" w:hanging="360"/>
      </w:pPr>
      <w:rPr>
        <w:rFonts w:ascii="Wingdings" w:hAnsi="Wingdings" w:hint="default"/>
      </w:rPr>
    </w:lvl>
  </w:abstractNum>
  <w:abstractNum w:abstractNumId="35">
    <w:nsid w:val="35D26F74"/>
    <w:multiLevelType w:val="hybridMultilevel"/>
    <w:tmpl w:val="F8580234"/>
    <w:lvl w:ilvl="0" w:tplc="1E784F26">
      <w:start w:val="1"/>
      <w:numFmt w:val="bullet"/>
      <w:lvlText w:val=""/>
      <w:lvlJc w:val="left"/>
      <w:pPr>
        <w:tabs>
          <w:tab w:val="num" w:pos="720"/>
        </w:tabs>
        <w:ind w:left="720" w:hanging="360"/>
      </w:pPr>
      <w:rPr>
        <w:rFonts w:ascii="Wingdings" w:hAnsi="Wingdings" w:hint="default"/>
        <w:sz w:val="24"/>
      </w:rPr>
    </w:lvl>
    <w:lvl w:ilvl="1" w:tplc="FA7AE7C8" w:tentative="1">
      <w:start w:val="1"/>
      <w:numFmt w:val="bullet"/>
      <w:lvlText w:val="o"/>
      <w:lvlJc w:val="left"/>
      <w:pPr>
        <w:tabs>
          <w:tab w:val="num" w:pos="1440"/>
        </w:tabs>
        <w:ind w:left="1440" w:hanging="360"/>
      </w:pPr>
      <w:rPr>
        <w:rFonts w:ascii="Courier New" w:hAnsi="Courier New" w:cs="Courier New" w:hint="default"/>
      </w:rPr>
    </w:lvl>
    <w:lvl w:ilvl="2" w:tplc="A83A56B6" w:tentative="1">
      <w:start w:val="1"/>
      <w:numFmt w:val="bullet"/>
      <w:lvlText w:val=""/>
      <w:lvlJc w:val="left"/>
      <w:pPr>
        <w:tabs>
          <w:tab w:val="num" w:pos="2160"/>
        </w:tabs>
        <w:ind w:left="2160" w:hanging="360"/>
      </w:pPr>
      <w:rPr>
        <w:rFonts w:ascii="Wingdings" w:hAnsi="Wingdings" w:hint="default"/>
      </w:rPr>
    </w:lvl>
    <w:lvl w:ilvl="3" w:tplc="E322180A" w:tentative="1">
      <w:start w:val="1"/>
      <w:numFmt w:val="bullet"/>
      <w:lvlText w:val=""/>
      <w:lvlJc w:val="left"/>
      <w:pPr>
        <w:tabs>
          <w:tab w:val="num" w:pos="2880"/>
        </w:tabs>
        <w:ind w:left="2880" w:hanging="360"/>
      </w:pPr>
      <w:rPr>
        <w:rFonts w:ascii="Symbol" w:hAnsi="Symbol" w:hint="default"/>
      </w:rPr>
    </w:lvl>
    <w:lvl w:ilvl="4" w:tplc="88024CAE" w:tentative="1">
      <w:start w:val="1"/>
      <w:numFmt w:val="bullet"/>
      <w:lvlText w:val="o"/>
      <w:lvlJc w:val="left"/>
      <w:pPr>
        <w:tabs>
          <w:tab w:val="num" w:pos="3600"/>
        </w:tabs>
        <w:ind w:left="3600" w:hanging="360"/>
      </w:pPr>
      <w:rPr>
        <w:rFonts w:ascii="Courier New" w:hAnsi="Courier New" w:cs="Courier New" w:hint="default"/>
      </w:rPr>
    </w:lvl>
    <w:lvl w:ilvl="5" w:tplc="3CB8B5F2" w:tentative="1">
      <w:start w:val="1"/>
      <w:numFmt w:val="bullet"/>
      <w:lvlText w:val=""/>
      <w:lvlJc w:val="left"/>
      <w:pPr>
        <w:tabs>
          <w:tab w:val="num" w:pos="4320"/>
        </w:tabs>
        <w:ind w:left="4320" w:hanging="360"/>
      </w:pPr>
      <w:rPr>
        <w:rFonts w:ascii="Wingdings" w:hAnsi="Wingdings" w:hint="default"/>
      </w:rPr>
    </w:lvl>
    <w:lvl w:ilvl="6" w:tplc="A9163FE4" w:tentative="1">
      <w:start w:val="1"/>
      <w:numFmt w:val="bullet"/>
      <w:lvlText w:val=""/>
      <w:lvlJc w:val="left"/>
      <w:pPr>
        <w:tabs>
          <w:tab w:val="num" w:pos="5040"/>
        </w:tabs>
        <w:ind w:left="5040" w:hanging="360"/>
      </w:pPr>
      <w:rPr>
        <w:rFonts w:ascii="Symbol" w:hAnsi="Symbol" w:hint="default"/>
      </w:rPr>
    </w:lvl>
    <w:lvl w:ilvl="7" w:tplc="82A0B064" w:tentative="1">
      <w:start w:val="1"/>
      <w:numFmt w:val="bullet"/>
      <w:lvlText w:val="o"/>
      <w:lvlJc w:val="left"/>
      <w:pPr>
        <w:tabs>
          <w:tab w:val="num" w:pos="5760"/>
        </w:tabs>
        <w:ind w:left="5760" w:hanging="360"/>
      </w:pPr>
      <w:rPr>
        <w:rFonts w:ascii="Courier New" w:hAnsi="Courier New" w:cs="Courier New" w:hint="default"/>
      </w:rPr>
    </w:lvl>
    <w:lvl w:ilvl="8" w:tplc="8F8446F8" w:tentative="1">
      <w:start w:val="1"/>
      <w:numFmt w:val="bullet"/>
      <w:lvlText w:val=""/>
      <w:lvlJc w:val="left"/>
      <w:pPr>
        <w:tabs>
          <w:tab w:val="num" w:pos="6480"/>
        </w:tabs>
        <w:ind w:left="6480" w:hanging="360"/>
      </w:pPr>
      <w:rPr>
        <w:rFonts w:ascii="Wingdings" w:hAnsi="Wingdings" w:hint="default"/>
      </w:rPr>
    </w:lvl>
  </w:abstractNum>
  <w:abstractNum w:abstractNumId="36">
    <w:nsid w:val="378E7173"/>
    <w:multiLevelType w:val="hybridMultilevel"/>
    <w:tmpl w:val="2DD25932"/>
    <w:lvl w:ilvl="0" w:tplc="21CABE8A">
      <w:start w:val="1"/>
      <w:numFmt w:val="bullet"/>
      <w:lvlText w:val=""/>
      <w:lvlJc w:val="left"/>
      <w:pPr>
        <w:ind w:left="927" w:hanging="360"/>
      </w:pPr>
      <w:rPr>
        <w:rFonts w:ascii="Symbol" w:hAnsi="Symbol" w:hint="default"/>
      </w:rPr>
    </w:lvl>
    <w:lvl w:ilvl="1" w:tplc="2FC4C8CE" w:tentative="1">
      <w:start w:val="1"/>
      <w:numFmt w:val="bullet"/>
      <w:lvlText w:val="o"/>
      <w:lvlJc w:val="left"/>
      <w:pPr>
        <w:ind w:left="1647" w:hanging="360"/>
      </w:pPr>
      <w:rPr>
        <w:rFonts w:ascii="Courier New" w:hAnsi="Courier New" w:cs="Courier New" w:hint="default"/>
      </w:rPr>
    </w:lvl>
    <w:lvl w:ilvl="2" w:tplc="0B728A48" w:tentative="1">
      <w:start w:val="1"/>
      <w:numFmt w:val="bullet"/>
      <w:lvlText w:val=""/>
      <w:lvlJc w:val="left"/>
      <w:pPr>
        <w:ind w:left="2367" w:hanging="360"/>
      </w:pPr>
      <w:rPr>
        <w:rFonts w:ascii="Wingdings" w:hAnsi="Wingdings" w:hint="default"/>
      </w:rPr>
    </w:lvl>
    <w:lvl w:ilvl="3" w:tplc="67689F18" w:tentative="1">
      <w:start w:val="1"/>
      <w:numFmt w:val="bullet"/>
      <w:lvlText w:val=""/>
      <w:lvlJc w:val="left"/>
      <w:pPr>
        <w:ind w:left="3087" w:hanging="360"/>
      </w:pPr>
      <w:rPr>
        <w:rFonts w:ascii="Symbol" w:hAnsi="Symbol" w:hint="default"/>
      </w:rPr>
    </w:lvl>
    <w:lvl w:ilvl="4" w:tplc="03AAF6D4" w:tentative="1">
      <w:start w:val="1"/>
      <w:numFmt w:val="bullet"/>
      <w:lvlText w:val="o"/>
      <w:lvlJc w:val="left"/>
      <w:pPr>
        <w:ind w:left="3807" w:hanging="360"/>
      </w:pPr>
      <w:rPr>
        <w:rFonts w:ascii="Courier New" w:hAnsi="Courier New" w:cs="Courier New" w:hint="default"/>
      </w:rPr>
    </w:lvl>
    <w:lvl w:ilvl="5" w:tplc="ABF6A688" w:tentative="1">
      <w:start w:val="1"/>
      <w:numFmt w:val="bullet"/>
      <w:lvlText w:val=""/>
      <w:lvlJc w:val="left"/>
      <w:pPr>
        <w:ind w:left="4527" w:hanging="360"/>
      </w:pPr>
      <w:rPr>
        <w:rFonts w:ascii="Wingdings" w:hAnsi="Wingdings" w:hint="default"/>
      </w:rPr>
    </w:lvl>
    <w:lvl w:ilvl="6" w:tplc="3CC4AF0C" w:tentative="1">
      <w:start w:val="1"/>
      <w:numFmt w:val="bullet"/>
      <w:lvlText w:val=""/>
      <w:lvlJc w:val="left"/>
      <w:pPr>
        <w:ind w:left="5247" w:hanging="360"/>
      </w:pPr>
      <w:rPr>
        <w:rFonts w:ascii="Symbol" w:hAnsi="Symbol" w:hint="default"/>
      </w:rPr>
    </w:lvl>
    <w:lvl w:ilvl="7" w:tplc="0FFE0454" w:tentative="1">
      <w:start w:val="1"/>
      <w:numFmt w:val="bullet"/>
      <w:lvlText w:val="o"/>
      <w:lvlJc w:val="left"/>
      <w:pPr>
        <w:ind w:left="5967" w:hanging="360"/>
      </w:pPr>
      <w:rPr>
        <w:rFonts w:ascii="Courier New" w:hAnsi="Courier New" w:cs="Courier New" w:hint="default"/>
      </w:rPr>
    </w:lvl>
    <w:lvl w:ilvl="8" w:tplc="6A220872" w:tentative="1">
      <w:start w:val="1"/>
      <w:numFmt w:val="bullet"/>
      <w:lvlText w:val=""/>
      <w:lvlJc w:val="left"/>
      <w:pPr>
        <w:ind w:left="6687" w:hanging="360"/>
      </w:pPr>
      <w:rPr>
        <w:rFonts w:ascii="Wingdings" w:hAnsi="Wingdings" w:hint="default"/>
      </w:rPr>
    </w:lvl>
  </w:abstractNum>
  <w:abstractNum w:abstractNumId="37">
    <w:nsid w:val="38497E5F"/>
    <w:multiLevelType w:val="hybridMultilevel"/>
    <w:tmpl w:val="98267710"/>
    <w:lvl w:ilvl="0" w:tplc="69229C56">
      <w:start w:val="1"/>
      <w:numFmt w:val="bullet"/>
      <w:lvlText w:val=""/>
      <w:lvlJc w:val="left"/>
      <w:pPr>
        <w:ind w:left="927" w:hanging="360"/>
      </w:pPr>
      <w:rPr>
        <w:rFonts w:ascii="Symbol" w:hAnsi="Symbol" w:hint="default"/>
      </w:rPr>
    </w:lvl>
    <w:lvl w:ilvl="1" w:tplc="1E44A17E" w:tentative="1">
      <w:start w:val="1"/>
      <w:numFmt w:val="bullet"/>
      <w:lvlText w:val="o"/>
      <w:lvlJc w:val="left"/>
      <w:pPr>
        <w:ind w:left="1647" w:hanging="360"/>
      </w:pPr>
      <w:rPr>
        <w:rFonts w:ascii="Courier New" w:hAnsi="Courier New" w:cs="Courier New" w:hint="default"/>
      </w:rPr>
    </w:lvl>
    <w:lvl w:ilvl="2" w:tplc="EF52AC2E" w:tentative="1">
      <w:start w:val="1"/>
      <w:numFmt w:val="bullet"/>
      <w:lvlText w:val=""/>
      <w:lvlJc w:val="left"/>
      <w:pPr>
        <w:ind w:left="2367" w:hanging="360"/>
      </w:pPr>
      <w:rPr>
        <w:rFonts w:ascii="Wingdings" w:hAnsi="Wingdings" w:hint="default"/>
      </w:rPr>
    </w:lvl>
    <w:lvl w:ilvl="3" w:tplc="F732C8F4" w:tentative="1">
      <w:start w:val="1"/>
      <w:numFmt w:val="bullet"/>
      <w:lvlText w:val=""/>
      <w:lvlJc w:val="left"/>
      <w:pPr>
        <w:ind w:left="3087" w:hanging="360"/>
      </w:pPr>
      <w:rPr>
        <w:rFonts w:ascii="Symbol" w:hAnsi="Symbol" w:hint="default"/>
      </w:rPr>
    </w:lvl>
    <w:lvl w:ilvl="4" w:tplc="CDF23996" w:tentative="1">
      <w:start w:val="1"/>
      <w:numFmt w:val="bullet"/>
      <w:lvlText w:val="o"/>
      <w:lvlJc w:val="left"/>
      <w:pPr>
        <w:ind w:left="3807" w:hanging="360"/>
      </w:pPr>
      <w:rPr>
        <w:rFonts w:ascii="Courier New" w:hAnsi="Courier New" w:cs="Courier New" w:hint="default"/>
      </w:rPr>
    </w:lvl>
    <w:lvl w:ilvl="5" w:tplc="B5DC635C" w:tentative="1">
      <w:start w:val="1"/>
      <w:numFmt w:val="bullet"/>
      <w:lvlText w:val=""/>
      <w:lvlJc w:val="left"/>
      <w:pPr>
        <w:ind w:left="4527" w:hanging="360"/>
      </w:pPr>
      <w:rPr>
        <w:rFonts w:ascii="Wingdings" w:hAnsi="Wingdings" w:hint="default"/>
      </w:rPr>
    </w:lvl>
    <w:lvl w:ilvl="6" w:tplc="3942040A" w:tentative="1">
      <w:start w:val="1"/>
      <w:numFmt w:val="bullet"/>
      <w:lvlText w:val=""/>
      <w:lvlJc w:val="left"/>
      <w:pPr>
        <w:ind w:left="5247" w:hanging="360"/>
      </w:pPr>
      <w:rPr>
        <w:rFonts w:ascii="Symbol" w:hAnsi="Symbol" w:hint="default"/>
      </w:rPr>
    </w:lvl>
    <w:lvl w:ilvl="7" w:tplc="4DC013F4" w:tentative="1">
      <w:start w:val="1"/>
      <w:numFmt w:val="bullet"/>
      <w:lvlText w:val="o"/>
      <w:lvlJc w:val="left"/>
      <w:pPr>
        <w:ind w:left="5967" w:hanging="360"/>
      </w:pPr>
      <w:rPr>
        <w:rFonts w:ascii="Courier New" w:hAnsi="Courier New" w:cs="Courier New" w:hint="default"/>
      </w:rPr>
    </w:lvl>
    <w:lvl w:ilvl="8" w:tplc="C6A890CC" w:tentative="1">
      <w:start w:val="1"/>
      <w:numFmt w:val="bullet"/>
      <w:lvlText w:val=""/>
      <w:lvlJc w:val="left"/>
      <w:pPr>
        <w:ind w:left="6687" w:hanging="360"/>
      </w:pPr>
      <w:rPr>
        <w:rFonts w:ascii="Wingdings" w:hAnsi="Wingdings" w:hint="default"/>
      </w:rPr>
    </w:lvl>
  </w:abstractNum>
  <w:abstractNum w:abstractNumId="38">
    <w:nsid w:val="3A1E6165"/>
    <w:multiLevelType w:val="hybridMultilevel"/>
    <w:tmpl w:val="79CAA5B2"/>
    <w:lvl w:ilvl="0" w:tplc="31AAC686">
      <w:start w:val="1"/>
      <w:numFmt w:val="bullet"/>
      <w:lvlText w:val=""/>
      <w:lvlJc w:val="left"/>
      <w:pPr>
        <w:ind w:left="720" w:hanging="360"/>
      </w:pPr>
      <w:rPr>
        <w:rFonts w:ascii="Symbol" w:hAnsi="Symbol" w:hint="default"/>
      </w:rPr>
    </w:lvl>
    <w:lvl w:ilvl="1" w:tplc="A30A3E42" w:tentative="1">
      <w:start w:val="1"/>
      <w:numFmt w:val="bullet"/>
      <w:lvlText w:val="o"/>
      <w:lvlJc w:val="left"/>
      <w:pPr>
        <w:ind w:left="1440" w:hanging="360"/>
      </w:pPr>
      <w:rPr>
        <w:rFonts w:ascii="Courier New" w:hAnsi="Courier New" w:cs="Courier New" w:hint="default"/>
      </w:rPr>
    </w:lvl>
    <w:lvl w:ilvl="2" w:tplc="BE1E1536" w:tentative="1">
      <w:start w:val="1"/>
      <w:numFmt w:val="bullet"/>
      <w:lvlText w:val=""/>
      <w:lvlJc w:val="left"/>
      <w:pPr>
        <w:ind w:left="2160" w:hanging="360"/>
      </w:pPr>
      <w:rPr>
        <w:rFonts w:ascii="Wingdings" w:hAnsi="Wingdings" w:hint="default"/>
      </w:rPr>
    </w:lvl>
    <w:lvl w:ilvl="3" w:tplc="28C0CFC0" w:tentative="1">
      <w:start w:val="1"/>
      <w:numFmt w:val="bullet"/>
      <w:lvlText w:val=""/>
      <w:lvlJc w:val="left"/>
      <w:pPr>
        <w:ind w:left="2880" w:hanging="360"/>
      </w:pPr>
      <w:rPr>
        <w:rFonts w:ascii="Symbol" w:hAnsi="Symbol" w:hint="default"/>
      </w:rPr>
    </w:lvl>
    <w:lvl w:ilvl="4" w:tplc="A89C04C0" w:tentative="1">
      <w:start w:val="1"/>
      <w:numFmt w:val="bullet"/>
      <w:lvlText w:val="o"/>
      <w:lvlJc w:val="left"/>
      <w:pPr>
        <w:ind w:left="3600" w:hanging="360"/>
      </w:pPr>
      <w:rPr>
        <w:rFonts w:ascii="Courier New" w:hAnsi="Courier New" w:cs="Courier New" w:hint="default"/>
      </w:rPr>
    </w:lvl>
    <w:lvl w:ilvl="5" w:tplc="ADBED8F4" w:tentative="1">
      <w:start w:val="1"/>
      <w:numFmt w:val="bullet"/>
      <w:lvlText w:val=""/>
      <w:lvlJc w:val="left"/>
      <w:pPr>
        <w:ind w:left="4320" w:hanging="360"/>
      </w:pPr>
      <w:rPr>
        <w:rFonts w:ascii="Wingdings" w:hAnsi="Wingdings" w:hint="default"/>
      </w:rPr>
    </w:lvl>
    <w:lvl w:ilvl="6" w:tplc="A52052C6" w:tentative="1">
      <w:start w:val="1"/>
      <w:numFmt w:val="bullet"/>
      <w:lvlText w:val=""/>
      <w:lvlJc w:val="left"/>
      <w:pPr>
        <w:ind w:left="5040" w:hanging="360"/>
      </w:pPr>
      <w:rPr>
        <w:rFonts w:ascii="Symbol" w:hAnsi="Symbol" w:hint="default"/>
      </w:rPr>
    </w:lvl>
    <w:lvl w:ilvl="7" w:tplc="D4FC4E98" w:tentative="1">
      <w:start w:val="1"/>
      <w:numFmt w:val="bullet"/>
      <w:lvlText w:val="o"/>
      <w:lvlJc w:val="left"/>
      <w:pPr>
        <w:ind w:left="5760" w:hanging="360"/>
      </w:pPr>
      <w:rPr>
        <w:rFonts w:ascii="Courier New" w:hAnsi="Courier New" w:cs="Courier New" w:hint="default"/>
      </w:rPr>
    </w:lvl>
    <w:lvl w:ilvl="8" w:tplc="79A2CF0A" w:tentative="1">
      <w:start w:val="1"/>
      <w:numFmt w:val="bullet"/>
      <w:lvlText w:val=""/>
      <w:lvlJc w:val="left"/>
      <w:pPr>
        <w:ind w:left="6480" w:hanging="360"/>
      </w:pPr>
      <w:rPr>
        <w:rFonts w:ascii="Wingdings" w:hAnsi="Wingdings" w:hint="default"/>
      </w:rPr>
    </w:lvl>
  </w:abstractNum>
  <w:abstractNum w:abstractNumId="39">
    <w:nsid w:val="3E5B6183"/>
    <w:multiLevelType w:val="hybridMultilevel"/>
    <w:tmpl w:val="7A70A786"/>
    <w:lvl w:ilvl="0" w:tplc="8AB4A446">
      <w:start w:val="1"/>
      <w:numFmt w:val="bullet"/>
      <w:lvlText w:val=""/>
      <w:lvlJc w:val="left"/>
      <w:pPr>
        <w:ind w:left="360" w:hanging="360"/>
      </w:pPr>
      <w:rPr>
        <w:rFonts w:ascii="Symbol" w:hAnsi="Symbol" w:hint="default"/>
      </w:rPr>
    </w:lvl>
    <w:lvl w:ilvl="1" w:tplc="B980F206" w:tentative="1">
      <w:start w:val="1"/>
      <w:numFmt w:val="bullet"/>
      <w:lvlText w:val="o"/>
      <w:lvlJc w:val="left"/>
      <w:pPr>
        <w:ind w:left="1080" w:hanging="360"/>
      </w:pPr>
      <w:rPr>
        <w:rFonts w:ascii="Courier New" w:hAnsi="Courier New" w:cs="Courier New" w:hint="default"/>
      </w:rPr>
    </w:lvl>
    <w:lvl w:ilvl="2" w:tplc="60BA5694" w:tentative="1">
      <w:start w:val="1"/>
      <w:numFmt w:val="bullet"/>
      <w:lvlText w:val=""/>
      <w:lvlJc w:val="left"/>
      <w:pPr>
        <w:ind w:left="1800" w:hanging="360"/>
      </w:pPr>
      <w:rPr>
        <w:rFonts w:ascii="Wingdings" w:hAnsi="Wingdings" w:hint="default"/>
      </w:rPr>
    </w:lvl>
    <w:lvl w:ilvl="3" w:tplc="D856FC18" w:tentative="1">
      <w:start w:val="1"/>
      <w:numFmt w:val="bullet"/>
      <w:lvlText w:val=""/>
      <w:lvlJc w:val="left"/>
      <w:pPr>
        <w:ind w:left="2520" w:hanging="360"/>
      </w:pPr>
      <w:rPr>
        <w:rFonts w:ascii="Symbol" w:hAnsi="Symbol" w:hint="default"/>
      </w:rPr>
    </w:lvl>
    <w:lvl w:ilvl="4" w:tplc="C9D455BA" w:tentative="1">
      <w:start w:val="1"/>
      <w:numFmt w:val="bullet"/>
      <w:lvlText w:val="o"/>
      <w:lvlJc w:val="left"/>
      <w:pPr>
        <w:ind w:left="3240" w:hanging="360"/>
      </w:pPr>
      <w:rPr>
        <w:rFonts w:ascii="Courier New" w:hAnsi="Courier New" w:cs="Courier New" w:hint="default"/>
      </w:rPr>
    </w:lvl>
    <w:lvl w:ilvl="5" w:tplc="1E8E778E" w:tentative="1">
      <w:start w:val="1"/>
      <w:numFmt w:val="bullet"/>
      <w:lvlText w:val=""/>
      <w:lvlJc w:val="left"/>
      <w:pPr>
        <w:ind w:left="3960" w:hanging="360"/>
      </w:pPr>
      <w:rPr>
        <w:rFonts w:ascii="Wingdings" w:hAnsi="Wingdings" w:hint="default"/>
      </w:rPr>
    </w:lvl>
    <w:lvl w:ilvl="6" w:tplc="E58CB9FE" w:tentative="1">
      <w:start w:val="1"/>
      <w:numFmt w:val="bullet"/>
      <w:lvlText w:val=""/>
      <w:lvlJc w:val="left"/>
      <w:pPr>
        <w:ind w:left="4680" w:hanging="360"/>
      </w:pPr>
      <w:rPr>
        <w:rFonts w:ascii="Symbol" w:hAnsi="Symbol" w:hint="default"/>
      </w:rPr>
    </w:lvl>
    <w:lvl w:ilvl="7" w:tplc="E25A2F18" w:tentative="1">
      <w:start w:val="1"/>
      <w:numFmt w:val="bullet"/>
      <w:lvlText w:val="o"/>
      <w:lvlJc w:val="left"/>
      <w:pPr>
        <w:ind w:left="5400" w:hanging="360"/>
      </w:pPr>
      <w:rPr>
        <w:rFonts w:ascii="Courier New" w:hAnsi="Courier New" w:cs="Courier New" w:hint="default"/>
      </w:rPr>
    </w:lvl>
    <w:lvl w:ilvl="8" w:tplc="32EE52B0" w:tentative="1">
      <w:start w:val="1"/>
      <w:numFmt w:val="bullet"/>
      <w:lvlText w:val=""/>
      <w:lvlJc w:val="left"/>
      <w:pPr>
        <w:ind w:left="6120" w:hanging="360"/>
      </w:pPr>
      <w:rPr>
        <w:rFonts w:ascii="Wingdings" w:hAnsi="Wingdings" w:hint="default"/>
      </w:rPr>
    </w:lvl>
  </w:abstractNum>
  <w:abstractNum w:abstractNumId="40">
    <w:nsid w:val="3F835284"/>
    <w:multiLevelType w:val="hybridMultilevel"/>
    <w:tmpl w:val="7308748E"/>
    <w:lvl w:ilvl="0" w:tplc="4D841250">
      <w:start w:val="1"/>
      <w:numFmt w:val="lowerRoman"/>
      <w:lvlText w:val="%1)"/>
      <w:lvlJc w:val="right"/>
      <w:pPr>
        <w:ind w:left="720" w:hanging="720"/>
      </w:pPr>
      <w:rPr>
        <w:rFonts w:hint="default"/>
      </w:rPr>
    </w:lvl>
    <w:lvl w:ilvl="1" w:tplc="94145424" w:tentative="1">
      <w:start w:val="1"/>
      <w:numFmt w:val="lowerLetter"/>
      <w:lvlText w:val="%2."/>
      <w:lvlJc w:val="left"/>
      <w:pPr>
        <w:ind w:left="1080" w:hanging="360"/>
      </w:pPr>
    </w:lvl>
    <w:lvl w:ilvl="2" w:tplc="5EBCAC56" w:tentative="1">
      <w:start w:val="1"/>
      <w:numFmt w:val="lowerRoman"/>
      <w:lvlText w:val="%3."/>
      <w:lvlJc w:val="right"/>
      <w:pPr>
        <w:ind w:left="1800" w:hanging="180"/>
      </w:pPr>
    </w:lvl>
    <w:lvl w:ilvl="3" w:tplc="0EBEF92A" w:tentative="1">
      <w:start w:val="1"/>
      <w:numFmt w:val="decimal"/>
      <w:lvlText w:val="%4."/>
      <w:lvlJc w:val="left"/>
      <w:pPr>
        <w:ind w:left="2520" w:hanging="360"/>
      </w:pPr>
    </w:lvl>
    <w:lvl w:ilvl="4" w:tplc="78D87546" w:tentative="1">
      <w:start w:val="1"/>
      <w:numFmt w:val="lowerLetter"/>
      <w:lvlText w:val="%5."/>
      <w:lvlJc w:val="left"/>
      <w:pPr>
        <w:ind w:left="3240" w:hanging="360"/>
      </w:pPr>
    </w:lvl>
    <w:lvl w:ilvl="5" w:tplc="66B0FA1E" w:tentative="1">
      <w:start w:val="1"/>
      <w:numFmt w:val="lowerRoman"/>
      <w:lvlText w:val="%6."/>
      <w:lvlJc w:val="right"/>
      <w:pPr>
        <w:ind w:left="3960" w:hanging="180"/>
      </w:pPr>
    </w:lvl>
    <w:lvl w:ilvl="6" w:tplc="E01ACF52" w:tentative="1">
      <w:start w:val="1"/>
      <w:numFmt w:val="decimal"/>
      <w:lvlText w:val="%7."/>
      <w:lvlJc w:val="left"/>
      <w:pPr>
        <w:ind w:left="4680" w:hanging="360"/>
      </w:pPr>
    </w:lvl>
    <w:lvl w:ilvl="7" w:tplc="F6246C70" w:tentative="1">
      <w:start w:val="1"/>
      <w:numFmt w:val="lowerLetter"/>
      <w:lvlText w:val="%8."/>
      <w:lvlJc w:val="left"/>
      <w:pPr>
        <w:ind w:left="5400" w:hanging="360"/>
      </w:pPr>
    </w:lvl>
    <w:lvl w:ilvl="8" w:tplc="A65EE3CE" w:tentative="1">
      <w:start w:val="1"/>
      <w:numFmt w:val="lowerRoman"/>
      <w:lvlText w:val="%9."/>
      <w:lvlJc w:val="right"/>
      <w:pPr>
        <w:ind w:left="6120" w:hanging="180"/>
      </w:pPr>
    </w:lvl>
  </w:abstractNum>
  <w:abstractNum w:abstractNumId="41">
    <w:nsid w:val="4106349D"/>
    <w:multiLevelType w:val="hybridMultilevel"/>
    <w:tmpl w:val="4BB02048"/>
    <w:lvl w:ilvl="0" w:tplc="50D807F0">
      <w:start w:val="1"/>
      <w:numFmt w:val="bullet"/>
      <w:lvlText w:val=""/>
      <w:lvlJc w:val="left"/>
      <w:pPr>
        <w:ind w:left="360" w:hanging="360"/>
      </w:pPr>
      <w:rPr>
        <w:rFonts w:ascii="Symbol" w:hAnsi="Symbol" w:hint="default"/>
      </w:rPr>
    </w:lvl>
    <w:lvl w:ilvl="1" w:tplc="BC0CBF24" w:tentative="1">
      <w:start w:val="1"/>
      <w:numFmt w:val="bullet"/>
      <w:lvlText w:val="o"/>
      <w:lvlJc w:val="left"/>
      <w:pPr>
        <w:ind w:left="1080" w:hanging="360"/>
      </w:pPr>
      <w:rPr>
        <w:rFonts w:ascii="Courier New" w:hAnsi="Courier New" w:cs="Courier New" w:hint="default"/>
      </w:rPr>
    </w:lvl>
    <w:lvl w:ilvl="2" w:tplc="41409FF0" w:tentative="1">
      <w:start w:val="1"/>
      <w:numFmt w:val="bullet"/>
      <w:lvlText w:val=""/>
      <w:lvlJc w:val="left"/>
      <w:pPr>
        <w:ind w:left="1800" w:hanging="360"/>
      </w:pPr>
      <w:rPr>
        <w:rFonts w:ascii="Wingdings" w:hAnsi="Wingdings" w:hint="default"/>
      </w:rPr>
    </w:lvl>
    <w:lvl w:ilvl="3" w:tplc="6268A4B2" w:tentative="1">
      <w:start w:val="1"/>
      <w:numFmt w:val="bullet"/>
      <w:lvlText w:val=""/>
      <w:lvlJc w:val="left"/>
      <w:pPr>
        <w:ind w:left="2520" w:hanging="360"/>
      </w:pPr>
      <w:rPr>
        <w:rFonts w:ascii="Symbol" w:hAnsi="Symbol" w:hint="default"/>
      </w:rPr>
    </w:lvl>
    <w:lvl w:ilvl="4" w:tplc="CA1872DE" w:tentative="1">
      <w:start w:val="1"/>
      <w:numFmt w:val="bullet"/>
      <w:lvlText w:val="o"/>
      <w:lvlJc w:val="left"/>
      <w:pPr>
        <w:ind w:left="3240" w:hanging="360"/>
      </w:pPr>
      <w:rPr>
        <w:rFonts w:ascii="Courier New" w:hAnsi="Courier New" w:cs="Courier New" w:hint="default"/>
      </w:rPr>
    </w:lvl>
    <w:lvl w:ilvl="5" w:tplc="2AA426A0" w:tentative="1">
      <w:start w:val="1"/>
      <w:numFmt w:val="bullet"/>
      <w:lvlText w:val=""/>
      <w:lvlJc w:val="left"/>
      <w:pPr>
        <w:ind w:left="3960" w:hanging="360"/>
      </w:pPr>
      <w:rPr>
        <w:rFonts w:ascii="Wingdings" w:hAnsi="Wingdings" w:hint="default"/>
      </w:rPr>
    </w:lvl>
    <w:lvl w:ilvl="6" w:tplc="119AB7CC" w:tentative="1">
      <w:start w:val="1"/>
      <w:numFmt w:val="bullet"/>
      <w:lvlText w:val=""/>
      <w:lvlJc w:val="left"/>
      <w:pPr>
        <w:ind w:left="4680" w:hanging="360"/>
      </w:pPr>
      <w:rPr>
        <w:rFonts w:ascii="Symbol" w:hAnsi="Symbol" w:hint="default"/>
      </w:rPr>
    </w:lvl>
    <w:lvl w:ilvl="7" w:tplc="B1826E22" w:tentative="1">
      <w:start w:val="1"/>
      <w:numFmt w:val="bullet"/>
      <w:lvlText w:val="o"/>
      <w:lvlJc w:val="left"/>
      <w:pPr>
        <w:ind w:left="5400" w:hanging="360"/>
      </w:pPr>
      <w:rPr>
        <w:rFonts w:ascii="Courier New" w:hAnsi="Courier New" w:cs="Courier New" w:hint="default"/>
      </w:rPr>
    </w:lvl>
    <w:lvl w:ilvl="8" w:tplc="90D84854" w:tentative="1">
      <w:start w:val="1"/>
      <w:numFmt w:val="bullet"/>
      <w:lvlText w:val=""/>
      <w:lvlJc w:val="left"/>
      <w:pPr>
        <w:ind w:left="6120" w:hanging="360"/>
      </w:pPr>
      <w:rPr>
        <w:rFonts w:ascii="Wingdings" w:hAnsi="Wingdings" w:hint="default"/>
      </w:rPr>
    </w:lvl>
  </w:abstractNum>
  <w:abstractNum w:abstractNumId="42">
    <w:nsid w:val="42341618"/>
    <w:multiLevelType w:val="hybridMultilevel"/>
    <w:tmpl w:val="9D509960"/>
    <w:lvl w:ilvl="0" w:tplc="7D745868">
      <w:start w:val="1"/>
      <w:numFmt w:val="bullet"/>
      <w:lvlText w:val=""/>
      <w:lvlJc w:val="left"/>
      <w:pPr>
        <w:ind w:left="720" w:hanging="360"/>
      </w:pPr>
      <w:rPr>
        <w:rFonts w:ascii="Symbol" w:hAnsi="Symbol" w:hint="default"/>
      </w:rPr>
    </w:lvl>
    <w:lvl w:ilvl="1" w:tplc="2674A6BC" w:tentative="1">
      <w:start w:val="1"/>
      <w:numFmt w:val="bullet"/>
      <w:lvlText w:val="o"/>
      <w:lvlJc w:val="left"/>
      <w:pPr>
        <w:ind w:left="1440" w:hanging="360"/>
      </w:pPr>
      <w:rPr>
        <w:rFonts w:ascii="Courier New" w:hAnsi="Courier New" w:cs="Courier New" w:hint="default"/>
      </w:rPr>
    </w:lvl>
    <w:lvl w:ilvl="2" w:tplc="EC2AA13E" w:tentative="1">
      <w:start w:val="1"/>
      <w:numFmt w:val="bullet"/>
      <w:lvlText w:val=""/>
      <w:lvlJc w:val="left"/>
      <w:pPr>
        <w:ind w:left="2160" w:hanging="360"/>
      </w:pPr>
      <w:rPr>
        <w:rFonts w:ascii="Wingdings" w:hAnsi="Wingdings" w:hint="default"/>
      </w:rPr>
    </w:lvl>
    <w:lvl w:ilvl="3" w:tplc="374CAED2" w:tentative="1">
      <w:start w:val="1"/>
      <w:numFmt w:val="bullet"/>
      <w:lvlText w:val=""/>
      <w:lvlJc w:val="left"/>
      <w:pPr>
        <w:ind w:left="2880" w:hanging="360"/>
      </w:pPr>
      <w:rPr>
        <w:rFonts w:ascii="Symbol" w:hAnsi="Symbol" w:hint="default"/>
      </w:rPr>
    </w:lvl>
    <w:lvl w:ilvl="4" w:tplc="1C3EE2B6" w:tentative="1">
      <w:start w:val="1"/>
      <w:numFmt w:val="bullet"/>
      <w:lvlText w:val="o"/>
      <w:lvlJc w:val="left"/>
      <w:pPr>
        <w:ind w:left="3600" w:hanging="360"/>
      </w:pPr>
      <w:rPr>
        <w:rFonts w:ascii="Courier New" w:hAnsi="Courier New" w:cs="Courier New" w:hint="default"/>
      </w:rPr>
    </w:lvl>
    <w:lvl w:ilvl="5" w:tplc="E35CD192" w:tentative="1">
      <w:start w:val="1"/>
      <w:numFmt w:val="bullet"/>
      <w:lvlText w:val=""/>
      <w:lvlJc w:val="left"/>
      <w:pPr>
        <w:ind w:left="4320" w:hanging="360"/>
      </w:pPr>
      <w:rPr>
        <w:rFonts w:ascii="Wingdings" w:hAnsi="Wingdings" w:hint="default"/>
      </w:rPr>
    </w:lvl>
    <w:lvl w:ilvl="6" w:tplc="7DE66CF0" w:tentative="1">
      <w:start w:val="1"/>
      <w:numFmt w:val="bullet"/>
      <w:lvlText w:val=""/>
      <w:lvlJc w:val="left"/>
      <w:pPr>
        <w:ind w:left="5040" w:hanging="360"/>
      </w:pPr>
      <w:rPr>
        <w:rFonts w:ascii="Symbol" w:hAnsi="Symbol" w:hint="default"/>
      </w:rPr>
    </w:lvl>
    <w:lvl w:ilvl="7" w:tplc="9252D0A8" w:tentative="1">
      <w:start w:val="1"/>
      <w:numFmt w:val="bullet"/>
      <w:lvlText w:val="o"/>
      <w:lvlJc w:val="left"/>
      <w:pPr>
        <w:ind w:left="5760" w:hanging="360"/>
      </w:pPr>
      <w:rPr>
        <w:rFonts w:ascii="Courier New" w:hAnsi="Courier New" w:cs="Courier New" w:hint="default"/>
      </w:rPr>
    </w:lvl>
    <w:lvl w:ilvl="8" w:tplc="5A32BAF0" w:tentative="1">
      <w:start w:val="1"/>
      <w:numFmt w:val="bullet"/>
      <w:lvlText w:val=""/>
      <w:lvlJc w:val="left"/>
      <w:pPr>
        <w:ind w:left="6480" w:hanging="360"/>
      </w:pPr>
      <w:rPr>
        <w:rFonts w:ascii="Wingdings" w:hAnsi="Wingdings" w:hint="default"/>
      </w:rPr>
    </w:lvl>
  </w:abstractNum>
  <w:abstractNum w:abstractNumId="43">
    <w:nsid w:val="45A3478B"/>
    <w:multiLevelType w:val="hybridMultilevel"/>
    <w:tmpl w:val="AB7C389C"/>
    <w:lvl w:ilvl="0" w:tplc="15825F58">
      <w:start w:val="1"/>
      <w:numFmt w:val="bullet"/>
      <w:lvlText w:val=""/>
      <w:lvlJc w:val="left"/>
      <w:pPr>
        <w:ind w:left="360" w:hanging="360"/>
      </w:pPr>
      <w:rPr>
        <w:rFonts w:ascii="Symbol" w:hAnsi="Symbol" w:hint="default"/>
      </w:rPr>
    </w:lvl>
    <w:lvl w:ilvl="1" w:tplc="33AEF102" w:tentative="1">
      <w:start w:val="1"/>
      <w:numFmt w:val="bullet"/>
      <w:lvlText w:val="o"/>
      <w:lvlJc w:val="left"/>
      <w:pPr>
        <w:ind w:left="1080" w:hanging="360"/>
      </w:pPr>
      <w:rPr>
        <w:rFonts w:ascii="Courier New" w:hAnsi="Courier New" w:cs="Courier New" w:hint="default"/>
      </w:rPr>
    </w:lvl>
    <w:lvl w:ilvl="2" w:tplc="6F7EB17A" w:tentative="1">
      <w:start w:val="1"/>
      <w:numFmt w:val="bullet"/>
      <w:lvlText w:val=""/>
      <w:lvlJc w:val="left"/>
      <w:pPr>
        <w:ind w:left="1800" w:hanging="360"/>
      </w:pPr>
      <w:rPr>
        <w:rFonts w:ascii="Wingdings" w:hAnsi="Wingdings" w:hint="default"/>
      </w:rPr>
    </w:lvl>
    <w:lvl w:ilvl="3" w:tplc="452ABCE4" w:tentative="1">
      <w:start w:val="1"/>
      <w:numFmt w:val="bullet"/>
      <w:lvlText w:val=""/>
      <w:lvlJc w:val="left"/>
      <w:pPr>
        <w:ind w:left="2520" w:hanging="360"/>
      </w:pPr>
      <w:rPr>
        <w:rFonts w:ascii="Symbol" w:hAnsi="Symbol" w:hint="default"/>
      </w:rPr>
    </w:lvl>
    <w:lvl w:ilvl="4" w:tplc="275EB3DA" w:tentative="1">
      <w:start w:val="1"/>
      <w:numFmt w:val="bullet"/>
      <w:lvlText w:val="o"/>
      <w:lvlJc w:val="left"/>
      <w:pPr>
        <w:ind w:left="3240" w:hanging="360"/>
      </w:pPr>
      <w:rPr>
        <w:rFonts w:ascii="Courier New" w:hAnsi="Courier New" w:cs="Courier New" w:hint="default"/>
      </w:rPr>
    </w:lvl>
    <w:lvl w:ilvl="5" w:tplc="4E046150" w:tentative="1">
      <w:start w:val="1"/>
      <w:numFmt w:val="bullet"/>
      <w:lvlText w:val=""/>
      <w:lvlJc w:val="left"/>
      <w:pPr>
        <w:ind w:left="3960" w:hanging="360"/>
      </w:pPr>
      <w:rPr>
        <w:rFonts w:ascii="Wingdings" w:hAnsi="Wingdings" w:hint="default"/>
      </w:rPr>
    </w:lvl>
    <w:lvl w:ilvl="6" w:tplc="917E3606" w:tentative="1">
      <w:start w:val="1"/>
      <w:numFmt w:val="bullet"/>
      <w:lvlText w:val=""/>
      <w:lvlJc w:val="left"/>
      <w:pPr>
        <w:ind w:left="4680" w:hanging="360"/>
      </w:pPr>
      <w:rPr>
        <w:rFonts w:ascii="Symbol" w:hAnsi="Symbol" w:hint="default"/>
      </w:rPr>
    </w:lvl>
    <w:lvl w:ilvl="7" w:tplc="D4DC78F6" w:tentative="1">
      <w:start w:val="1"/>
      <w:numFmt w:val="bullet"/>
      <w:lvlText w:val="o"/>
      <w:lvlJc w:val="left"/>
      <w:pPr>
        <w:ind w:left="5400" w:hanging="360"/>
      </w:pPr>
      <w:rPr>
        <w:rFonts w:ascii="Courier New" w:hAnsi="Courier New" w:cs="Courier New" w:hint="default"/>
      </w:rPr>
    </w:lvl>
    <w:lvl w:ilvl="8" w:tplc="0FA801FC" w:tentative="1">
      <w:start w:val="1"/>
      <w:numFmt w:val="bullet"/>
      <w:lvlText w:val=""/>
      <w:lvlJc w:val="left"/>
      <w:pPr>
        <w:ind w:left="6120" w:hanging="360"/>
      </w:pPr>
      <w:rPr>
        <w:rFonts w:ascii="Wingdings" w:hAnsi="Wingdings" w:hint="default"/>
      </w:rPr>
    </w:lvl>
  </w:abstractNum>
  <w:abstractNum w:abstractNumId="44">
    <w:nsid w:val="45D36A22"/>
    <w:multiLevelType w:val="hybridMultilevel"/>
    <w:tmpl w:val="9430A094"/>
    <w:lvl w:ilvl="0" w:tplc="314ED0A6">
      <w:start w:val="1"/>
      <w:numFmt w:val="lowerRoman"/>
      <w:lvlText w:val="%1)"/>
      <w:lvlJc w:val="left"/>
      <w:pPr>
        <w:ind w:left="720" w:hanging="360"/>
      </w:pPr>
      <w:rPr>
        <w:rFonts w:hint="default"/>
      </w:rPr>
    </w:lvl>
    <w:lvl w:ilvl="1" w:tplc="2FFE9E20" w:tentative="1">
      <w:start w:val="1"/>
      <w:numFmt w:val="lowerLetter"/>
      <w:lvlText w:val="%2."/>
      <w:lvlJc w:val="left"/>
      <w:pPr>
        <w:ind w:left="1440" w:hanging="360"/>
      </w:pPr>
    </w:lvl>
    <w:lvl w:ilvl="2" w:tplc="DF9AD5C6" w:tentative="1">
      <w:start w:val="1"/>
      <w:numFmt w:val="lowerRoman"/>
      <w:lvlText w:val="%3."/>
      <w:lvlJc w:val="right"/>
      <w:pPr>
        <w:ind w:left="2160" w:hanging="180"/>
      </w:pPr>
    </w:lvl>
    <w:lvl w:ilvl="3" w:tplc="BEEAC48C" w:tentative="1">
      <w:start w:val="1"/>
      <w:numFmt w:val="decimal"/>
      <w:lvlText w:val="%4."/>
      <w:lvlJc w:val="left"/>
      <w:pPr>
        <w:ind w:left="2880" w:hanging="360"/>
      </w:pPr>
    </w:lvl>
    <w:lvl w:ilvl="4" w:tplc="CA1C2F9E" w:tentative="1">
      <w:start w:val="1"/>
      <w:numFmt w:val="lowerLetter"/>
      <w:lvlText w:val="%5."/>
      <w:lvlJc w:val="left"/>
      <w:pPr>
        <w:ind w:left="3600" w:hanging="360"/>
      </w:pPr>
    </w:lvl>
    <w:lvl w:ilvl="5" w:tplc="1C9ABAAA" w:tentative="1">
      <w:start w:val="1"/>
      <w:numFmt w:val="lowerRoman"/>
      <w:lvlText w:val="%6."/>
      <w:lvlJc w:val="right"/>
      <w:pPr>
        <w:ind w:left="4320" w:hanging="180"/>
      </w:pPr>
    </w:lvl>
    <w:lvl w:ilvl="6" w:tplc="7C8CA680" w:tentative="1">
      <w:start w:val="1"/>
      <w:numFmt w:val="decimal"/>
      <w:lvlText w:val="%7."/>
      <w:lvlJc w:val="left"/>
      <w:pPr>
        <w:ind w:left="5040" w:hanging="360"/>
      </w:pPr>
    </w:lvl>
    <w:lvl w:ilvl="7" w:tplc="E74A9490" w:tentative="1">
      <w:start w:val="1"/>
      <w:numFmt w:val="lowerLetter"/>
      <w:lvlText w:val="%8."/>
      <w:lvlJc w:val="left"/>
      <w:pPr>
        <w:ind w:left="5760" w:hanging="360"/>
      </w:pPr>
    </w:lvl>
    <w:lvl w:ilvl="8" w:tplc="F196A436" w:tentative="1">
      <w:start w:val="1"/>
      <w:numFmt w:val="lowerRoman"/>
      <w:lvlText w:val="%9."/>
      <w:lvlJc w:val="right"/>
      <w:pPr>
        <w:ind w:left="6480" w:hanging="180"/>
      </w:pPr>
    </w:lvl>
  </w:abstractNum>
  <w:abstractNum w:abstractNumId="45">
    <w:nsid w:val="477642DC"/>
    <w:multiLevelType w:val="hybridMultilevel"/>
    <w:tmpl w:val="746E3FD6"/>
    <w:lvl w:ilvl="0" w:tplc="4E94DCB8">
      <w:start w:val="1"/>
      <w:numFmt w:val="bullet"/>
      <w:lvlText w:val=""/>
      <w:lvlJc w:val="left"/>
      <w:pPr>
        <w:ind w:left="360" w:hanging="360"/>
      </w:pPr>
      <w:rPr>
        <w:rFonts w:ascii="Symbol" w:hAnsi="Symbol" w:hint="default"/>
      </w:rPr>
    </w:lvl>
    <w:lvl w:ilvl="1" w:tplc="3F725194" w:tentative="1">
      <w:start w:val="1"/>
      <w:numFmt w:val="bullet"/>
      <w:lvlText w:val="o"/>
      <w:lvlJc w:val="left"/>
      <w:pPr>
        <w:ind w:left="1080" w:hanging="360"/>
      </w:pPr>
      <w:rPr>
        <w:rFonts w:ascii="Courier New" w:hAnsi="Courier New" w:cs="Courier New" w:hint="default"/>
      </w:rPr>
    </w:lvl>
    <w:lvl w:ilvl="2" w:tplc="27820DF4" w:tentative="1">
      <w:start w:val="1"/>
      <w:numFmt w:val="bullet"/>
      <w:lvlText w:val=""/>
      <w:lvlJc w:val="left"/>
      <w:pPr>
        <w:ind w:left="1800" w:hanging="360"/>
      </w:pPr>
      <w:rPr>
        <w:rFonts w:ascii="Wingdings" w:hAnsi="Wingdings" w:hint="default"/>
      </w:rPr>
    </w:lvl>
    <w:lvl w:ilvl="3" w:tplc="862491CC" w:tentative="1">
      <w:start w:val="1"/>
      <w:numFmt w:val="bullet"/>
      <w:lvlText w:val=""/>
      <w:lvlJc w:val="left"/>
      <w:pPr>
        <w:ind w:left="2520" w:hanging="360"/>
      </w:pPr>
      <w:rPr>
        <w:rFonts w:ascii="Symbol" w:hAnsi="Symbol" w:hint="default"/>
      </w:rPr>
    </w:lvl>
    <w:lvl w:ilvl="4" w:tplc="C3007F22" w:tentative="1">
      <w:start w:val="1"/>
      <w:numFmt w:val="bullet"/>
      <w:lvlText w:val="o"/>
      <w:lvlJc w:val="left"/>
      <w:pPr>
        <w:ind w:left="3240" w:hanging="360"/>
      </w:pPr>
      <w:rPr>
        <w:rFonts w:ascii="Courier New" w:hAnsi="Courier New" w:cs="Courier New" w:hint="default"/>
      </w:rPr>
    </w:lvl>
    <w:lvl w:ilvl="5" w:tplc="A62C7FC0" w:tentative="1">
      <w:start w:val="1"/>
      <w:numFmt w:val="bullet"/>
      <w:lvlText w:val=""/>
      <w:lvlJc w:val="left"/>
      <w:pPr>
        <w:ind w:left="3960" w:hanging="360"/>
      </w:pPr>
      <w:rPr>
        <w:rFonts w:ascii="Wingdings" w:hAnsi="Wingdings" w:hint="default"/>
      </w:rPr>
    </w:lvl>
    <w:lvl w:ilvl="6" w:tplc="9058F27A" w:tentative="1">
      <w:start w:val="1"/>
      <w:numFmt w:val="bullet"/>
      <w:lvlText w:val=""/>
      <w:lvlJc w:val="left"/>
      <w:pPr>
        <w:ind w:left="4680" w:hanging="360"/>
      </w:pPr>
      <w:rPr>
        <w:rFonts w:ascii="Symbol" w:hAnsi="Symbol" w:hint="default"/>
      </w:rPr>
    </w:lvl>
    <w:lvl w:ilvl="7" w:tplc="E2C66C64" w:tentative="1">
      <w:start w:val="1"/>
      <w:numFmt w:val="bullet"/>
      <w:lvlText w:val="o"/>
      <w:lvlJc w:val="left"/>
      <w:pPr>
        <w:ind w:left="5400" w:hanging="360"/>
      </w:pPr>
      <w:rPr>
        <w:rFonts w:ascii="Courier New" w:hAnsi="Courier New" w:cs="Courier New" w:hint="default"/>
      </w:rPr>
    </w:lvl>
    <w:lvl w:ilvl="8" w:tplc="B3487E22" w:tentative="1">
      <w:start w:val="1"/>
      <w:numFmt w:val="bullet"/>
      <w:lvlText w:val=""/>
      <w:lvlJc w:val="left"/>
      <w:pPr>
        <w:ind w:left="6120" w:hanging="360"/>
      </w:pPr>
      <w:rPr>
        <w:rFonts w:ascii="Wingdings" w:hAnsi="Wingdings" w:hint="default"/>
      </w:rPr>
    </w:lvl>
  </w:abstractNum>
  <w:abstractNum w:abstractNumId="46">
    <w:nsid w:val="492B43EE"/>
    <w:multiLevelType w:val="hybridMultilevel"/>
    <w:tmpl w:val="95765C7A"/>
    <w:lvl w:ilvl="0" w:tplc="465CB8CA">
      <w:start w:val="1"/>
      <w:numFmt w:val="bullet"/>
      <w:lvlText w:val="-"/>
      <w:lvlJc w:val="left"/>
      <w:pPr>
        <w:tabs>
          <w:tab w:val="num" w:pos="794"/>
        </w:tabs>
        <w:ind w:left="794" w:hanging="227"/>
      </w:pPr>
      <w:rPr>
        <w:rFonts w:ascii="Courier New" w:hAnsi="Courier New" w:hint="default"/>
      </w:rPr>
    </w:lvl>
    <w:lvl w:ilvl="1" w:tplc="9C98FE08" w:tentative="1">
      <w:start w:val="1"/>
      <w:numFmt w:val="bullet"/>
      <w:lvlText w:val="o"/>
      <w:lvlJc w:val="left"/>
      <w:pPr>
        <w:tabs>
          <w:tab w:val="num" w:pos="1440"/>
        </w:tabs>
        <w:ind w:left="1440" w:hanging="360"/>
      </w:pPr>
      <w:rPr>
        <w:rFonts w:ascii="Courier New" w:hAnsi="Courier New" w:cs="Courier New" w:hint="default"/>
      </w:rPr>
    </w:lvl>
    <w:lvl w:ilvl="2" w:tplc="160AD678" w:tentative="1">
      <w:start w:val="1"/>
      <w:numFmt w:val="bullet"/>
      <w:lvlText w:val=""/>
      <w:lvlJc w:val="left"/>
      <w:pPr>
        <w:tabs>
          <w:tab w:val="num" w:pos="2160"/>
        </w:tabs>
        <w:ind w:left="2160" w:hanging="360"/>
      </w:pPr>
      <w:rPr>
        <w:rFonts w:ascii="Wingdings" w:hAnsi="Wingdings" w:hint="default"/>
      </w:rPr>
    </w:lvl>
    <w:lvl w:ilvl="3" w:tplc="6EB210D2" w:tentative="1">
      <w:start w:val="1"/>
      <w:numFmt w:val="bullet"/>
      <w:lvlText w:val=""/>
      <w:lvlJc w:val="left"/>
      <w:pPr>
        <w:tabs>
          <w:tab w:val="num" w:pos="2880"/>
        </w:tabs>
        <w:ind w:left="2880" w:hanging="360"/>
      </w:pPr>
      <w:rPr>
        <w:rFonts w:ascii="Symbol" w:hAnsi="Symbol" w:hint="default"/>
      </w:rPr>
    </w:lvl>
    <w:lvl w:ilvl="4" w:tplc="C7082430" w:tentative="1">
      <w:start w:val="1"/>
      <w:numFmt w:val="bullet"/>
      <w:lvlText w:val="o"/>
      <w:lvlJc w:val="left"/>
      <w:pPr>
        <w:tabs>
          <w:tab w:val="num" w:pos="3600"/>
        </w:tabs>
        <w:ind w:left="3600" w:hanging="360"/>
      </w:pPr>
      <w:rPr>
        <w:rFonts w:ascii="Courier New" w:hAnsi="Courier New" w:cs="Courier New" w:hint="default"/>
      </w:rPr>
    </w:lvl>
    <w:lvl w:ilvl="5" w:tplc="C1546E08" w:tentative="1">
      <w:start w:val="1"/>
      <w:numFmt w:val="bullet"/>
      <w:lvlText w:val=""/>
      <w:lvlJc w:val="left"/>
      <w:pPr>
        <w:tabs>
          <w:tab w:val="num" w:pos="4320"/>
        </w:tabs>
        <w:ind w:left="4320" w:hanging="360"/>
      </w:pPr>
      <w:rPr>
        <w:rFonts w:ascii="Wingdings" w:hAnsi="Wingdings" w:hint="default"/>
      </w:rPr>
    </w:lvl>
    <w:lvl w:ilvl="6" w:tplc="BA840F60" w:tentative="1">
      <w:start w:val="1"/>
      <w:numFmt w:val="bullet"/>
      <w:lvlText w:val=""/>
      <w:lvlJc w:val="left"/>
      <w:pPr>
        <w:tabs>
          <w:tab w:val="num" w:pos="5040"/>
        </w:tabs>
        <w:ind w:left="5040" w:hanging="360"/>
      </w:pPr>
      <w:rPr>
        <w:rFonts w:ascii="Symbol" w:hAnsi="Symbol" w:hint="default"/>
      </w:rPr>
    </w:lvl>
    <w:lvl w:ilvl="7" w:tplc="48A07AF6" w:tentative="1">
      <w:start w:val="1"/>
      <w:numFmt w:val="bullet"/>
      <w:lvlText w:val="o"/>
      <w:lvlJc w:val="left"/>
      <w:pPr>
        <w:tabs>
          <w:tab w:val="num" w:pos="5760"/>
        </w:tabs>
        <w:ind w:left="5760" w:hanging="360"/>
      </w:pPr>
      <w:rPr>
        <w:rFonts w:ascii="Courier New" w:hAnsi="Courier New" w:cs="Courier New" w:hint="default"/>
      </w:rPr>
    </w:lvl>
    <w:lvl w:ilvl="8" w:tplc="C99022BA" w:tentative="1">
      <w:start w:val="1"/>
      <w:numFmt w:val="bullet"/>
      <w:lvlText w:val=""/>
      <w:lvlJc w:val="left"/>
      <w:pPr>
        <w:tabs>
          <w:tab w:val="num" w:pos="6480"/>
        </w:tabs>
        <w:ind w:left="6480" w:hanging="360"/>
      </w:pPr>
      <w:rPr>
        <w:rFonts w:ascii="Wingdings" w:hAnsi="Wingdings" w:hint="default"/>
      </w:rPr>
    </w:lvl>
  </w:abstractNum>
  <w:abstractNum w:abstractNumId="47">
    <w:nsid w:val="49D10E54"/>
    <w:multiLevelType w:val="hybridMultilevel"/>
    <w:tmpl w:val="A09ACF5E"/>
    <w:lvl w:ilvl="0" w:tplc="F4E0E820">
      <w:start w:val="1"/>
      <w:numFmt w:val="bullet"/>
      <w:lvlText w:val=""/>
      <w:lvlJc w:val="left"/>
      <w:pPr>
        <w:ind w:left="360" w:hanging="360"/>
      </w:pPr>
      <w:rPr>
        <w:rFonts w:ascii="Symbol" w:hAnsi="Symbol" w:hint="default"/>
      </w:rPr>
    </w:lvl>
    <w:lvl w:ilvl="1" w:tplc="9424CD2C" w:tentative="1">
      <w:start w:val="1"/>
      <w:numFmt w:val="bullet"/>
      <w:lvlText w:val="o"/>
      <w:lvlJc w:val="left"/>
      <w:pPr>
        <w:ind w:left="1080" w:hanging="360"/>
      </w:pPr>
      <w:rPr>
        <w:rFonts w:ascii="Courier New" w:hAnsi="Courier New" w:cs="Courier New" w:hint="default"/>
      </w:rPr>
    </w:lvl>
    <w:lvl w:ilvl="2" w:tplc="A98A8B34" w:tentative="1">
      <w:start w:val="1"/>
      <w:numFmt w:val="bullet"/>
      <w:lvlText w:val=""/>
      <w:lvlJc w:val="left"/>
      <w:pPr>
        <w:ind w:left="1800" w:hanging="360"/>
      </w:pPr>
      <w:rPr>
        <w:rFonts w:ascii="Wingdings" w:hAnsi="Wingdings" w:hint="default"/>
      </w:rPr>
    </w:lvl>
    <w:lvl w:ilvl="3" w:tplc="F3E40414" w:tentative="1">
      <w:start w:val="1"/>
      <w:numFmt w:val="bullet"/>
      <w:lvlText w:val=""/>
      <w:lvlJc w:val="left"/>
      <w:pPr>
        <w:ind w:left="2520" w:hanging="360"/>
      </w:pPr>
      <w:rPr>
        <w:rFonts w:ascii="Symbol" w:hAnsi="Symbol" w:hint="default"/>
      </w:rPr>
    </w:lvl>
    <w:lvl w:ilvl="4" w:tplc="D1982B06" w:tentative="1">
      <w:start w:val="1"/>
      <w:numFmt w:val="bullet"/>
      <w:lvlText w:val="o"/>
      <w:lvlJc w:val="left"/>
      <w:pPr>
        <w:ind w:left="3240" w:hanging="360"/>
      </w:pPr>
      <w:rPr>
        <w:rFonts w:ascii="Courier New" w:hAnsi="Courier New" w:cs="Courier New" w:hint="default"/>
      </w:rPr>
    </w:lvl>
    <w:lvl w:ilvl="5" w:tplc="F562395C" w:tentative="1">
      <w:start w:val="1"/>
      <w:numFmt w:val="bullet"/>
      <w:lvlText w:val=""/>
      <w:lvlJc w:val="left"/>
      <w:pPr>
        <w:ind w:left="3960" w:hanging="360"/>
      </w:pPr>
      <w:rPr>
        <w:rFonts w:ascii="Wingdings" w:hAnsi="Wingdings" w:hint="default"/>
      </w:rPr>
    </w:lvl>
    <w:lvl w:ilvl="6" w:tplc="E67A8F84" w:tentative="1">
      <w:start w:val="1"/>
      <w:numFmt w:val="bullet"/>
      <w:lvlText w:val=""/>
      <w:lvlJc w:val="left"/>
      <w:pPr>
        <w:ind w:left="4680" w:hanging="360"/>
      </w:pPr>
      <w:rPr>
        <w:rFonts w:ascii="Symbol" w:hAnsi="Symbol" w:hint="default"/>
      </w:rPr>
    </w:lvl>
    <w:lvl w:ilvl="7" w:tplc="5C70873C" w:tentative="1">
      <w:start w:val="1"/>
      <w:numFmt w:val="bullet"/>
      <w:lvlText w:val="o"/>
      <w:lvlJc w:val="left"/>
      <w:pPr>
        <w:ind w:left="5400" w:hanging="360"/>
      </w:pPr>
      <w:rPr>
        <w:rFonts w:ascii="Courier New" w:hAnsi="Courier New" w:cs="Courier New" w:hint="default"/>
      </w:rPr>
    </w:lvl>
    <w:lvl w:ilvl="8" w:tplc="72164B04" w:tentative="1">
      <w:start w:val="1"/>
      <w:numFmt w:val="bullet"/>
      <w:lvlText w:val=""/>
      <w:lvlJc w:val="left"/>
      <w:pPr>
        <w:ind w:left="6120" w:hanging="360"/>
      </w:pPr>
      <w:rPr>
        <w:rFonts w:ascii="Wingdings" w:hAnsi="Wingdings" w:hint="default"/>
      </w:rPr>
    </w:lvl>
  </w:abstractNum>
  <w:abstractNum w:abstractNumId="48">
    <w:nsid w:val="4A376991"/>
    <w:multiLevelType w:val="hybridMultilevel"/>
    <w:tmpl w:val="65665848"/>
    <w:lvl w:ilvl="0" w:tplc="88E2C882">
      <w:start w:val="1"/>
      <w:numFmt w:val="lowerRoman"/>
      <w:lvlText w:val="(%1)"/>
      <w:lvlJc w:val="left"/>
      <w:pPr>
        <w:ind w:left="1080" w:hanging="720"/>
      </w:pPr>
      <w:rPr>
        <w:rFonts w:hint="default"/>
      </w:rPr>
    </w:lvl>
    <w:lvl w:ilvl="1" w:tplc="CADC148C" w:tentative="1">
      <w:start w:val="1"/>
      <w:numFmt w:val="lowerLetter"/>
      <w:lvlText w:val="%2."/>
      <w:lvlJc w:val="left"/>
      <w:pPr>
        <w:ind w:left="1440" w:hanging="360"/>
      </w:pPr>
    </w:lvl>
    <w:lvl w:ilvl="2" w:tplc="A26EC802" w:tentative="1">
      <w:start w:val="1"/>
      <w:numFmt w:val="lowerRoman"/>
      <w:lvlText w:val="%3."/>
      <w:lvlJc w:val="right"/>
      <w:pPr>
        <w:ind w:left="2160" w:hanging="180"/>
      </w:pPr>
    </w:lvl>
    <w:lvl w:ilvl="3" w:tplc="6BC6EE46" w:tentative="1">
      <w:start w:val="1"/>
      <w:numFmt w:val="decimal"/>
      <w:lvlText w:val="%4."/>
      <w:lvlJc w:val="left"/>
      <w:pPr>
        <w:ind w:left="2880" w:hanging="360"/>
      </w:pPr>
    </w:lvl>
    <w:lvl w:ilvl="4" w:tplc="77DA84CA" w:tentative="1">
      <w:start w:val="1"/>
      <w:numFmt w:val="lowerLetter"/>
      <w:lvlText w:val="%5."/>
      <w:lvlJc w:val="left"/>
      <w:pPr>
        <w:ind w:left="3600" w:hanging="360"/>
      </w:pPr>
    </w:lvl>
    <w:lvl w:ilvl="5" w:tplc="987669F6" w:tentative="1">
      <w:start w:val="1"/>
      <w:numFmt w:val="lowerRoman"/>
      <w:lvlText w:val="%6."/>
      <w:lvlJc w:val="right"/>
      <w:pPr>
        <w:ind w:left="4320" w:hanging="180"/>
      </w:pPr>
    </w:lvl>
    <w:lvl w:ilvl="6" w:tplc="917CD266" w:tentative="1">
      <w:start w:val="1"/>
      <w:numFmt w:val="decimal"/>
      <w:lvlText w:val="%7."/>
      <w:lvlJc w:val="left"/>
      <w:pPr>
        <w:ind w:left="5040" w:hanging="360"/>
      </w:pPr>
    </w:lvl>
    <w:lvl w:ilvl="7" w:tplc="39B2B52A" w:tentative="1">
      <w:start w:val="1"/>
      <w:numFmt w:val="lowerLetter"/>
      <w:lvlText w:val="%8."/>
      <w:lvlJc w:val="left"/>
      <w:pPr>
        <w:ind w:left="5760" w:hanging="360"/>
      </w:pPr>
    </w:lvl>
    <w:lvl w:ilvl="8" w:tplc="BE2A0682" w:tentative="1">
      <w:start w:val="1"/>
      <w:numFmt w:val="lowerRoman"/>
      <w:lvlText w:val="%9."/>
      <w:lvlJc w:val="right"/>
      <w:pPr>
        <w:ind w:left="6480" w:hanging="180"/>
      </w:pPr>
    </w:lvl>
  </w:abstractNum>
  <w:abstractNum w:abstractNumId="49">
    <w:nsid w:val="4A567E82"/>
    <w:multiLevelType w:val="hybridMultilevel"/>
    <w:tmpl w:val="ACD850A0"/>
    <w:lvl w:ilvl="0" w:tplc="DC88C74C">
      <w:start w:val="1"/>
      <w:numFmt w:val="bullet"/>
      <w:lvlText w:val=""/>
      <w:lvlJc w:val="left"/>
      <w:pPr>
        <w:ind w:left="360" w:hanging="360"/>
      </w:pPr>
      <w:rPr>
        <w:rFonts w:ascii="Symbol" w:hAnsi="Symbol" w:hint="default"/>
      </w:rPr>
    </w:lvl>
    <w:lvl w:ilvl="1" w:tplc="62A81F24" w:tentative="1">
      <w:start w:val="1"/>
      <w:numFmt w:val="bullet"/>
      <w:lvlText w:val="o"/>
      <w:lvlJc w:val="left"/>
      <w:pPr>
        <w:ind w:left="1080" w:hanging="360"/>
      </w:pPr>
      <w:rPr>
        <w:rFonts w:ascii="Courier New" w:hAnsi="Courier New" w:cs="Courier New" w:hint="default"/>
      </w:rPr>
    </w:lvl>
    <w:lvl w:ilvl="2" w:tplc="F7483B06" w:tentative="1">
      <w:start w:val="1"/>
      <w:numFmt w:val="bullet"/>
      <w:lvlText w:val=""/>
      <w:lvlJc w:val="left"/>
      <w:pPr>
        <w:ind w:left="1800" w:hanging="360"/>
      </w:pPr>
      <w:rPr>
        <w:rFonts w:ascii="Wingdings" w:hAnsi="Wingdings" w:hint="default"/>
      </w:rPr>
    </w:lvl>
    <w:lvl w:ilvl="3" w:tplc="E0DE4502" w:tentative="1">
      <w:start w:val="1"/>
      <w:numFmt w:val="bullet"/>
      <w:lvlText w:val=""/>
      <w:lvlJc w:val="left"/>
      <w:pPr>
        <w:ind w:left="2520" w:hanging="360"/>
      </w:pPr>
      <w:rPr>
        <w:rFonts w:ascii="Symbol" w:hAnsi="Symbol" w:hint="default"/>
      </w:rPr>
    </w:lvl>
    <w:lvl w:ilvl="4" w:tplc="C90C7CB4" w:tentative="1">
      <w:start w:val="1"/>
      <w:numFmt w:val="bullet"/>
      <w:lvlText w:val="o"/>
      <w:lvlJc w:val="left"/>
      <w:pPr>
        <w:ind w:left="3240" w:hanging="360"/>
      </w:pPr>
      <w:rPr>
        <w:rFonts w:ascii="Courier New" w:hAnsi="Courier New" w:cs="Courier New" w:hint="default"/>
      </w:rPr>
    </w:lvl>
    <w:lvl w:ilvl="5" w:tplc="87D8ECF0" w:tentative="1">
      <w:start w:val="1"/>
      <w:numFmt w:val="bullet"/>
      <w:lvlText w:val=""/>
      <w:lvlJc w:val="left"/>
      <w:pPr>
        <w:ind w:left="3960" w:hanging="360"/>
      </w:pPr>
      <w:rPr>
        <w:rFonts w:ascii="Wingdings" w:hAnsi="Wingdings" w:hint="default"/>
      </w:rPr>
    </w:lvl>
    <w:lvl w:ilvl="6" w:tplc="33B86592" w:tentative="1">
      <w:start w:val="1"/>
      <w:numFmt w:val="bullet"/>
      <w:lvlText w:val=""/>
      <w:lvlJc w:val="left"/>
      <w:pPr>
        <w:ind w:left="4680" w:hanging="360"/>
      </w:pPr>
      <w:rPr>
        <w:rFonts w:ascii="Symbol" w:hAnsi="Symbol" w:hint="default"/>
      </w:rPr>
    </w:lvl>
    <w:lvl w:ilvl="7" w:tplc="F3CED4CC" w:tentative="1">
      <w:start w:val="1"/>
      <w:numFmt w:val="bullet"/>
      <w:lvlText w:val="o"/>
      <w:lvlJc w:val="left"/>
      <w:pPr>
        <w:ind w:left="5400" w:hanging="360"/>
      </w:pPr>
      <w:rPr>
        <w:rFonts w:ascii="Courier New" w:hAnsi="Courier New" w:cs="Courier New" w:hint="default"/>
      </w:rPr>
    </w:lvl>
    <w:lvl w:ilvl="8" w:tplc="3A02A7AC" w:tentative="1">
      <w:start w:val="1"/>
      <w:numFmt w:val="bullet"/>
      <w:lvlText w:val=""/>
      <w:lvlJc w:val="left"/>
      <w:pPr>
        <w:ind w:left="6120" w:hanging="360"/>
      </w:pPr>
      <w:rPr>
        <w:rFonts w:ascii="Wingdings" w:hAnsi="Wingdings" w:hint="default"/>
      </w:rPr>
    </w:lvl>
  </w:abstractNum>
  <w:abstractNum w:abstractNumId="50">
    <w:nsid w:val="4A835AA1"/>
    <w:multiLevelType w:val="hybridMultilevel"/>
    <w:tmpl w:val="2222BDE0"/>
    <w:lvl w:ilvl="0" w:tplc="96EA025C">
      <w:start w:val="1"/>
      <w:numFmt w:val="bullet"/>
      <w:pStyle w:val="ListNumber"/>
      <w:lvlText w:val=""/>
      <w:lvlJc w:val="left"/>
      <w:pPr>
        <w:ind w:left="360" w:hanging="360"/>
      </w:pPr>
      <w:rPr>
        <w:rFonts w:ascii="Symbol" w:hAnsi="Symbol" w:hint="default"/>
      </w:rPr>
    </w:lvl>
    <w:lvl w:ilvl="1" w:tplc="FB1CF406" w:tentative="1">
      <w:start w:val="1"/>
      <w:numFmt w:val="bullet"/>
      <w:lvlText w:val="o"/>
      <w:lvlJc w:val="left"/>
      <w:pPr>
        <w:ind w:left="1080" w:hanging="360"/>
      </w:pPr>
      <w:rPr>
        <w:rFonts w:ascii="Courier New" w:hAnsi="Courier New" w:cs="Courier New" w:hint="default"/>
      </w:rPr>
    </w:lvl>
    <w:lvl w:ilvl="2" w:tplc="4A08A496" w:tentative="1">
      <w:start w:val="1"/>
      <w:numFmt w:val="bullet"/>
      <w:lvlText w:val=""/>
      <w:lvlJc w:val="left"/>
      <w:pPr>
        <w:ind w:left="1800" w:hanging="360"/>
      </w:pPr>
      <w:rPr>
        <w:rFonts w:ascii="Wingdings" w:hAnsi="Wingdings" w:hint="default"/>
      </w:rPr>
    </w:lvl>
    <w:lvl w:ilvl="3" w:tplc="AC0CCCF6" w:tentative="1">
      <w:start w:val="1"/>
      <w:numFmt w:val="bullet"/>
      <w:lvlText w:val=""/>
      <w:lvlJc w:val="left"/>
      <w:pPr>
        <w:ind w:left="2520" w:hanging="360"/>
      </w:pPr>
      <w:rPr>
        <w:rFonts w:ascii="Symbol" w:hAnsi="Symbol" w:hint="default"/>
      </w:rPr>
    </w:lvl>
    <w:lvl w:ilvl="4" w:tplc="700E5442" w:tentative="1">
      <w:start w:val="1"/>
      <w:numFmt w:val="bullet"/>
      <w:lvlText w:val="o"/>
      <w:lvlJc w:val="left"/>
      <w:pPr>
        <w:ind w:left="3240" w:hanging="360"/>
      </w:pPr>
      <w:rPr>
        <w:rFonts w:ascii="Courier New" w:hAnsi="Courier New" w:cs="Courier New" w:hint="default"/>
      </w:rPr>
    </w:lvl>
    <w:lvl w:ilvl="5" w:tplc="FF90E4D8" w:tentative="1">
      <w:start w:val="1"/>
      <w:numFmt w:val="bullet"/>
      <w:lvlText w:val=""/>
      <w:lvlJc w:val="left"/>
      <w:pPr>
        <w:ind w:left="3960" w:hanging="360"/>
      </w:pPr>
      <w:rPr>
        <w:rFonts w:ascii="Wingdings" w:hAnsi="Wingdings" w:hint="default"/>
      </w:rPr>
    </w:lvl>
    <w:lvl w:ilvl="6" w:tplc="BB8A5622" w:tentative="1">
      <w:start w:val="1"/>
      <w:numFmt w:val="bullet"/>
      <w:lvlText w:val=""/>
      <w:lvlJc w:val="left"/>
      <w:pPr>
        <w:ind w:left="4680" w:hanging="360"/>
      </w:pPr>
      <w:rPr>
        <w:rFonts w:ascii="Symbol" w:hAnsi="Symbol" w:hint="default"/>
      </w:rPr>
    </w:lvl>
    <w:lvl w:ilvl="7" w:tplc="A72A8936" w:tentative="1">
      <w:start w:val="1"/>
      <w:numFmt w:val="bullet"/>
      <w:lvlText w:val="o"/>
      <w:lvlJc w:val="left"/>
      <w:pPr>
        <w:ind w:left="5400" w:hanging="360"/>
      </w:pPr>
      <w:rPr>
        <w:rFonts w:ascii="Courier New" w:hAnsi="Courier New" w:cs="Courier New" w:hint="default"/>
      </w:rPr>
    </w:lvl>
    <w:lvl w:ilvl="8" w:tplc="70643314" w:tentative="1">
      <w:start w:val="1"/>
      <w:numFmt w:val="bullet"/>
      <w:lvlText w:val=""/>
      <w:lvlJc w:val="left"/>
      <w:pPr>
        <w:ind w:left="6120" w:hanging="360"/>
      </w:pPr>
      <w:rPr>
        <w:rFonts w:ascii="Wingdings" w:hAnsi="Wingdings" w:hint="default"/>
      </w:rPr>
    </w:lvl>
  </w:abstractNum>
  <w:abstractNum w:abstractNumId="51">
    <w:nsid w:val="4AB6663C"/>
    <w:multiLevelType w:val="hybridMultilevel"/>
    <w:tmpl w:val="C708F700"/>
    <w:lvl w:ilvl="0" w:tplc="E9BA2B60">
      <w:start w:val="1"/>
      <w:numFmt w:val="bullet"/>
      <w:lvlText w:val=""/>
      <w:lvlJc w:val="left"/>
      <w:pPr>
        <w:ind w:left="720" w:hanging="360"/>
      </w:pPr>
      <w:rPr>
        <w:rFonts w:ascii="Symbol" w:hAnsi="Symbol" w:hint="default"/>
      </w:rPr>
    </w:lvl>
    <w:lvl w:ilvl="1" w:tplc="582C20A4" w:tentative="1">
      <w:start w:val="1"/>
      <w:numFmt w:val="bullet"/>
      <w:lvlText w:val="o"/>
      <w:lvlJc w:val="left"/>
      <w:pPr>
        <w:ind w:left="1440" w:hanging="360"/>
      </w:pPr>
      <w:rPr>
        <w:rFonts w:ascii="Courier New" w:hAnsi="Courier New" w:cs="Courier New" w:hint="default"/>
      </w:rPr>
    </w:lvl>
    <w:lvl w:ilvl="2" w:tplc="A32419CA" w:tentative="1">
      <w:start w:val="1"/>
      <w:numFmt w:val="bullet"/>
      <w:lvlText w:val=""/>
      <w:lvlJc w:val="left"/>
      <w:pPr>
        <w:ind w:left="2160" w:hanging="360"/>
      </w:pPr>
      <w:rPr>
        <w:rFonts w:ascii="Wingdings" w:hAnsi="Wingdings" w:hint="default"/>
      </w:rPr>
    </w:lvl>
    <w:lvl w:ilvl="3" w:tplc="E1843CD8" w:tentative="1">
      <w:start w:val="1"/>
      <w:numFmt w:val="bullet"/>
      <w:lvlText w:val=""/>
      <w:lvlJc w:val="left"/>
      <w:pPr>
        <w:ind w:left="2880" w:hanging="360"/>
      </w:pPr>
      <w:rPr>
        <w:rFonts w:ascii="Symbol" w:hAnsi="Symbol" w:hint="default"/>
      </w:rPr>
    </w:lvl>
    <w:lvl w:ilvl="4" w:tplc="BA4EB2AA" w:tentative="1">
      <w:start w:val="1"/>
      <w:numFmt w:val="bullet"/>
      <w:lvlText w:val="o"/>
      <w:lvlJc w:val="left"/>
      <w:pPr>
        <w:ind w:left="3600" w:hanging="360"/>
      </w:pPr>
      <w:rPr>
        <w:rFonts w:ascii="Courier New" w:hAnsi="Courier New" w:cs="Courier New" w:hint="default"/>
      </w:rPr>
    </w:lvl>
    <w:lvl w:ilvl="5" w:tplc="94FC2280" w:tentative="1">
      <w:start w:val="1"/>
      <w:numFmt w:val="bullet"/>
      <w:lvlText w:val=""/>
      <w:lvlJc w:val="left"/>
      <w:pPr>
        <w:ind w:left="4320" w:hanging="360"/>
      </w:pPr>
      <w:rPr>
        <w:rFonts w:ascii="Wingdings" w:hAnsi="Wingdings" w:hint="default"/>
      </w:rPr>
    </w:lvl>
    <w:lvl w:ilvl="6" w:tplc="0C348C72" w:tentative="1">
      <w:start w:val="1"/>
      <w:numFmt w:val="bullet"/>
      <w:lvlText w:val=""/>
      <w:lvlJc w:val="left"/>
      <w:pPr>
        <w:ind w:left="5040" w:hanging="360"/>
      </w:pPr>
      <w:rPr>
        <w:rFonts w:ascii="Symbol" w:hAnsi="Symbol" w:hint="default"/>
      </w:rPr>
    </w:lvl>
    <w:lvl w:ilvl="7" w:tplc="72FEDDF8" w:tentative="1">
      <w:start w:val="1"/>
      <w:numFmt w:val="bullet"/>
      <w:lvlText w:val="o"/>
      <w:lvlJc w:val="left"/>
      <w:pPr>
        <w:ind w:left="5760" w:hanging="360"/>
      </w:pPr>
      <w:rPr>
        <w:rFonts w:ascii="Courier New" w:hAnsi="Courier New" w:cs="Courier New" w:hint="default"/>
      </w:rPr>
    </w:lvl>
    <w:lvl w:ilvl="8" w:tplc="08D07DB0" w:tentative="1">
      <w:start w:val="1"/>
      <w:numFmt w:val="bullet"/>
      <w:lvlText w:val=""/>
      <w:lvlJc w:val="left"/>
      <w:pPr>
        <w:ind w:left="6480" w:hanging="360"/>
      </w:pPr>
      <w:rPr>
        <w:rFonts w:ascii="Wingdings" w:hAnsi="Wingdings" w:hint="default"/>
      </w:rPr>
    </w:lvl>
  </w:abstractNum>
  <w:abstractNum w:abstractNumId="52">
    <w:nsid w:val="4C7C7C24"/>
    <w:multiLevelType w:val="hybridMultilevel"/>
    <w:tmpl w:val="865CDD0E"/>
    <w:lvl w:ilvl="0" w:tplc="D2C8C6A2">
      <w:start w:val="1"/>
      <w:numFmt w:val="bullet"/>
      <w:lvlText w:val=""/>
      <w:lvlJc w:val="left"/>
      <w:pPr>
        <w:ind w:left="720" w:hanging="360"/>
      </w:pPr>
      <w:rPr>
        <w:rFonts w:ascii="Symbol" w:hAnsi="Symbol" w:hint="default"/>
      </w:rPr>
    </w:lvl>
    <w:lvl w:ilvl="1" w:tplc="CD967060" w:tentative="1">
      <w:start w:val="1"/>
      <w:numFmt w:val="bullet"/>
      <w:lvlText w:val="o"/>
      <w:lvlJc w:val="left"/>
      <w:pPr>
        <w:ind w:left="1440" w:hanging="360"/>
      </w:pPr>
      <w:rPr>
        <w:rFonts w:ascii="Courier New" w:hAnsi="Courier New" w:cs="Courier New" w:hint="default"/>
      </w:rPr>
    </w:lvl>
    <w:lvl w:ilvl="2" w:tplc="A5647166" w:tentative="1">
      <w:start w:val="1"/>
      <w:numFmt w:val="bullet"/>
      <w:lvlText w:val=""/>
      <w:lvlJc w:val="left"/>
      <w:pPr>
        <w:ind w:left="2160" w:hanging="360"/>
      </w:pPr>
      <w:rPr>
        <w:rFonts w:ascii="Wingdings" w:hAnsi="Wingdings" w:hint="default"/>
      </w:rPr>
    </w:lvl>
    <w:lvl w:ilvl="3" w:tplc="C0B80EFA" w:tentative="1">
      <w:start w:val="1"/>
      <w:numFmt w:val="bullet"/>
      <w:lvlText w:val=""/>
      <w:lvlJc w:val="left"/>
      <w:pPr>
        <w:ind w:left="2880" w:hanging="360"/>
      </w:pPr>
      <w:rPr>
        <w:rFonts w:ascii="Symbol" w:hAnsi="Symbol" w:hint="default"/>
      </w:rPr>
    </w:lvl>
    <w:lvl w:ilvl="4" w:tplc="E774D8CE" w:tentative="1">
      <w:start w:val="1"/>
      <w:numFmt w:val="bullet"/>
      <w:lvlText w:val="o"/>
      <w:lvlJc w:val="left"/>
      <w:pPr>
        <w:ind w:left="3600" w:hanging="360"/>
      </w:pPr>
      <w:rPr>
        <w:rFonts w:ascii="Courier New" w:hAnsi="Courier New" w:cs="Courier New" w:hint="default"/>
      </w:rPr>
    </w:lvl>
    <w:lvl w:ilvl="5" w:tplc="DE2CBBD0" w:tentative="1">
      <w:start w:val="1"/>
      <w:numFmt w:val="bullet"/>
      <w:lvlText w:val=""/>
      <w:lvlJc w:val="left"/>
      <w:pPr>
        <w:ind w:left="4320" w:hanging="360"/>
      </w:pPr>
      <w:rPr>
        <w:rFonts w:ascii="Wingdings" w:hAnsi="Wingdings" w:hint="default"/>
      </w:rPr>
    </w:lvl>
    <w:lvl w:ilvl="6" w:tplc="91E45D28" w:tentative="1">
      <w:start w:val="1"/>
      <w:numFmt w:val="bullet"/>
      <w:lvlText w:val=""/>
      <w:lvlJc w:val="left"/>
      <w:pPr>
        <w:ind w:left="5040" w:hanging="360"/>
      </w:pPr>
      <w:rPr>
        <w:rFonts w:ascii="Symbol" w:hAnsi="Symbol" w:hint="default"/>
      </w:rPr>
    </w:lvl>
    <w:lvl w:ilvl="7" w:tplc="5D32A520" w:tentative="1">
      <w:start w:val="1"/>
      <w:numFmt w:val="bullet"/>
      <w:lvlText w:val="o"/>
      <w:lvlJc w:val="left"/>
      <w:pPr>
        <w:ind w:left="5760" w:hanging="360"/>
      </w:pPr>
      <w:rPr>
        <w:rFonts w:ascii="Courier New" w:hAnsi="Courier New" w:cs="Courier New" w:hint="default"/>
      </w:rPr>
    </w:lvl>
    <w:lvl w:ilvl="8" w:tplc="33489B02" w:tentative="1">
      <w:start w:val="1"/>
      <w:numFmt w:val="bullet"/>
      <w:lvlText w:val=""/>
      <w:lvlJc w:val="left"/>
      <w:pPr>
        <w:ind w:left="6480" w:hanging="360"/>
      </w:pPr>
      <w:rPr>
        <w:rFonts w:ascii="Wingdings" w:hAnsi="Wingdings" w:hint="default"/>
      </w:rPr>
    </w:lvl>
  </w:abstractNum>
  <w:abstractNum w:abstractNumId="53">
    <w:nsid w:val="4DD47587"/>
    <w:multiLevelType w:val="hybridMultilevel"/>
    <w:tmpl w:val="11C410A0"/>
    <w:lvl w:ilvl="0" w:tplc="62BE682A">
      <w:start w:val="1"/>
      <w:numFmt w:val="bullet"/>
      <w:lvlText w:val=""/>
      <w:lvlJc w:val="left"/>
      <w:pPr>
        <w:ind w:left="927" w:hanging="360"/>
      </w:pPr>
      <w:rPr>
        <w:rFonts w:ascii="Symbol" w:hAnsi="Symbol" w:hint="default"/>
      </w:rPr>
    </w:lvl>
    <w:lvl w:ilvl="1" w:tplc="730030A2" w:tentative="1">
      <w:start w:val="1"/>
      <w:numFmt w:val="bullet"/>
      <w:lvlText w:val="o"/>
      <w:lvlJc w:val="left"/>
      <w:pPr>
        <w:ind w:left="1647" w:hanging="360"/>
      </w:pPr>
      <w:rPr>
        <w:rFonts w:ascii="Courier New" w:hAnsi="Courier New" w:cs="Courier New" w:hint="default"/>
      </w:rPr>
    </w:lvl>
    <w:lvl w:ilvl="2" w:tplc="0B88B406" w:tentative="1">
      <w:start w:val="1"/>
      <w:numFmt w:val="bullet"/>
      <w:lvlText w:val=""/>
      <w:lvlJc w:val="left"/>
      <w:pPr>
        <w:ind w:left="2367" w:hanging="360"/>
      </w:pPr>
      <w:rPr>
        <w:rFonts w:ascii="Wingdings" w:hAnsi="Wingdings" w:hint="default"/>
      </w:rPr>
    </w:lvl>
    <w:lvl w:ilvl="3" w:tplc="FF18FDCE" w:tentative="1">
      <w:start w:val="1"/>
      <w:numFmt w:val="bullet"/>
      <w:lvlText w:val=""/>
      <w:lvlJc w:val="left"/>
      <w:pPr>
        <w:ind w:left="3087" w:hanging="360"/>
      </w:pPr>
      <w:rPr>
        <w:rFonts w:ascii="Symbol" w:hAnsi="Symbol" w:hint="default"/>
      </w:rPr>
    </w:lvl>
    <w:lvl w:ilvl="4" w:tplc="52ECA618" w:tentative="1">
      <w:start w:val="1"/>
      <w:numFmt w:val="bullet"/>
      <w:lvlText w:val="o"/>
      <w:lvlJc w:val="left"/>
      <w:pPr>
        <w:ind w:left="3807" w:hanging="360"/>
      </w:pPr>
      <w:rPr>
        <w:rFonts w:ascii="Courier New" w:hAnsi="Courier New" w:cs="Courier New" w:hint="default"/>
      </w:rPr>
    </w:lvl>
    <w:lvl w:ilvl="5" w:tplc="8532416C" w:tentative="1">
      <w:start w:val="1"/>
      <w:numFmt w:val="bullet"/>
      <w:lvlText w:val=""/>
      <w:lvlJc w:val="left"/>
      <w:pPr>
        <w:ind w:left="4527" w:hanging="360"/>
      </w:pPr>
      <w:rPr>
        <w:rFonts w:ascii="Wingdings" w:hAnsi="Wingdings" w:hint="default"/>
      </w:rPr>
    </w:lvl>
    <w:lvl w:ilvl="6" w:tplc="428EC4BA" w:tentative="1">
      <w:start w:val="1"/>
      <w:numFmt w:val="bullet"/>
      <w:lvlText w:val=""/>
      <w:lvlJc w:val="left"/>
      <w:pPr>
        <w:ind w:left="5247" w:hanging="360"/>
      </w:pPr>
      <w:rPr>
        <w:rFonts w:ascii="Symbol" w:hAnsi="Symbol" w:hint="default"/>
      </w:rPr>
    </w:lvl>
    <w:lvl w:ilvl="7" w:tplc="88D4A854" w:tentative="1">
      <w:start w:val="1"/>
      <w:numFmt w:val="bullet"/>
      <w:lvlText w:val="o"/>
      <w:lvlJc w:val="left"/>
      <w:pPr>
        <w:ind w:left="5967" w:hanging="360"/>
      </w:pPr>
      <w:rPr>
        <w:rFonts w:ascii="Courier New" w:hAnsi="Courier New" w:cs="Courier New" w:hint="default"/>
      </w:rPr>
    </w:lvl>
    <w:lvl w:ilvl="8" w:tplc="4684B58E" w:tentative="1">
      <w:start w:val="1"/>
      <w:numFmt w:val="bullet"/>
      <w:lvlText w:val=""/>
      <w:lvlJc w:val="left"/>
      <w:pPr>
        <w:ind w:left="6687" w:hanging="360"/>
      </w:pPr>
      <w:rPr>
        <w:rFonts w:ascii="Wingdings" w:hAnsi="Wingdings" w:hint="default"/>
      </w:rPr>
    </w:lvl>
  </w:abstractNum>
  <w:abstractNum w:abstractNumId="54">
    <w:nsid w:val="4E9857D2"/>
    <w:multiLevelType w:val="hybridMultilevel"/>
    <w:tmpl w:val="2A266738"/>
    <w:lvl w:ilvl="0" w:tplc="2756584A">
      <w:start w:val="1"/>
      <w:numFmt w:val="bullet"/>
      <w:lvlText w:val="-"/>
      <w:lvlJc w:val="left"/>
      <w:pPr>
        <w:ind w:left="720" w:hanging="360"/>
      </w:pPr>
      <w:rPr>
        <w:rFonts w:ascii="Arial" w:eastAsia="Times New Roman" w:hAnsi="Arial" w:hint="default"/>
      </w:rPr>
    </w:lvl>
    <w:lvl w:ilvl="1" w:tplc="A8540768" w:tentative="1">
      <w:start w:val="1"/>
      <w:numFmt w:val="bullet"/>
      <w:lvlText w:val="o"/>
      <w:lvlJc w:val="left"/>
      <w:pPr>
        <w:ind w:left="1440" w:hanging="360"/>
      </w:pPr>
      <w:rPr>
        <w:rFonts w:ascii="Courier New" w:hAnsi="Courier New" w:cs="Courier New" w:hint="default"/>
      </w:rPr>
    </w:lvl>
    <w:lvl w:ilvl="2" w:tplc="5DB20CBC" w:tentative="1">
      <w:start w:val="1"/>
      <w:numFmt w:val="bullet"/>
      <w:lvlText w:val=""/>
      <w:lvlJc w:val="left"/>
      <w:pPr>
        <w:ind w:left="2160" w:hanging="360"/>
      </w:pPr>
      <w:rPr>
        <w:rFonts w:ascii="Wingdings" w:hAnsi="Wingdings" w:hint="default"/>
      </w:rPr>
    </w:lvl>
    <w:lvl w:ilvl="3" w:tplc="E3E08892" w:tentative="1">
      <w:start w:val="1"/>
      <w:numFmt w:val="bullet"/>
      <w:lvlText w:val=""/>
      <w:lvlJc w:val="left"/>
      <w:pPr>
        <w:ind w:left="2880" w:hanging="360"/>
      </w:pPr>
      <w:rPr>
        <w:rFonts w:ascii="Symbol" w:hAnsi="Symbol" w:hint="default"/>
      </w:rPr>
    </w:lvl>
    <w:lvl w:ilvl="4" w:tplc="DCD8D9FC" w:tentative="1">
      <w:start w:val="1"/>
      <w:numFmt w:val="bullet"/>
      <w:lvlText w:val="o"/>
      <w:lvlJc w:val="left"/>
      <w:pPr>
        <w:ind w:left="3600" w:hanging="360"/>
      </w:pPr>
      <w:rPr>
        <w:rFonts w:ascii="Courier New" w:hAnsi="Courier New" w:cs="Courier New" w:hint="default"/>
      </w:rPr>
    </w:lvl>
    <w:lvl w:ilvl="5" w:tplc="42C297B0" w:tentative="1">
      <w:start w:val="1"/>
      <w:numFmt w:val="bullet"/>
      <w:lvlText w:val=""/>
      <w:lvlJc w:val="left"/>
      <w:pPr>
        <w:ind w:left="4320" w:hanging="360"/>
      </w:pPr>
      <w:rPr>
        <w:rFonts w:ascii="Wingdings" w:hAnsi="Wingdings" w:hint="default"/>
      </w:rPr>
    </w:lvl>
    <w:lvl w:ilvl="6" w:tplc="CD90A642" w:tentative="1">
      <w:start w:val="1"/>
      <w:numFmt w:val="bullet"/>
      <w:lvlText w:val=""/>
      <w:lvlJc w:val="left"/>
      <w:pPr>
        <w:ind w:left="5040" w:hanging="360"/>
      </w:pPr>
      <w:rPr>
        <w:rFonts w:ascii="Symbol" w:hAnsi="Symbol" w:hint="default"/>
      </w:rPr>
    </w:lvl>
    <w:lvl w:ilvl="7" w:tplc="A594C312" w:tentative="1">
      <w:start w:val="1"/>
      <w:numFmt w:val="bullet"/>
      <w:lvlText w:val="o"/>
      <w:lvlJc w:val="left"/>
      <w:pPr>
        <w:ind w:left="5760" w:hanging="360"/>
      </w:pPr>
      <w:rPr>
        <w:rFonts w:ascii="Courier New" w:hAnsi="Courier New" w:cs="Courier New" w:hint="default"/>
      </w:rPr>
    </w:lvl>
    <w:lvl w:ilvl="8" w:tplc="1D827C66" w:tentative="1">
      <w:start w:val="1"/>
      <w:numFmt w:val="bullet"/>
      <w:lvlText w:val=""/>
      <w:lvlJc w:val="left"/>
      <w:pPr>
        <w:ind w:left="6480" w:hanging="360"/>
      </w:pPr>
      <w:rPr>
        <w:rFonts w:ascii="Wingdings" w:hAnsi="Wingdings" w:hint="default"/>
      </w:rPr>
    </w:lvl>
  </w:abstractNum>
  <w:abstractNum w:abstractNumId="55">
    <w:nsid w:val="5030080B"/>
    <w:multiLevelType w:val="hybridMultilevel"/>
    <w:tmpl w:val="96D289E8"/>
    <w:lvl w:ilvl="0" w:tplc="8508FAD6">
      <w:start w:val="1"/>
      <w:numFmt w:val="bullet"/>
      <w:lvlText w:val=""/>
      <w:lvlJc w:val="left"/>
      <w:pPr>
        <w:ind w:left="720" w:hanging="360"/>
      </w:pPr>
      <w:rPr>
        <w:rFonts w:ascii="Symbol" w:hAnsi="Symbol" w:hint="default"/>
      </w:rPr>
    </w:lvl>
    <w:lvl w:ilvl="1" w:tplc="7CF66844" w:tentative="1">
      <w:start w:val="1"/>
      <w:numFmt w:val="bullet"/>
      <w:lvlText w:val="o"/>
      <w:lvlJc w:val="left"/>
      <w:pPr>
        <w:ind w:left="1440" w:hanging="360"/>
      </w:pPr>
      <w:rPr>
        <w:rFonts w:ascii="Courier New" w:hAnsi="Courier New" w:cs="Courier New" w:hint="default"/>
      </w:rPr>
    </w:lvl>
    <w:lvl w:ilvl="2" w:tplc="90743C00" w:tentative="1">
      <w:start w:val="1"/>
      <w:numFmt w:val="bullet"/>
      <w:lvlText w:val=""/>
      <w:lvlJc w:val="left"/>
      <w:pPr>
        <w:ind w:left="2160" w:hanging="360"/>
      </w:pPr>
      <w:rPr>
        <w:rFonts w:ascii="Wingdings" w:hAnsi="Wingdings" w:hint="default"/>
      </w:rPr>
    </w:lvl>
    <w:lvl w:ilvl="3" w:tplc="33103EF6" w:tentative="1">
      <w:start w:val="1"/>
      <w:numFmt w:val="bullet"/>
      <w:lvlText w:val=""/>
      <w:lvlJc w:val="left"/>
      <w:pPr>
        <w:ind w:left="2880" w:hanging="360"/>
      </w:pPr>
      <w:rPr>
        <w:rFonts w:ascii="Symbol" w:hAnsi="Symbol" w:hint="default"/>
      </w:rPr>
    </w:lvl>
    <w:lvl w:ilvl="4" w:tplc="E9922E44" w:tentative="1">
      <w:start w:val="1"/>
      <w:numFmt w:val="bullet"/>
      <w:lvlText w:val="o"/>
      <w:lvlJc w:val="left"/>
      <w:pPr>
        <w:ind w:left="3600" w:hanging="360"/>
      </w:pPr>
      <w:rPr>
        <w:rFonts w:ascii="Courier New" w:hAnsi="Courier New" w:cs="Courier New" w:hint="default"/>
      </w:rPr>
    </w:lvl>
    <w:lvl w:ilvl="5" w:tplc="6CA0CA6C" w:tentative="1">
      <w:start w:val="1"/>
      <w:numFmt w:val="bullet"/>
      <w:lvlText w:val=""/>
      <w:lvlJc w:val="left"/>
      <w:pPr>
        <w:ind w:left="4320" w:hanging="360"/>
      </w:pPr>
      <w:rPr>
        <w:rFonts w:ascii="Wingdings" w:hAnsi="Wingdings" w:hint="default"/>
      </w:rPr>
    </w:lvl>
    <w:lvl w:ilvl="6" w:tplc="27347924" w:tentative="1">
      <w:start w:val="1"/>
      <w:numFmt w:val="bullet"/>
      <w:lvlText w:val=""/>
      <w:lvlJc w:val="left"/>
      <w:pPr>
        <w:ind w:left="5040" w:hanging="360"/>
      </w:pPr>
      <w:rPr>
        <w:rFonts w:ascii="Symbol" w:hAnsi="Symbol" w:hint="default"/>
      </w:rPr>
    </w:lvl>
    <w:lvl w:ilvl="7" w:tplc="EB60435A" w:tentative="1">
      <w:start w:val="1"/>
      <w:numFmt w:val="bullet"/>
      <w:lvlText w:val="o"/>
      <w:lvlJc w:val="left"/>
      <w:pPr>
        <w:ind w:left="5760" w:hanging="360"/>
      </w:pPr>
      <w:rPr>
        <w:rFonts w:ascii="Courier New" w:hAnsi="Courier New" w:cs="Courier New" w:hint="default"/>
      </w:rPr>
    </w:lvl>
    <w:lvl w:ilvl="8" w:tplc="6004E112" w:tentative="1">
      <w:start w:val="1"/>
      <w:numFmt w:val="bullet"/>
      <w:lvlText w:val=""/>
      <w:lvlJc w:val="left"/>
      <w:pPr>
        <w:ind w:left="6480" w:hanging="360"/>
      </w:pPr>
      <w:rPr>
        <w:rFonts w:ascii="Wingdings" w:hAnsi="Wingdings" w:hint="default"/>
      </w:rPr>
    </w:lvl>
  </w:abstractNum>
  <w:abstractNum w:abstractNumId="56">
    <w:nsid w:val="5157303C"/>
    <w:multiLevelType w:val="hybridMultilevel"/>
    <w:tmpl w:val="64A0C9B8"/>
    <w:lvl w:ilvl="0" w:tplc="E4703F16">
      <w:start w:val="1"/>
      <w:numFmt w:val="bullet"/>
      <w:lvlText w:val=""/>
      <w:lvlJc w:val="left"/>
      <w:pPr>
        <w:ind w:left="360" w:hanging="360"/>
      </w:pPr>
      <w:rPr>
        <w:rFonts w:ascii="Symbol" w:hAnsi="Symbol" w:hint="default"/>
      </w:rPr>
    </w:lvl>
    <w:lvl w:ilvl="1" w:tplc="B45A6046" w:tentative="1">
      <w:start w:val="1"/>
      <w:numFmt w:val="bullet"/>
      <w:lvlText w:val="o"/>
      <w:lvlJc w:val="left"/>
      <w:pPr>
        <w:ind w:left="1080" w:hanging="360"/>
      </w:pPr>
      <w:rPr>
        <w:rFonts w:ascii="Courier New" w:hAnsi="Courier New" w:cs="Courier New" w:hint="default"/>
      </w:rPr>
    </w:lvl>
    <w:lvl w:ilvl="2" w:tplc="CC1A82AC" w:tentative="1">
      <w:start w:val="1"/>
      <w:numFmt w:val="bullet"/>
      <w:lvlText w:val=""/>
      <w:lvlJc w:val="left"/>
      <w:pPr>
        <w:ind w:left="1800" w:hanging="360"/>
      </w:pPr>
      <w:rPr>
        <w:rFonts w:ascii="Wingdings" w:hAnsi="Wingdings" w:hint="default"/>
      </w:rPr>
    </w:lvl>
    <w:lvl w:ilvl="3" w:tplc="6F6A94EA" w:tentative="1">
      <w:start w:val="1"/>
      <w:numFmt w:val="bullet"/>
      <w:lvlText w:val=""/>
      <w:lvlJc w:val="left"/>
      <w:pPr>
        <w:ind w:left="2520" w:hanging="360"/>
      </w:pPr>
      <w:rPr>
        <w:rFonts w:ascii="Symbol" w:hAnsi="Symbol" w:hint="default"/>
      </w:rPr>
    </w:lvl>
    <w:lvl w:ilvl="4" w:tplc="6E5A0268" w:tentative="1">
      <w:start w:val="1"/>
      <w:numFmt w:val="bullet"/>
      <w:lvlText w:val="o"/>
      <w:lvlJc w:val="left"/>
      <w:pPr>
        <w:ind w:left="3240" w:hanging="360"/>
      </w:pPr>
      <w:rPr>
        <w:rFonts w:ascii="Courier New" w:hAnsi="Courier New" w:cs="Courier New" w:hint="default"/>
      </w:rPr>
    </w:lvl>
    <w:lvl w:ilvl="5" w:tplc="AE6C0778" w:tentative="1">
      <w:start w:val="1"/>
      <w:numFmt w:val="bullet"/>
      <w:lvlText w:val=""/>
      <w:lvlJc w:val="left"/>
      <w:pPr>
        <w:ind w:left="3960" w:hanging="360"/>
      </w:pPr>
      <w:rPr>
        <w:rFonts w:ascii="Wingdings" w:hAnsi="Wingdings" w:hint="default"/>
      </w:rPr>
    </w:lvl>
    <w:lvl w:ilvl="6" w:tplc="08B2D044" w:tentative="1">
      <w:start w:val="1"/>
      <w:numFmt w:val="bullet"/>
      <w:lvlText w:val=""/>
      <w:lvlJc w:val="left"/>
      <w:pPr>
        <w:ind w:left="4680" w:hanging="360"/>
      </w:pPr>
      <w:rPr>
        <w:rFonts w:ascii="Symbol" w:hAnsi="Symbol" w:hint="default"/>
      </w:rPr>
    </w:lvl>
    <w:lvl w:ilvl="7" w:tplc="73F89628" w:tentative="1">
      <w:start w:val="1"/>
      <w:numFmt w:val="bullet"/>
      <w:lvlText w:val="o"/>
      <w:lvlJc w:val="left"/>
      <w:pPr>
        <w:ind w:left="5400" w:hanging="360"/>
      </w:pPr>
      <w:rPr>
        <w:rFonts w:ascii="Courier New" w:hAnsi="Courier New" w:cs="Courier New" w:hint="default"/>
      </w:rPr>
    </w:lvl>
    <w:lvl w:ilvl="8" w:tplc="17F449CC" w:tentative="1">
      <w:start w:val="1"/>
      <w:numFmt w:val="bullet"/>
      <w:lvlText w:val=""/>
      <w:lvlJc w:val="left"/>
      <w:pPr>
        <w:ind w:left="6120" w:hanging="360"/>
      </w:pPr>
      <w:rPr>
        <w:rFonts w:ascii="Wingdings" w:hAnsi="Wingdings" w:hint="default"/>
      </w:rPr>
    </w:lvl>
  </w:abstractNum>
  <w:abstractNum w:abstractNumId="57">
    <w:nsid w:val="53193052"/>
    <w:multiLevelType w:val="hybridMultilevel"/>
    <w:tmpl w:val="58F630F0"/>
    <w:lvl w:ilvl="0" w:tplc="17102D12">
      <w:start w:val="1"/>
      <w:numFmt w:val="bullet"/>
      <w:lvlText w:val=""/>
      <w:lvlJc w:val="left"/>
      <w:pPr>
        <w:ind w:left="360" w:hanging="360"/>
      </w:pPr>
      <w:rPr>
        <w:rFonts w:ascii="Symbol" w:hAnsi="Symbol" w:hint="default"/>
      </w:rPr>
    </w:lvl>
    <w:lvl w:ilvl="1" w:tplc="93FCA686" w:tentative="1">
      <w:start w:val="1"/>
      <w:numFmt w:val="bullet"/>
      <w:lvlText w:val="o"/>
      <w:lvlJc w:val="left"/>
      <w:pPr>
        <w:ind w:left="1080" w:hanging="360"/>
      </w:pPr>
      <w:rPr>
        <w:rFonts w:ascii="Courier New" w:hAnsi="Courier New" w:cs="Courier New" w:hint="default"/>
      </w:rPr>
    </w:lvl>
    <w:lvl w:ilvl="2" w:tplc="06204AA6" w:tentative="1">
      <w:start w:val="1"/>
      <w:numFmt w:val="bullet"/>
      <w:lvlText w:val=""/>
      <w:lvlJc w:val="left"/>
      <w:pPr>
        <w:ind w:left="1800" w:hanging="360"/>
      </w:pPr>
      <w:rPr>
        <w:rFonts w:ascii="Wingdings" w:hAnsi="Wingdings" w:hint="default"/>
      </w:rPr>
    </w:lvl>
    <w:lvl w:ilvl="3" w:tplc="4CEC8A7E" w:tentative="1">
      <w:start w:val="1"/>
      <w:numFmt w:val="bullet"/>
      <w:lvlText w:val=""/>
      <w:lvlJc w:val="left"/>
      <w:pPr>
        <w:ind w:left="2520" w:hanging="360"/>
      </w:pPr>
      <w:rPr>
        <w:rFonts w:ascii="Symbol" w:hAnsi="Symbol" w:hint="default"/>
      </w:rPr>
    </w:lvl>
    <w:lvl w:ilvl="4" w:tplc="71309E42" w:tentative="1">
      <w:start w:val="1"/>
      <w:numFmt w:val="bullet"/>
      <w:lvlText w:val="o"/>
      <w:lvlJc w:val="left"/>
      <w:pPr>
        <w:ind w:left="3240" w:hanging="360"/>
      </w:pPr>
      <w:rPr>
        <w:rFonts w:ascii="Courier New" w:hAnsi="Courier New" w:cs="Courier New" w:hint="default"/>
      </w:rPr>
    </w:lvl>
    <w:lvl w:ilvl="5" w:tplc="E9BEDDE4" w:tentative="1">
      <w:start w:val="1"/>
      <w:numFmt w:val="bullet"/>
      <w:lvlText w:val=""/>
      <w:lvlJc w:val="left"/>
      <w:pPr>
        <w:ind w:left="3960" w:hanging="360"/>
      </w:pPr>
      <w:rPr>
        <w:rFonts w:ascii="Wingdings" w:hAnsi="Wingdings" w:hint="default"/>
      </w:rPr>
    </w:lvl>
    <w:lvl w:ilvl="6" w:tplc="F10AD74E" w:tentative="1">
      <w:start w:val="1"/>
      <w:numFmt w:val="bullet"/>
      <w:lvlText w:val=""/>
      <w:lvlJc w:val="left"/>
      <w:pPr>
        <w:ind w:left="4680" w:hanging="360"/>
      </w:pPr>
      <w:rPr>
        <w:rFonts w:ascii="Symbol" w:hAnsi="Symbol" w:hint="default"/>
      </w:rPr>
    </w:lvl>
    <w:lvl w:ilvl="7" w:tplc="756626A2" w:tentative="1">
      <w:start w:val="1"/>
      <w:numFmt w:val="bullet"/>
      <w:lvlText w:val="o"/>
      <w:lvlJc w:val="left"/>
      <w:pPr>
        <w:ind w:left="5400" w:hanging="360"/>
      </w:pPr>
      <w:rPr>
        <w:rFonts w:ascii="Courier New" w:hAnsi="Courier New" w:cs="Courier New" w:hint="default"/>
      </w:rPr>
    </w:lvl>
    <w:lvl w:ilvl="8" w:tplc="9B6E4FBC" w:tentative="1">
      <w:start w:val="1"/>
      <w:numFmt w:val="bullet"/>
      <w:lvlText w:val=""/>
      <w:lvlJc w:val="left"/>
      <w:pPr>
        <w:ind w:left="6120" w:hanging="360"/>
      </w:pPr>
      <w:rPr>
        <w:rFonts w:ascii="Wingdings" w:hAnsi="Wingdings" w:hint="default"/>
      </w:rPr>
    </w:lvl>
  </w:abstractNum>
  <w:abstractNum w:abstractNumId="58">
    <w:nsid w:val="55A02C9F"/>
    <w:multiLevelType w:val="hybridMultilevel"/>
    <w:tmpl w:val="21CCFEF4"/>
    <w:lvl w:ilvl="0" w:tplc="A6E2D0D0">
      <w:start w:val="19"/>
      <w:numFmt w:val="bullet"/>
      <w:lvlText w:val="-"/>
      <w:lvlJc w:val="left"/>
      <w:pPr>
        <w:ind w:left="360" w:hanging="360"/>
      </w:pPr>
      <w:rPr>
        <w:rFonts w:ascii="Arial" w:eastAsia="Times New Roman" w:hAnsi="Arial" w:cs="Arial" w:hint="default"/>
      </w:rPr>
    </w:lvl>
    <w:lvl w:ilvl="1" w:tplc="597A0434" w:tentative="1">
      <w:start w:val="1"/>
      <w:numFmt w:val="bullet"/>
      <w:lvlText w:val="o"/>
      <w:lvlJc w:val="left"/>
      <w:pPr>
        <w:ind w:left="1080" w:hanging="360"/>
      </w:pPr>
      <w:rPr>
        <w:rFonts w:ascii="Courier New" w:hAnsi="Courier New" w:cs="Courier New" w:hint="default"/>
      </w:rPr>
    </w:lvl>
    <w:lvl w:ilvl="2" w:tplc="7DCA350C" w:tentative="1">
      <w:start w:val="1"/>
      <w:numFmt w:val="bullet"/>
      <w:lvlText w:val=""/>
      <w:lvlJc w:val="left"/>
      <w:pPr>
        <w:ind w:left="1800" w:hanging="360"/>
      </w:pPr>
      <w:rPr>
        <w:rFonts w:ascii="Wingdings" w:hAnsi="Wingdings" w:hint="default"/>
      </w:rPr>
    </w:lvl>
    <w:lvl w:ilvl="3" w:tplc="7988B49A" w:tentative="1">
      <w:start w:val="1"/>
      <w:numFmt w:val="bullet"/>
      <w:lvlText w:val=""/>
      <w:lvlJc w:val="left"/>
      <w:pPr>
        <w:ind w:left="2520" w:hanging="360"/>
      </w:pPr>
      <w:rPr>
        <w:rFonts w:ascii="Symbol" w:hAnsi="Symbol" w:hint="default"/>
      </w:rPr>
    </w:lvl>
    <w:lvl w:ilvl="4" w:tplc="EF0A0C84" w:tentative="1">
      <w:start w:val="1"/>
      <w:numFmt w:val="bullet"/>
      <w:lvlText w:val="o"/>
      <w:lvlJc w:val="left"/>
      <w:pPr>
        <w:ind w:left="3240" w:hanging="360"/>
      </w:pPr>
      <w:rPr>
        <w:rFonts w:ascii="Courier New" w:hAnsi="Courier New" w:cs="Courier New" w:hint="default"/>
      </w:rPr>
    </w:lvl>
    <w:lvl w:ilvl="5" w:tplc="87925214" w:tentative="1">
      <w:start w:val="1"/>
      <w:numFmt w:val="bullet"/>
      <w:lvlText w:val=""/>
      <w:lvlJc w:val="left"/>
      <w:pPr>
        <w:ind w:left="3960" w:hanging="360"/>
      </w:pPr>
      <w:rPr>
        <w:rFonts w:ascii="Wingdings" w:hAnsi="Wingdings" w:hint="default"/>
      </w:rPr>
    </w:lvl>
    <w:lvl w:ilvl="6" w:tplc="567E94D4" w:tentative="1">
      <w:start w:val="1"/>
      <w:numFmt w:val="bullet"/>
      <w:lvlText w:val=""/>
      <w:lvlJc w:val="left"/>
      <w:pPr>
        <w:ind w:left="4680" w:hanging="360"/>
      </w:pPr>
      <w:rPr>
        <w:rFonts w:ascii="Symbol" w:hAnsi="Symbol" w:hint="default"/>
      </w:rPr>
    </w:lvl>
    <w:lvl w:ilvl="7" w:tplc="03ECDA60" w:tentative="1">
      <w:start w:val="1"/>
      <w:numFmt w:val="bullet"/>
      <w:lvlText w:val="o"/>
      <w:lvlJc w:val="left"/>
      <w:pPr>
        <w:ind w:left="5400" w:hanging="360"/>
      </w:pPr>
      <w:rPr>
        <w:rFonts w:ascii="Courier New" w:hAnsi="Courier New" w:cs="Courier New" w:hint="default"/>
      </w:rPr>
    </w:lvl>
    <w:lvl w:ilvl="8" w:tplc="3A6A67F0" w:tentative="1">
      <w:start w:val="1"/>
      <w:numFmt w:val="bullet"/>
      <w:lvlText w:val=""/>
      <w:lvlJc w:val="left"/>
      <w:pPr>
        <w:ind w:left="6120" w:hanging="360"/>
      </w:pPr>
      <w:rPr>
        <w:rFonts w:ascii="Wingdings" w:hAnsi="Wingdings" w:hint="default"/>
      </w:rPr>
    </w:lvl>
  </w:abstractNum>
  <w:abstractNum w:abstractNumId="59">
    <w:nsid w:val="55A4468A"/>
    <w:multiLevelType w:val="hybridMultilevel"/>
    <w:tmpl w:val="B3846B5C"/>
    <w:lvl w:ilvl="0" w:tplc="409AD6C8">
      <w:start w:val="20"/>
      <w:numFmt w:val="bullet"/>
      <w:lvlText w:val="-"/>
      <w:lvlJc w:val="left"/>
      <w:pPr>
        <w:ind w:left="360" w:hanging="360"/>
      </w:pPr>
      <w:rPr>
        <w:rFonts w:ascii="Arial" w:eastAsia="Times New Roman" w:hAnsi="Arial" w:cs="Arial" w:hint="default"/>
      </w:rPr>
    </w:lvl>
    <w:lvl w:ilvl="1" w:tplc="77603EE2" w:tentative="1">
      <w:start w:val="1"/>
      <w:numFmt w:val="bullet"/>
      <w:lvlText w:val="o"/>
      <w:lvlJc w:val="left"/>
      <w:pPr>
        <w:ind w:left="1080" w:hanging="360"/>
      </w:pPr>
      <w:rPr>
        <w:rFonts w:ascii="Courier New" w:hAnsi="Courier New" w:cs="Courier New" w:hint="default"/>
      </w:rPr>
    </w:lvl>
    <w:lvl w:ilvl="2" w:tplc="CA0492C6" w:tentative="1">
      <w:start w:val="1"/>
      <w:numFmt w:val="bullet"/>
      <w:lvlText w:val=""/>
      <w:lvlJc w:val="left"/>
      <w:pPr>
        <w:ind w:left="1800" w:hanging="360"/>
      </w:pPr>
      <w:rPr>
        <w:rFonts w:ascii="Wingdings" w:hAnsi="Wingdings" w:hint="default"/>
      </w:rPr>
    </w:lvl>
    <w:lvl w:ilvl="3" w:tplc="48D0E8C8" w:tentative="1">
      <w:start w:val="1"/>
      <w:numFmt w:val="bullet"/>
      <w:lvlText w:val=""/>
      <w:lvlJc w:val="left"/>
      <w:pPr>
        <w:ind w:left="2520" w:hanging="360"/>
      </w:pPr>
      <w:rPr>
        <w:rFonts w:ascii="Symbol" w:hAnsi="Symbol" w:hint="default"/>
      </w:rPr>
    </w:lvl>
    <w:lvl w:ilvl="4" w:tplc="D11A6F26" w:tentative="1">
      <w:start w:val="1"/>
      <w:numFmt w:val="bullet"/>
      <w:lvlText w:val="o"/>
      <w:lvlJc w:val="left"/>
      <w:pPr>
        <w:ind w:left="3240" w:hanging="360"/>
      </w:pPr>
      <w:rPr>
        <w:rFonts w:ascii="Courier New" w:hAnsi="Courier New" w:cs="Courier New" w:hint="default"/>
      </w:rPr>
    </w:lvl>
    <w:lvl w:ilvl="5" w:tplc="9C529934" w:tentative="1">
      <w:start w:val="1"/>
      <w:numFmt w:val="bullet"/>
      <w:lvlText w:val=""/>
      <w:lvlJc w:val="left"/>
      <w:pPr>
        <w:ind w:left="3960" w:hanging="360"/>
      </w:pPr>
      <w:rPr>
        <w:rFonts w:ascii="Wingdings" w:hAnsi="Wingdings" w:hint="default"/>
      </w:rPr>
    </w:lvl>
    <w:lvl w:ilvl="6" w:tplc="D6AC1CE2" w:tentative="1">
      <w:start w:val="1"/>
      <w:numFmt w:val="bullet"/>
      <w:lvlText w:val=""/>
      <w:lvlJc w:val="left"/>
      <w:pPr>
        <w:ind w:left="4680" w:hanging="360"/>
      </w:pPr>
      <w:rPr>
        <w:rFonts w:ascii="Symbol" w:hAnsi="Symbol" w:hint="default"/>
      </w:rPr>
    </w:lvl>
    <w:lvl w:ilvl="7" w:tplc="7A9C2826" w:tentative="1">
      <w:start w:val="1"/>
      <w:numFmt w:val="bullet"/>
      <w:lvlText w:val="o"/>
      <w:lvlJc w:val="left"/>
      <w:pPr>
        <w:ind w:left="5400" w:hanging="360"/>
      </w:pPr>
      <w:rPr>
        <w:rFonts w:ascii="Courier New" w:hAnsi="Courier New" w:cs="Courier New" w:hint="default"/>
      </w:rPr>
    </w:lvl>
    <w:lvl w:ilvl="8" w:tplc="C7D4B81C" w:tentative="1">
      <w:start w:val="1"/>
      <w:numFmt w:val="bullet"/>
      <w:lvlText w:val=""/>
      <w:lvlJc w:val="left"/>
      <w:pPr>
        <w:ind w:left="6120" w:hanging="360"/>
      </w:pPr>
      <w:rPr>
        <w:rFonts w:ascii="Wingdings" w:hAnsi="Wingdings" w:hint="default"/>
      </w:rPr>
    </w:lvl>
  </w:abstractNum>
  <w:abstractNum w:abstractNumId="60">
    <w:nsid w:val="585216E9"/>
    <w:multiLevelType w:val="hybridMultilevel"/>
    <w:tmpl w:val="21BA38F4"/>
    <w:lvl w:ilvl="0" w:tplc="8400788E">
      <w:start w:val="1"/>
      <w:numFmt w:val="bullet"/>
      <w:lvlText w:val=""/>
      <w:lvlJc w:val="left"/>
      <w:pPr>
        <w:ind w:left="720" w:hanging="360"/>
      </w:pPr>
      <w:rPr>
        <w:rFonts w:ascii="Symbol" w:hAnsi="Symbol" w:hint="default"/>
      </w:rPr>
    </w:lvl>
    <w:lvl w:ilvl="1" w:tplc="610C76E4" w:tentative="1">
      <w:start w:val="1"/>
      <w:numFmt w:val="bullet"/>
      <w:lvlText w:val="o"/>
      <w:lvlJc w:val="left"/>
      <w:pPr>
        <w:ind w:left="1440" w:hanging="360"/>
      </w:pPr>
      <w:rPr>
        <w:rFonts w:ascii="Courier New" w:hAnsi="Courier New" w:cs="Courier New" w:hint="default"/>
      </w:rPr>
    </w:lvl>
    <w:lvl w:ilvl="2" w:tplc="A1E44D28" w:tentative="1">
      <w:start w:val="1"/>
      <w:numFmt w:val="bullet"/>
      <w:lvlText w:val=""/>
      <w:lvlJc w:val="left"/>
      <w:pPr>
        <w:ind w:left="2160" w:hanging="360"/>
      </w:pPr>
      <w:rPr>
        <w:rFonts w:ascii="Wingdings" w:hAnsi="Wingdings" w:hint="default"/>
      </w:rPr>
    </w:lvl>
    <w:lvl w:ilvl="3" w:tplc="5810B398" w:tentative="1">
      <w:start w:val="1"/>
      <w:numFmt w:val="bullet"/>
      <w:lvlText w:val=""/>
      <w:lvlJc w:val="left"/>
      <w:pPr>
        <w:ind w:left="2880" w:hanging="360"/>
      </w:pPr>
      <w:rPr>
        <w:rFonts w:ascii="Symbol" w:hAnsi="Symbol" w:hint="default"/>
      </w:rPr>
    </w:lvl>
    <w:lvl w:ilvl="4" w:tplc="6F4E7670" w:tentative="1">
      <w:start w:val="1"/>
      <w:numFmt w:val="bullet"/>
      <w:lvlText w:val="o"/>
      <w:lvlJc w:val="left"/>
      <w:pPr>
        <w:ind w:left="3600" w:hanging="360"/>
      </w:pPr>
      <w:rPr>
        <w:rFonts w:ascii="Courier New" w:hAnsi="Courier New" w:cs="Courier New" w:hint="default"/>
      </w:rPr>
    </w:lvl>
    <w:lvl w:ilvl="5" w:tplc="09BA7030" w:tentative="1">
      <w:start w:val="1"/>
      <w:numFmt w:val="bullet"/>
      <w:lvlText w:val=""/>
      <w:lvlJc w:val="left"/>
      <w:pPr>
        <w:ind w:left="4320" w:hanging="360"/>
      </w:pPr>
      <w:rPr>
        <w:rFonts w:ascii="Wingdings" w:hAnsi="Wingdings" w:hint="default"/>
      </w:rPr>
    </w:lvl>
    <w:lvl w:ilvl="6" w:tplc="6A4A3754" w:tentative="1">
      <w:start w:val="1"/>
      <w:numFmt w:val="bullet"/>
      <w:lvlText w:val=""/>
      <w:lvlJc w:val="left"/>
      <w:pPr>
        <w:ind w:left="5040" w:hanging="360"/>
      </w:pPr>
      <w:rPr>
        <w:rFonts w:ascii="Symbol" w:hAnsi="Symbol" w:hint="default"/>
      </w:rPr>
    </w:lvl>
    <w:lvl w:ilvl="7" w:tplc="1FB2718E" w:tentative="1">
      <w:start w:val="1"/>
      <w:numFmt w:val="bullet"/>
      <w:lvlText w:val="o"/>
      <w:lvlJc w:val="left"/>
      <w:pPr>
        <w:ind w:left="5760" w:hanging="360"/>
      </w:pPr>
      <w:rPr>
        <w:rFonts w:ascii="Courier New" w:hAnsi="Courier New" w:cs="Courier New" w:hint="default"/>
      </w:rPr>
    </w:lvl>
    <w:lvl w:ilvl="8" w:tplc="F6FA94B8" w:tentative="1">
      <w:start w:val="1"/>
      <w:numFmt w:val="bullet"/>
      <w:lvlText w:val=""/>
      <w:lvlJc w:val="left"/>
      <w:pPr>
        <w:ind w:left="6480" w:hanging="360"/>
      </w:pPr>
      <w:rPr>
        <w:rFonts w:ascii="Wingdings" w:hAnsi="Wingdings" w:hint="default"/>
      </w:rPr>
    </w:lvl>
  </w:abstractNum>
  <w:abstractNum w:abstractNumId="61">
    <w:nsid w:val="58BD1658"/>
    <w:multiLevelType w:val="hybridMultilevel"/>
    <w:tmpl w:val="EF96DB58"/>
    <w:lvl w:ilvl="0" w:tplc="1A2C76D0">
      <w:start w:val="1"/>
      <w:numFmt w:val="decimal"/>
      <w:lvlText w:val="20.%1"/>
      <w:lvlJc w:val="left"/>
      <w:pPr>
        <w:tabs>
          <w:tab w:val="num" w:pos="680"/>
        </w:tabs>
        <w:ind w:left="0" w:firstLine="0"/>
      </w:pPr>
      <w:rPr>
        <w:rFonts w:ascii="Arial" w:hAnsi="Arial" w:hint="default"/>
        <w:sz w:val="20"/>
        <w:szCs w:val="20"/>
      </w:rPr>
    </w:lvl>
    <w:lvl w:ilvl="1" w:tplc="98520FD4">
      <w:start w:val="1"/>
      <w:numFmt w:val="lowerRoman"/>
      <w:lvlText w:val="%2)"/>
      <w:lvlJc w:val="left"/>
      <w:pPr>
        <w:tabs>
          <w:tab w:val="num" w:pos="1440"/>
        </w:tabs>
        <w:ind w:left="1440" w:hanging="360"/>
      </w:pPr>
      <w:rPr>
        <w:rFonts w:hint="default"/>
        <w:b w:val="0"/>
        <w:bCs w:val="0"/>
        <w:sz w:val="20"/>
        <w:szCs w:val="20"/>
      </w:rPr>
    </w:lvl>
    <w:lvl w:ilvl="2" w:tplc="8458B4F0" w:tentative="1">
      <w:start w:val="1"/>
      <w:numFmt w:val="lowerRoman"/>
      <w:lvlText w:val="%3."/>
      <w:lvlJc w:val="right"/>
      <w:pPr>
        <w:tabs>
          <w:tab w:val="num" w:pos="2160"/>
        </w:tabs>
        <w:ind w:left="2160" w:hanging="180"/>
      </w:pPr>
    </w:lvl>
    <w:lvl w:ilvl="3" w:tplc="E698EC8A" w:tentative="1">
      <w:start w:val="1"/>
      <w:numFmt w:val="decimal"/>
      <w:lvlText w:val="%4."/>
      <w:lvlJc w:val="left"/>
      <w:pPr>
        <w:tabs>
          <w:tab w:val="num" w:pos="2880"/>
        </w:tabs>
        <w:ind w:left="2880" w:hanging="360"/>
      </w:pPr>
    </w:lvl>
    <w:lvl w:ilvl="4" w:tplc="EF7897F6" w:tentative="1">
      <w:start w:val="1"/>
      <w:numFmt w:val="lowerLetter"/>
      <w:lvlText w:val="%5."/>
      <w:lvlJc w:val="left"/>
      <w:pPr>
        <w:tabs>
          <w:tab w:val="num" w:pos="3600"/>
        </w:tabs>
        <w:ind w:left="3600" w:hanging="360"/>
      </w:pPr>
    </w:lvl>
    <w:lvl w:ilvl="5" w:tplc="28743708" w:tentative="1">
      <w:start w:val="1"/>
      <w:numFmt w:val="lowerRoman"/>
      <w:lvlText w:val="%6."/>
      <w:lvlJc w:val="right"/>
      <w:pPr>
        <w:tabs>
          <w:tab w:val="num" w:pos="4320"/>
        </w:tabs>
        <w:ind w:left="4320" w:hanging="180"/>
      </w:pPr>
    </w:lvl>
    <w:lvl w:ilvl="6" w:tplc="782EDD70" w:tentative="1">
      <w:start w:val="1"/>
      <w:numFmt w:val="decimal"/>
      <w:lvlText w:val="%7."/>
      <w:lvlJc w:val="left"/>
      <w:pPr>
        <w:tabs>
          <w:tab w:val="num" w:pos="5040"/>
        </w:tabs>
        <w:ind w:left="5040" w:hanging="360"/>
      </w:pPr>
    </w:lvl>
    <w:lvl w:ilvl="7" w:tplc="B1F6B278" w:tentative="1">
      <w:start w:val="1"/>
      <w:numFmt w:val="lowerLetter"/>
      <w:lvlText w:val="%8."/>
      <w:lvlJc w:val="left"/>
      <w:pPr>
        <w:tabs>
          <w:tab w:val="num" w:pos="5760"/>
        </w:tabs>
        <w:ind w:left="5760" w:hanging="360"/>
      </w:pPr>
    </w:lvl>
    <w:lvl w:ilvl="8" w:tplc="4E2AFD04" w:tentative="1">
      <w:start w:val="1"/>
      <w:numFmt w:val="lowerRoman"/>
      <w:lvlText w:val="%9."/>
      <w:lvlJc w:val="right"/>
      <w:pPr>
        <w:tabs>
          <w:tab w:val="num" w:pos="6480"/>
        </w:tabs>
        <w:ind w:left="6480" w:hanging="180"/>
      </w:pPr>
    </w:lvl>
  </w:abstractNum>
  <w:abstractNum w:abstractNumId="62">
    <w:nsid w:val="59E86743"/>
    <w:multiLevelType w:val="hybridMultilevel"/>
    <w:tmpl w:val="EE1AE100"/>
    <w:lvl w:ilvl="0" w:tplc="C170762E">
      <w:start w:val="1"/>
      <w:numFmt w:val="bullet"/>
      <w:lvlText w:val=""/>
      <w:lvlJc w:val="left"/>
      <w:pPr>
        <w:ind w:left="720" w:hanging="360"/>
      </w:pPr>
      <w:rPr>
        <w:rFonts w:ascii="Symbol" w:hAnsi="Symbol" w:hint="default"/>
      </w:rPr>
    </w:lvl>
    <w:lvl w:ilvl="1" w:tplc="37BE04C2" w:tentative="1">
      <w:start w:val="1"/>
      <w:numFmt w:val="bullet"/>
      <w:lvlText w:val="o"/>
      <w:lvlJc w:val="left"/>
      <w:pPr>
        <w:ind w:left="1440" w:hanging="360"/>
      </w:pPr>
      <w:rPr>
        <w:rFonts w:ascii="Courier New" w:hAnsi="Courier New" w:cs="Courier New" w:hint="default"/>
      </w:rPr>
    </w:lvl>
    <w:lvl w:ilvl="2" w:tplc="C0ECD994" w:tentative="1">
      <w:start w:val="1"/>
      <w:numFmt w:val="bullet"/>
      <w:lvlText w:val=""/>
      <w:lvlJc w:val="left"/>
      <w:pPr>
        <w:ind w:left="2160" w:hanging="360"/>
      </w:pPr>
      <w:rPr>
        <w:rFonts w:ascii="Wingdings" w:hAnsi="Wingdings" w:hint="default"/>
      </w:rPr>
    </w:lvl>
    <w:lvl w:ilvl="3" w:tplc="8B663A2C" w:tentative="1">
      <w:start w:val="1"/>
      <w:numFmt w:val="bullet"/>
      <w:lvlText w:val=""/>
      <w:lvlJc w:val="left"/>
      <w:pPr>
        <w:ind w:left="2880" w:hanging="360"/>
      </w:pPr>
      <w:rPr>
        <w:rFonts w:ascii="Symbol" w:hAnsi="Symbol" w:hint="default"/>
      </w:rPr>
    </w:lvl>
    <w:lvl w:ilvl="4" w:tplc="FAD0C69C" w:tentative="1">
      <w:start w:val="1"/>
      <w:numFmt w:val="bullet"/>
      <w:lvlText w:val="o"/>
      <w:lvlJc w:val="left"/>
      <w:pPr>
        <w:ind w:left="3600" w:hanging="360"/>
      </w:pPr>
      <w:rPr>
        <w:rFonts w:ascii="Courier New" w:hAnsi="Courier New" w:cs="Courier New" w:hint="default"/>
      </w:rPr>
    </w:lvl>
    <w:lvl w:ilvl="5" w:tplc="E8AA8752" w:tentative="1">
      <w:start w:val="1"/>
      <w:numFmt w:val="bullet"/>
      <w:lvlText w:val=""/>
      <w:lvlJc w:val="left"/>
      <w:pPr>
        <w:ind w:left="4320" w:hanging="360"/>
      </w:pPr>
      <w:rPr>
        <w:rFonts w:ascii="Wingdings" w:hAnsi="Wingdings" w:hint="default"/>
      </w:rPr>
    </w:lvl>
    <w:lvl w:ilvl="6" w:tplc="DC2AC9FE" w:tentative="1">
      <w:start w:val="1"/>
      <w:numFmt w:val="bullet"/>
      <w:lvlText w:val=""/>
      <w:lvlJc w:val="left"/>
      <w:pPr>
        <w:ind w:left="5040" w:hanging="360"/>
      </w:pPr>
      <w:rPr>
        <w:rFonts w:ascii="Symbol" w:hAnsi="Symbol" w:hint="default"/>
      </w:rPr>
    </w:lvl>
    <w:lvl w:ilvl="7" w:tplc="98103E42" w:tentative="1">
      <w:start w:val="1"/>
      <w:numFmt w:val="bullet"/>
      <w:lvlText w:val="o"/>
      <w:lvlJc w:val="left"/>
      <w:pPr>
        <w:ind w:left="5760" w:hanging="360"/>
      </w:pPr>
      <w:rPr>
        <w:rFonts w:ascii="Courier New" w:hAnsi="Courier New" w:cs="Courier New" w:hint="default"/>
      </w:rPr>
    </w:lvl>
    <w:lvl w:ilvl="8" w:tplc="CE24F3D8" w:tentative="1">
      <w:start w:val="1"/>
      <w:numFmt w:val="bullet"/>
      <w:lvlText w:val=""/>
      <w:lvlJc w:val="left"/>
      <w:pPr>
        <w:ind w:left="6480" w:hanging="360"/>
      </w:pPr>
      <w:rPr>
        <w:rFonts w:ascii="Wingdings" w:hAnsi="Wingdings" w:hint="default"/>
      </w:rPr>
    </w:lvl>
  </w:abstractNum>
  <w:abstractNum w:abstractNumId="63">
    <w:nsid w:val="5A0375EB"/>
    <w:multiLevelType w:val="hybridMultilevel"/>
    <w:tmpl w:val="3BC0A6B8"/>
    <w:lvl w:ilvl="0" w:tplc="0276B03C">
      <w:start w:val="1"/>
      <w:numFmt w:val="bullet"/>
      <w:lvlText w:val=""/>
      <w:lvlJc w:val="left"/>
      <w:pPr>
        <w:ind w:left="360" w:hanging="360"/>
      </w:pPr>
      <w:rPr>
        <w:rFonts w:ascii="Symbol" w:hAnsi="Symbol" w:hint="default"/>
      </w:rPr>
    </w:lvl>
    <w:lvl w:ilvl="1" w:tplc="945ACDC0" w:tentative="1">
      <w:start w:val="1"/>
      <w:numFmt w:val="bullet"/>
      <w:lvlText w:val="o"/>
      <w:lvlJc w:val="left"/>
      <w:pPr>
        <w:ind w:left="1080" w:hanging="360"/>
      </w:pPr>
      <w:rPr>
        <w:rFonts w:ascii="Courier New" w:hAnsi="Courier New" w:cs="Courier New" w:hint="default"/>
      </w:rPr>
    </w:lvl>
    <w:lvl w:ilvl="2" w:tplc="B60EB58A" w:tentative="1">
      <w:start w:val="1"/>
      <w:numFmt w:val="bullet"/>
      <w:lvlText w:val=""/>
      <w:lvlJc w:val="left"/>
      <w:pPr>
        <w:ind w:left="1800" w:hanging="360"/>
      </w:pPr>
      <w:rPr>
        <w:rFonts w:ascii="Wingdings" w:hAnsi="Wingdings" w:hint="default"/>
      </w:rPr>
    </w:lvl>
    <w:lvl w:ilvl="3" w:tplc="F7F4DC98" w:tentative="1">
      <w:start w:val="1"/>
      <w:numFmt w:val="bullet"/>
      <w:lvlText w:val=""/>
      <w:lvlJc w:val="left"/>
      <w:pPr>
        <w:ind w:left="2520" w:hanging="360"/>
      </w:pPr>
      <w:rPr>
        <w:rFonts w:ascii="Symbol" w:hAnsi="Symbol" w:hint="default"/>
      </w:rPr>
    </w:lvl>
    <w:lvl w:ilvl="4" w:tplc="6E16AA16" w:tentative="1">
      <w:start w:val="1"/>
      <w:numFmt w:val="bullet"/>
      <w:lvlText w:val="o"/>
      <w:lvlJc w:val="left"/>
      <w:pPr>
        <w:ind w:left="3240" w:hanging="360"/>
      </w:pPr>
      <w:rPr>
        <w:rFonts w:ascii="Courier New" w:hAnsi="Courier New" w:cs="Courier New" w:hint="default"/>
      </w:rPr>
    </w:lvl>
    <w:lvl w:ilvl="5" w:tplc="77CEA0E8" w:tentative="1">
      <w:start w:val="1"/>
      <w:numFmt w:val="bullet"/>
      <w:lvlText w:val=""/>
      <w:lvlJc w:val="left"/>
      <w:pPr>
        <w:ind w:left="3960" w:hanging="360"/>
      </w:pPr>
      <w:rPr>
        <w:rFonts w:ascii="Wingdings" w:hAnsi="Wingdings" w:hint="default"/>
      </w:rPr>
    </w:lvl>
    <w:lvl w:ilvl="6" w:tplc="7E5E6A54" w:tentative="1">
      <w:start w:val="1"/>
      <w:numFmt w:val="bullet"/>
      <w:lvlText w:val=""/>
      <w:lvlJc w:val="left"/>
      <w:pPr>
        <w:ind w:left="4680" w:hanging="360"/>
      </w:pPr>
      <w:rPr>
        <w:rFonts w:ascii="Symbol" w:hAnsi="Symbol" w:hint="default"/>
      </w:rPr>
    </w:lvl>
    <w:lvl w:ilvl="7" w:tplc="98E87152" w:tentative="1">
      <w:start w:val="1"/>
      <w:numFmt w:val="bullet"/>
      <w:lvlText w:val="o"/>
      <w:lvlJc w:val="left"/>
      <w:pPr>
        <w:ind w:left="5400" w:hanging="360"/>
      </w:pPr>
      <w:rPr>
        <w:rFonts w:ascii="Courier New" w:hAnsi="Courier New" w:cs="Courier New" w:hint="default"/>
      </w:rPr>
    </w:lvl>
    <w:lvl w:ilvl="8" w:tplc="DFEE6056" w:tentative="1">
      <w:start w:val="1"/>
      <w:numFmt w:val="bullet"/>
      <w:lvlText w:val=""/>
      <w:lvlJc w:val="left"/>
      <w:pPr>
        <w:ind w:left="6120" w:hanging="360"/>
      </w:pPr>
      <w:rPr>
        <w:rFonts w:ascii="Wingdings" w:hAnsi="Wingdings" w:hint="default"/>
      </w:rPr>
    </w:lvl>
  </w:abstractNum>
  <w:abstractNum w:abstractNumId="64">
    <w:nsid w:val="5B050C84"/>
    <w:multiLevelType w:val="hybridMultilevel"/>
    <w:tmpl w:val="10BEB5D4"/>
    <w:lvl w:ilvl="0" w:tplc="1FDA70EC">
      <w:start w:val="1"/>
      <w:numFmt w:val="decimal"/>
      <w:lvlText w:val="9.%1."/>
      <w:lvlJc w:val="left"/>
      <w:pPr>
        <w:ind w:left="720" w:hanging="360"/>
      </w:pPr>
      <w:rPr>
        <w:rFonts w:hint="default"/>
      </w:rPr>
    </w:lvl>
    <w:lvl w:ilvl="1" w:tplc="6854FC8C" w:tentative="1">
      <w:start w:val="1"/>
      <w:numFmt w:val="lowerLetter"/>
      <w:lvlText w:val="%2."/>
      <w:lvlJc w:val="left"/>
      <w:pPr>
        <w:ind w:left="1440" w:hanging="360"/>
      </w:pPr>
    </w:lvl>
    <w:lvl w:ilvl="2" w:tplc="286AF934" w:tentative="1">
      <w:start w:val="1"/>
      <w:numFmt w:val="lowerRoman"/>
      <w:lvlText w:val="%3."/>
      <w:lvlJc w:val="right"/>
      <w:pPr>
        <w:ind w:left="2160" w:hanging="180"/>
      </w:pPr>
    </w:lvl>
    <w:lvl w:ilvl="3" w:tplc="D83AB4CA" w:tentative="1">
      <w:start w:val="1"/>
      <w:numFmt w:val="decimal"/>
      <w:lvlText w:val="%4."/>
      <w:lvlJc w:val="left"/>
      <w:pPr>
        <w:ind w:left="2880" w:hanging="360"/>
      </w:pPr>
    </w:lvl>
    <w:lvl w:ilvl="4" w:tplc="3774C90E" w:tentative="1">
      <w:start w:val="1"/>
      <w:numFmt w:val="lowerLetter"/>
      <w:lvlText w:val="%5."/>
      <w:lvlJc w:val="left"/>
      <w:pPr>
        <w:ind w:left="3600" w:hanging="360"/>
      </w:pPr>
    </w:lvl>
    <w:lvl w:ilvl="5" w:tplc="C30ACD0C" w:tentative="1">
      <w:start w:val="1"/>
      <w:numFmt w:val="lowerRoman"/>
      <w:lvlText w:val="%6."/>
      <w:lvlJc w:val="right"/>
      <w:pPr>
        <w:ind w:left="4320" w:hanging="180"/>
      </w:pPr>
    </w:lvl>
    <w:lvl w:ilvl="6" w:tplc="EFF2D144" w:tentative="1">
      <w:start w:val="1"/>
      <w:numFmt w:val="decimal"/>
      <w:lvlText w:val="%7."/>
      <w:lvlJc w:val="left"/>
      <w:pPr>
        <w:ind w:left="5040" w:hanging="360"/>
      </w:pPr>
    </w:lvl>
    <w:lvl w:ilvl="7" w:tplc="B7585BCE" w:tentative="1">
      <w:start w:val="1"/>
      <w:numFmt w:val="lowerLetter"/>
      <w:lvlText w:val="%8."/>
      <w:lvlJc w:val="left"/>
      <w:pPr>
        <w:ind w:left="5760" w:hanging="360"/>
      </w:pPr>
    </w:lvl>
    <w:lvl w:ilvl="8" w:tplc="6C78CB44" w:tentative="1">
      <w:start w:val="1"/>
      <w:numFmt w:val="lowerRoman"/>
      <w:lvlText w:val="%9."/>
      <w:lvlJc w:val="right"/>
      <w:pPr>
        <w:ind w:left="6480" w:hanging="180"/>
      </w:pPr>
    </w:lvl>
  </w:abstractNum>
  <w:abstractNum w:abstractNumId="65">
    <w:nsid w:val="5CC829CD"/>
    <w:multiLevelType w:val="hybridMultilevel"/>
    <w:tmpl w:val="C304E554"/>
    <w:lvl w:ilvl="0" w:tplc="5FBE75E4">
      <w:start w:val="1"/>
      <w:numFmt w:val="bullet"/>
      <w:lvlText w:val=""/>
      <w:lvlJc w:val="left"/>
      <w:pPr>
        <w:ind w:left="720" w:hanging="360"/>
      </w:pPr>
      <w:rPr>
        <w:rFonts w:ascii="Symbol" w:hAnsi="Symbol" w:hint="default"/>
      </w:rPr>
    </w:lvl>
    <w:lvl w:ilvl="1" w:tplc="34AAAE32" w:tentative="1">
      <w:start w:val="1"/>
      <w:numFmt w:val="bullet"/>
      <w:lvlText w:val="o"/>
      <w:lvlJc w:val="left"/>
      <w:pPr>
        <w:ind w:left="1440" w:hanging="360"/>
      </w:pPr>
      <w:rPr>
        <w:rFonts w:ascii="Courier New" w:hAnsi="Courier New" w:cs="Courier New" w:hint="default"/>
      </w:rPr>
    </w:lvl>
    <w:lvl w:ilvl="2" w:tplc="2244F280" w:tentative="1">
      <w:start w:val="1"/>
      <w:numFmt w:val="bullet"/>
      <w:lvlText w:val=""/>
      <w:lvlJc w:val="left"/>
      <w:pPr>
        <w:ind w:left="2160" w:hanging="360"/>
      </w:pPr>
      <w:rPr>
        <w:rFonts w:ascii="Wingdings" w:hAnsi="Wingdings" w:hint="default"/>
      </w:rPr>
    </w:lvl>
    <w:lvl w:ilvl="3" w:tplc="B32088DC" w:tentative="1">
      <w:start w:val="1"/>
      <w:numFmt w:val="bullet"/>
      <w:lvlText w:val=""/>
      <w:lvlJc w:val="left"/>
      <w:pPr>
        <w:ind w:left="2880" w:hanging="360"/>
      </w:pPr>
      <w:rPr>
        <w:rFonts w:ascii="Symbol" w:hAnsi="Symbol" w:hint="default"/>
      </w:rPr>
    </w:lvl>
    <w:lvl w:ilvl="4" w:tplc="D7265730" w:tentative="1">
      <w:start w:val="1"/>
      <w:numFmt w:val="bullet"/>
      <w:lvlText w:val="o"/>
      <w:lvlJc w:val="left"/>
      <w:pPr>
        <w:ind w:left="3600" w:hanging="360"/>
      </w:pPr>
      <w:rPr>
        <w:rFonts w:ascii="Courier New" w:hAnsi="Courier New" w:cs="Courier New" w:hint="default"/>
      </w:rPr>
    </w:lvl>
    <w:lvl w:ilvl="5" w:tplc="24AC3B60" w:tentative="1">
      <w:start w:val="1"/>
      <w:numFmt w:val="bullet"/>
      <w:lvlText w:val=""/>
      <w:lvlJc w:val="left"/>
      <w:pPr>
        <w:ind w:left="4320" w:hanging="360"/>
      </w:pPr>
      <w:rPr>
        <w:rFonts w:ascii="Wingdings" w:hAnsi="Wingdings" w:hint="default"/>
      </w:rPr>
    </w:lvl>
    <w:lvl w:ilvl="6" w:tplc="56BE0EDA" w:tentative="1">
      <w:start w:val="1"/>
      <w:numFmt w:val="bullet"/>
      <w:lvlText w:val=""/>
      <w:lvlJc w:val="left"/>
      <w:pPr>
        <w:ind w:left="5040" w:hanging="360"/>
      </w:pPr>
      <w:rPr>
        <w:rFonts w:ascii="Symbol" w:hAnsi="Symbol" w:hint="default"/>
      </w:rPr>
    </w:lvl>
    <w:lvl w:ilvl="7" w:tplc="13A288AA" w:tentative="1">
      <w:start w:val="1"/>
      <w:numFmt w:val="bullet"/>
      <w:lvlText w:val="o"/>
      <w:lvlJc w:val="left"/>
      <w:pPr>
        <w:ind w:left="5760" w:hanging="360"/>
      </w:pPr>
      <w:rPr>
        <w:rFonts w:ascii="Courier New" w:hAnsi="Courier New" w:cs="Courier New" w:hint="default"/>
      </w:rPr>
    </w:lvl>
    <w:lvl w:ilvl="8" w:tplc="7F929668" w:tentative="1">
      <w:start w:val="1"/>
      <w:numFmt w:val="bullet"/>
      <w:lvlText w:val=""/>
      <w:lvlJc w:val="left"/>
      <w:pPr>
        <w:ind w:left="6480" w:hanging="360"/>
      </w:pPr>
      <w:rPr>
        <w:rFonts w:ascii="Wingdings" w:hAnsi="Wingdings" w:hint="default"/>
      </w:rPr>
    </w:lvl>
  </w:abstractNum>
  <w:abstractNum w:abstractNumId="66">
    <w:nsid w:val="5CE92CAD"/>
    <w:multiLevelType w:val="hybridMultilevel"/>
    <w:tmpl w:val="EFE0F9D0"/>
    <w:lvl w:ilvl="0" w:tplc="1068C0CE">
      <w:start w:val="78"/>
      <w:numFmt w:val="bullet"/>
      <w:lvlText w:val="-"/>
      <w:lvlJc w:val="left"/>
      <w:pPr>
        <w:ind w:left="360" w:hanging="360"/>
      </w:pPr>
      <w:rPr>
        <w:rFonts w:ascii="Arial" w:eastAsia="Times New Roman" w:hAnsi="Arial" w:cs="Arial" w:hint="default"/>
      </w:rPr>
    </w:lvl>
    <w:lvl w:ilvl="1" w:tplc="3C9A5768" w:tentative="1">
      <w:start w:val="1"/>
      <w:numFmt w:val="bullet"/>
      <w:lvlText w:val="o"/>
      <w:lvlJc w:val="left"/>
      <w:pPr>
        <w:ind w:left="1080" w:hanging="360"/>
      </w:pPr>
      <w:rPr>
        <w:rFonts w:ascii="Courier New" w:hAnsi="Courier New" w:cs="Courier New" w:hint="default"/>
      </w:rPr>
    </w:lvl>
    <w:lvl w:ilvl="2" w:tplc="9990B93C" w:tentative="1">
      <w:start w:val="1"/>
      <w:numFmt w:val="bullet"/>
      <w:lvlText w:val=""/>
      <w:lvlJc w:val="left"/>
      <w:pPr>
        <w:ind w:left="1800" w:hanging="360"/>
      </w:pPr>
      <w:rPr>
        <w:rFonts w:ascii="Wingdings" w:hAnsi="Wingdings" w:hint="default"/>
      </w:rPr>
    </w:lvl>
    <w:lvl w:ilvl="3" w:tplc="E09EA56C" w:tentative="1">
      <w:start w:val="1"/>
      <w:numFmt w:val="bullet"/>
      <w:lvlText w:val=""/>
      <w:lvlJc w:val="left"/>
      <w:pPr>
        <w:ind w:left="2520" w:hanging="360"/>
      </w:pPr>
      <w:rPr>
        <w:rFonts w:ascii="Symbol" w:hAnsi="Symbol" w:hint="default"/>
      </w:rPr>
    </w:lvl>
    <w:lvl w:ilvl="4" w:tplc="CA00F8CE" w:tentative="1">
      <w:start w:val="1"/>
      <w:numFmt w:val="bullet"/>
      <w:lvlText w:val="o"/>
      <w:lvlJc w:val="left"/>
      <w:pPr>
        <w:ind w:left="3240" w:hanging="360"/>
      </w:pPr>
      <w:rPr>
        <w:rFonts w:ascii="Courier New" w:hAnsi="Courier New" w:cs="Courier New" w:hint="default"/>
      </w:rPr>
    </w:lvl>
    <w:lvl w:ilvl="5" w:tplc="7F8A54B0" w:tentative="1">
      <w:start w:val="1"/>
      <w:numFmt w:val="bullet"/>
      <w:lvlText w:val=""/>
      <w:lvlJc w:val="left"/>
      <w:pPr>
        <w:ind w:left="3960" w:hanging="360"/>
      </w:pPr>
      <w:rPr>
        <w:rFonts w:ascii="Wingdings" w:hAnsi="Wingdings" w:hint="default"/>
      </w:rPr>
    </w:lvl>
    <w:lvl w:ilvl="6" w:tplc="4D9CEAB0" w:tentative="1">
      <w:start w:val="1"/>
      <w:numFmt w:val="bullet"/>
      <w:lvlText w:val=""/>
      <w:lvlJc w:val="left"/>
      <w:pPr>
        <w:ind w:left="4680" w:hanging="360"/>
      </w:pPr>
      <w:rPr>
        <w:rFonts w:ascii="Symbol" w:hAnsi="Symbol" w:hint="default"/>
      </w:rPr>
    </w:lvl>
    <w:lvl w:ilvl="7" w:tplc="F012769E" w:tentative="1">
      <w:start w:val="1"/>
      <w:numFmt w:val="bullet"/>
      <w:lvlText w:val="o"/>
      <w:lvlJc w:val="left"/>
      <w:pPr>
        <w:ind w:left="5400" w:hanging="360"/>
      </w:pPr>
      <w:rPr>
        <w:rFonts w:ascii="Courier New" w:hAnsi="Courier New" w:cs="Courier New" w:hint="default"/>
      </w:rPr>
    </w:lvl>
    <w:lvl w:ilvl="8" w:tplc="F02EAFB8" w:tentative="1">
      <w:start w:val="1"/>
      <w:numFmt w:val="bullet"/>
      <w:lvlText w:val=""/>
      <w:lvlJc w:val="left"/>
      <w:pPr>
        <w:ind w:left="6120" w:hanging="360"/>
      </w:pPr>
      <w:rPr>
        <w:rFonts w:ascii="Wingdings" w:hAnsi="Wingdings" w:hint="default"/>
      </w:rPr>
    </w:lvl>
  </w:abstractNum>
  <w:abstractNum w:abstractNumId="67">
    <w:nsid w:val="5DE86687"/>
    <w:multiLevelType w:val="hybridMultilevel"/>
    <w:tmpl w:val="140A3BA4"/>
    <w:lvl w:ilvl="0" w:tplc="1166E68A">
      <w:start w:val="1"/>
      <w:numFmt w:val="bullet"/>
      <w:lvlText w:val=""/>
      <w:lvlJc w:val="left"/>
      <w:pPr>
        <w:ind w:left="927" w:hanging="360"/>
      </w:pPr>
      <w:rPr>
        <w:rFonts w:ascii="Symbol" w:hAnsi="Symbol" w:hint="default"/>
      </w:rPr>
    </w:lvl>
    <w:lvl w:ilvl="1" w:tplc="02E2EAA6" w:tentative="1">
      <w:start w:val="1"/>
      <w:numFmt w:val="bullet"/>
      <w:lvlText w:val="o"/>
      <w:lvlJc w:val="left"/>
      <w:pPr>
        <w:ind w:left="1647" w:hanging="360"/>
      </w:pPr>
      <w:rPr>
        <w:rFonts w:ascii="Courier New" w:hAnsi="Courier New" w:cs="Courier New" w:hint="default"/>
      </w:rPr>
    </w:lvl>
    <w:lvl w:ilvl="2" w:tplc="9882535C" w:tentative="1">
      <w:start w:val="1"/>
      <w:numFmt w:val="bullet"/>
      <w:lvlText w:val=""/>
      <w:lvlJc w:val="left"/>
      <w:pPr>
        <w:ind w:left="2367" w:hanging="360"/>
      </w:pPr>
      <w:rPr>
        <w:rFonts w:ascii="Wingdings" w:hAnsi="Wingdings" w:hint="default"/>
      </w:rPr>
    </w:lvl>
    <w:lvl w:ilvl="3" w:tplc="6040DBD2" w:tentative="1">
      <w:start w:val="1"/>
      <w:numFmt w:val="bullet"/>
      <w:lvlText w:val=""/>
      <w:lvlJc w:val="left"/>
      <w:pPr>
        <w:ind w:left="3087" w:hanging="360"/>
      </w:pPr>
      <w:rPr>
        <w:rFonts w:ascii="Symbol" w:hAnsi="Symbol" w:hint="default"/>
      </w:rPr>
    </w:lvl>
    <w:lvl w:ilvl="4" w:tplc="A21EF89C" w:tentative="1">
      <w:start w:val="1"/>
      <w:numFmt w:val="bullet"/>
      <w:lvlText w:val="o"/>
      <w:lvlJc w:val="left"/>
      <w:pPr>
        <w:ind w:left="3807" w:hanging="360"/>
      </w:pPr>
      <w:rPr>
        <w:rFonts w:ascii="Courier New" w:hAnsi="Courier New" w:cs="Courier New" w:hint="default"/>
      </w:rPr>
    </w:lvl>
    <w:lvl w:ilvl="5" w:tplc="3D0AFE04" w:tentative="1">
      <w:start w:val="1"/>
      <w:numFmt w:val="bullet"/>
      <w:lvlText w:val=""/>
      <w:lvlJc w:val="left"/>
      <w:pPr>
        <w:ind w:left="4527" w:hanging="360"/>
      </w:pPr>
      <w:rPr>
        <w:rFonts w:ascii="Wingdings" w:hAnsi="Wingdings" w:hint="default"/>
      </w:rPr>
    </w:lvl>
    <w:lvl w:ilvl="6" w:tplc="6E807F2C" w:tentative="1">
      <w:start w:val="1"/>
      <w:numFmt w:val="bullet"/>
      <w:lvlText w:val=""/>
      <w:lvlJc w:val="left"/>
      <w:pPr>
        <w:ind w:left="5247" w:hanging="360"/>
      </w:pPr>
      <w:rPr>
        <w:rFonts w:ascii="Symbol" w:hAnsi="Symbol" w:hint="default"/>
      </w:rPr>
    </w:lvl>
    <w:lvl w:ilvl="7" w:tplc="2770509C" w:tentative="1">
      <w:start w:val="1"/>
      <w:numFmt w:val="bullet"/>
      <w:lvlText w:val="o"/>
      <w:lvlJc w:val="left"/>
      <w:pPr>
        <w:ind w:left="5967" w:hanging="360"/>
      </w:pPr>
      <w:rPr>
        <w:rFonts w:ascii="Courier New" w:hAnsi="Courier New" w:cs="Courier New" w:hint="default"/>
      </w:rPr>
    </w:lvl>
    <w:lvl w:ilvl="8" w:tplc="FC502FC4" w:tentative="1">
      <w:start w:val="1"/>
      <w:numFmt w:val="bullet"/>
      <w:lvlText w:val=""/>
      <w:lvlJc w:val="left"/>
      <w:pPr>
        <w:ind w:left="6687" w:hanging="360"/>
      </w:pPr>
      <w:rPr>
        <w:rFonts w:ascii="Wingdings" w:hAnsi="Wingdings" w:hint="default"/>
      </w:rPr>
    </w:lvl>
  </w:abstractNum>
  <w:abstractNum w:abstractNumId="68">
    <w:nsid w:val="5E745982"/>
    <w:multiLevelType w:val="hybridMultilevel"/>
    <w:tmpl w:val="687A7EF8"/>
    <w:lvl w:ilvl="0" w:tplc="A022C77A">
      <w:start w:val="1"/>
      <w:numFmt w:val="decimal"/>
      <w:lvlText w:val="%1."/>
      <w:lvlJc w:val="left"/>
      <w:pPr>
        <w:ind w:left="927" w:hanging="360"/>
      </w:pPr>
      <w:rPr>
        <w:rFonts w:hint="default"/>
      </w:rPr>
    </w:lvl>
    <w:lvl w:ilvl="1" w:tplc="3CD087D6" w:tentative="1">
      <w:start w:val="1"/>
      <w:numFmt w:val="lowerLetter"/>
      <w:lvlText w:val="%2."/>
      <w:lvlJc w:val="left"/>
      <w:pPr>
        <w:ind w:left="1647" w:hanging="360"/>
      </w:pPr>
    </w:lvl>
    <w:lvl w:ilvl="2" w:tplc="837218B8" w:tentative="1">
      <w:start w:val="1"/>
      <w:numFmt w:val="lowerRoman"/>
      <w:lvlText w:val="%3."/>
      <w:lvlJc w:val="right"/>
      <w:pPr>
        <w:ind w:left="2367" w:hanging="180"/>
      </w:pPr>
    </w:lvl>
    <w:lvl w:ilvl="3" w:tplc="B8B0A9C0" w:tentative="1">
      <w:start w:val="1"/>
      <w:numFmt w:val="decimal"/>
      <w:lvlText w:val="%4."/>
      <w:lvlJc w:val="left"/>
      <w:pPr>
        <w:ind w:left="3087" w:hanging="360"/>
      </w:pPr>
    </w:lvl>
    <w:lvl w:ilvl="4" w:tplc="9DAECC12" w:tentative="1">
      <w:start w:val="1"/>
      <w:numFmt w:val="lowerLetter"/>
      <w:lvlText w:val="%5."/>
      <w:lvlJc w:val="left"/>
      <w:pPr>
        <w:ind w:left="3807" w:hanging="360"/>
      </w:pPr>
    </w:lvl>
    <w:lvl w:ilvl="5" w:tplc="799269C4" w:tentative="1">
      <w:start w:val="1"/>
      <w:numFmt w:val="lowerRoman"/>
      <w:lvlText w:val="%6."/>
      <w:lvlJc w:val="right"/>
      <w:pPr>
        <w:ind w:left="4527" w:hanging="180"/>
      </w:pPr>
    </w:lvl>
    <w:lvl w:ilvl="6" w:tplc="E3548F56" w:tentative="1">
      <w:start w:val="1"/>
      <w:numFmt w:val="decimal"/>
      <w:lvlText w:val="%7."/>
      <w:lvlJc w:val="left"/>
      <w:pPr>
        <w:ind w:left="5247" w:hanging="360"/>
      </w:pPr>
    </w:lvl>
    <w:lvl w:ilvl="7" w:tplc="7C321694" w:tentative="1">
      <w:start w:val="1"/>
      <w:numFmt w:val="lowerLetter"/>
      <w:lvlText w:val="%8."/>
      <w:lvlJc w:val="left"/>
      <w:pPr>
        <w:ind w:left="5967" w:hanging="360"/>
      </w:pPr>
    </w:lvl>
    <w:lvl w:ilvl="8" w:tplc="69402DD8" w:tentative="1">
      <w:start w:val="1"/>
      <w:numFmt w:val="lowerRoman"/>
      <w:lvlText w:val="%9."/>
      <w:lvlJc w:val="right"/>
      <w:pPr>
        <w:ind w:left="6687" w:hanging="180"/>
      </w:pPr>
    </w:lvl>
  </w:abstractNum>
  <w:abstractNum w:abstractNumId="69">
    <w:nsid w:val="5EDA250F"/>
    <w:multiLevelType w:val="hybridMultilevel"/>
    <w:tmpl w:val="F50A36E0"/>
    <w:lvl w:ilvl="0" w:tplc="37A2AB50">
      <w:start w:val="1"/>
      <w:numFmt w:val="bullet"/>
      <w:lvlText w:val=""/>
      <w:lvlJc w:val="left"/>
      <w:pPr>
        <w:ind w:left="720" w:hanging="360"/>
      </w:pPr>
      <w:rPr>
        <w:rFonts w:ascii="Symbol" w:hAnsi="Symbol" w:hint="default"/>
      </w:rPr>
    </w:lvl>
    <w:lvl w:ilvl="1" w:tplc="A572A988" w:tentative="1">
      <w:start w:val="1"/>
      <w:numFmt w:val="bullet"/>
      <w:lvlText w:val="o"/>
      <w:lvlJc w:val="left"/>
      <w:pPr>
        <w:ind w:left="1440" w:hanging="360"/>
      </w:pPr>
      <w:rPr>
        <w:rFonts w:ascii="Courier New" w:hAnsi="Courier New" w:cs="Courier New" w:hint="default"/>
      </w:rPr>
    </w:lvl>
    <w:lvl w:ilvl="2" w:tplc="73723AB0" w:tentative="1">
      <w:start w:val="1"/>
      <w:numFmt w:val="bullet"/>
      <w:lvlText w:val=""/>
      <w:lvlJc w:val="left"/>
      <w:pPr>
        <w:ind w:left="2160" w:hanging="360"/>
      </w:pPr>
      <w:rPr>
        <w:rFonts w:ascii="Wingdings" w:hAnsi="Wingdings" w:hint="default"/>
      </w:rPr>
    </w:lvl>
    <w:lvl w:ilvl="3" w:tplc="C7361C90" w:tentative="1">
      <w:start w:val="1"/>
      <w:numFmt w:val="bullet"/>
      <w:lvlText w:val=""/>
      <w:lvlJc w:val="left"/>
      <w:pPr>
        <w:ind w:left="2880" w:hanging="360"/>
      </w:pPr>
      <w:rPr>
        <w:rFonts w:ascii="Symbol" w:hAnsi="Symbol" w:hint="default"/>
      </w:rPr>
    </w:lvl>
    <w:lvl w:ilvl="4" w:tplc="3D6CC75E" w:tentative="1">
      <w:start w:val="1"/>
      <w:numFmt w:val="bullet"/>
      <w:lvlText w:val="o"/>
      <w:lvlJc w:val="left"/>
      <w:pPr>
        <w:ind w:left="3600" w:hanging="360"/>
      </w:pPr>
      <w:rPr>
        <w:rFonts w:ascii="Courier New" w:hAnsi="Courier New" w:cs="Courier New" w:hint="default"/>
      </w:rPr>
    </w:lvl>
    <w:lvl w:ilvl="5" w:tplc="0AF831AC" w:tentative="1">
      <w:start w:val="1"/>
      <w:numFmt w:val="bullet"/>
      <w:lvlText w:val=""/>
      <w:lvlJc w:val="left"/>
      <w:pPr>
        <w:ind w:left="4320" w:hanging="360"/>
      </w:pPr>
      <w:rPr>
        <w:rFonts w:ascii="Wingdings" w:hAnsi="Wingdings" w:hint="default"/>
      </w:rPr>
    </w:lvl>
    <w:lvl w:ilvl="6" w:tplc="F7C6290E" w:tentative="1">
      <w:start w:val="1"/>
      <w:numFmt w:val="bullet"/>
      <w:lvlText w:val=""/>
      <w:lvlJc w:val="left"/>
      <w:pPr>
        <w:ind w:left="5040" w:hanging="360"/>
      </w:pPr>
      <w:rPr>
        <w:rFonts w:ascii="Symbol" w:hAnsi="Symbol" w:hint="default"/>
      </w:rPr>
    </w:lvl>
    <w:lvl w:ilvl="7" w:tplc="64688A70" w:tentative="1">
      <w:start w:val="1"/>
      <w:numFmt w:val="bullet"/>
      <w:lvlText w:val="o"/>
      <w:lvlJc w:val="left"/>
      <w:pPr>
        <w:ind w:left="5760" w:hanging="360"/>
      </w:pPr>
      <w:rPr>
        <w:rFonts w:ascii="Courier New" w:hAnsi="Courier New" w:cs="Courier New" w:hint="default"/>
      </w:rPr>
    </w:lvl>
    <w:lvl w:ilvl="8" w:tplc="8A183EFA" w:tentative="1">
      <w:start w:val="1"/>
      <w:numFmt w:val="bullet"/>
      <w:lvlText w:val=""/>
      <w:lvlJc w:val="left"/>
      <w:pPr>
        <w:ind w:left="6480" w:hanging="360"/>
      </w:pPr>
      <w:rPr>
        <w:rFonts w:ascii="Wingdings" w:hAnsi="Wingdings" w:hint="default"/>
      </w:rPr>
    </w:lvl>
  </w:abstractNum>
  <w:abstractNum w:abstractNumId="70">
    <w:nsid w:val="5EF77C59"/>
    <w:multiLevelType w:val="hybridMultilevel"/>
    <w:tmpl w:val="3E525CA0"/>
    <w:lvl w:ilvl="0" w:tplc="F50C5944">
      <w:start w:val="1"/>
      <w:numFmt w:val="lowerRoman"/>
      <w:lvlText w:val="%1)"/>
      <w:lvlJc w:val="left"/>
      <w:pPr>
        <w:ind w:left="360" w:hanging="360"/>
      </w:pPr>
      <w:rPr>
        <w:rFonts w:ascii="Arial" w:eastAsiaTheme="minorHAnsi" w:hAnsi="Arial" w:cs="Arial"/>
      </w:rPr>
    </w:lvl>
    <w:lvl w:ilvl="1" w:tplc="F948E832" w:tentative="1">
      <w:start w:val="1"/>
      <w:numFmt w:val="bullet"/>
      <w:lvlText w:val="o"/>
      <w:lvlJc w:val="left"/>
      <w:pPr>
        <w:ind w:left="1080" w:hanging="360"/>
      </w:pPr>
      <w:rPr>
        <w:rFonts w:ascii="Courier New" w:hAnsi="Courier New" w:cs="Courier New" w:hint="default"/>
      </w:rPr>
    </w:lvl>
    <w:lvl w:ilvl="2" w:tplc="5608C3CE" w:tentative="1">
      <w:start w:val="1"/>
      <w:numFmt w:val="bullet"/>
      <w:lvlText w:val=""/>
      <w:lvlJc w:val="left"/>
      <w:pPr>
        <w:ind w:left="1800" w:hanging="360"/>
      </w:pPr>
      <w:rPr>
        <w:rFonts w:ascii="Wingdings" w:hAnsi="Wingdings" w:hint="default"/>
      </w:rPr>
    </w:lvl>
    <w:lvl w:ilvl="3" w:tplc="3AE27824" w:tentative="1">
      <w:start w:val="1"/>
      <w:numFmt w:val="bullet"/>
      <w:lvlText w:val=""/>
      <w:lvlJc w:val="left"/>
      <w:pPr>
        <w:ind w:left="2520" w:hanging="360"/>
      </w:pPr>
      <w:rPr>
        <w:rFonts w:ascii="Symbol" w:hAnsi="Symbol" w:hint="default"/>
      </w:rPr>
    </w:lvl>
    <w:lvl w:ilvl="4" w:tplc="A35444E8" w:tentative="1">
      <w:start w:val="1"/>
      <w:numFmt w:val="bullet"/>
      <w:lvlText w:val="o"/>
      <w:lvlJc w:val="left"/>
      <w:pPr>
        <w:ind w:left="3240" w:hanging="360"/>
      </w:pPr>
      <w:rPr>
        <w:rFonts w:ascii="Courier New" w:hAnsi="Courier New" w:cs="Courier New" w:hint="default"/>
      </w:rPr>
    </w:lvl>
    <w:lvl w:ilvl="5" w:tplc="034248E8" w:tentative="1">
      <w:start w:val="1"/>
      <w:numFmt w:val="bullet"/>
      <w:lvlText w:val=""/>
      <w:lvlJc w:val="left"/>
      <w:pPr>
        <w:ind w:left="3960" w:hanging="360"/>
      </w:pPr>
      <w:rPr>
        <w:rFonts w:ascii="Wingdings" w:hAnsi="Wingdings" w:hint="default"/>
      </w:rPr>
    </w:lvl>
    <w:lvl w:ilvl="6" w:tplc="8168DDC6" w:tentative="1">
      <w:start w:val="1"/>
      <w:numFmt w:val="bullet"/>
      <w:lvlText w:val=""/>
      <w:lvlJc w:val="left"/>
      <w:pPr>
        <w:ind w:left="4680" w:hanging="360"/>
      </w:pPr>
      <w:rPr>
        <w:rFonts w:ascii="Symbol" w:hAnsi="Symbol" w:hint="default"/>
      </w:rPr>
    </w:lvl>
    <w:lvl w:ilvl="7" w:tplc="8FAC3668" w:tentative="1">
      <w:start w:val="1"/>
      <w:numFmt w:val="bullet"/>
      <w:lvlText w:val="o"/>
      <w:lvlJc w:val="left"/>
      <w:pPr>
        <w:ind w:left="5400" w:hanging="360"/>
      </w:pPr>
      <w:rPr>
        <w:rFonts w:ascii="Courier New" w:hAnsi="Courier New" w:cs="Courier New" w:hint="default"/>
      </w:rPr>
    </w:lvl>
    <w:lvl w:ilvl="8" w:tplc="C00877D0" w:tentative="1">
      <w:start w:val="1"/>
      <w:numFmt w:val="bullet"/>
      <w:lvlText w:val=""/>
      <w:lvlJc w:val="left"/>
      <w:pPr>
        <w:ind w:left="6120" w:hanging="360"/>
      </w:pPr>
      <w:rPr>
        <w:rFonts w:ascii="Wingdings" w:hAnsi="Wingdings" w:hint="default"/>
      </w:rPr>
    </w:lvl>
  </w:abstractNum>
  <w:abstractNum w:abstractNumId="71">
    <w:nsid w:val="5EFA5F3F"/>
    <w:multiLevelType w:val="hybridMultilevel"/>
    <w:tmpl w:val="9B906654"/>
    <w:lvl w:ilvl="0" w:tplc="A4B64800">
      <w:start w:val="1"/>
      <w:numFmt w:val="bullet"/>
      <w:lvlText w:val=""/>
      <w:lvlJc w:val="left"/>
      <w:pPr>
        <w:tabs>
          <w:tab w:val="num" w:pos="720"/>
        </w:tabs>
        <w:ind w:left="720" w:hanging="360"/>
      </w:pPr>
      <w:rPr>
        <w:rFonts w:ascii="Symbol" w:hAnsi="Symbol" w:hint="default"/>
      </w:rPr>
    </w:lvl>
    <w:lvl w:ilvl="1" w:tplc="7E52B1C8" w:tentative="1">
      <w:start w:val="1"/>
      <w:numFmt w:val="bullet"/>
      <w:lvlText w:val="o"/>
      <w:lvlJc w:val="left"/>
      <w:pPr>
        <w:tabs>
          <w:tab w:val="num" w:pos="1440"/>
        </w:tabs>
        <w:ind w:left="1440" w:hanging="360"/>
      </w:pPr>
      <w:rPr>
        <w:rFonts w:ascii="Courier New" w:hAnsi="Courier New" w:cs="Tahoma" w:hint="default"/>
      </w:rPr>
    </w:lvl>
    <w:lvl w:ilvl="2" w:tplc="E98AD7B4" w:tentative="1">
      <w:start w:val="1"/>
      <w:numFmt w:val="bullet"/>
      <w:lvlText w:val=""/>
      <w:lvlJc w:val="left"/>
      <w:pPr>
        <w:tabs>
          <w:tab w:val="num" w:pos="2160"/>
        </w:tabs>
        <w:ind w:left="2160" w:hanging="360"/>
      </w:pPr>
      <w:rPr>
        <w:rFonts w:ascii="Wingdings" w:hAnsi="Wingdings" w:hint="default"/>
      </w:rPr>
    </w:lvl>
    <w:lvl w:ilvl="3" w:tplc="A3964E22" w:tentative="1">
      <w:start w:val="1"/>
      <w:numFmt w:val="bullet"/>
      <w:lvlText w:val=""/>
      <w:lvlJc w:val="left"/>
      <w:pPr>
        <w:tabs>
          <w:tab w:val="num" w:pos="2880"/>
        </w:tabs>
        <w:ind w:left="2880" w:hanging="360"/>
      </w:pPr>
      <w:rPr>
        <w:rFonts w:ascii="Symbol" w:hAnsi="Symbol" w:hint="default"/>
      </w:rPr>
    </w:lvl>
    <w:lvl w:ilvl="4" w:tplc="E24409A6" w:tentative="1">
      <w:start w:val="1"/>
      <w:numFmt w:val="bullet"/>
      <w:lvlText w:val="o"/>
      <w:lvlJc w:val="left"/>
      <w:pPr>
        <w:tabs>
          <w:tab w:val="num" w:pos="3600"/>
        </w:tabs>
        <w:ind w:left="3600" w:hanging="360"/>
      </w:pPr>
      <w:rPr>
        <w:rFonts w:ascii="Courier New" w:hAnsi="Courier New" w:cs="Tahoma" w:hint="default"/>
      </w:rPr>
    </w:lvl>
    <w:lvl w:ilvl="5" w:tplc="75129022" w:tentative="1">
      <w:start w:val="1"/>
      <w:numFmt w:val="bullet"/>
      <w:lvlText w:val=""/>
      <w:lvlJc w:val="left"/>
      <w:pPr>
        <w:tabs>
          <w:tab w:val="num" w:pos="4320"/>
        </w:tabs>
        <w:ind w:left="4320" w:hanging="360"/>
      </w:pPr>
      <w:rPr>
        <w:rFonts w:ascii="Wingdings" w:hAnsi="Wingdings" w:hint="default"/>
      </w:rPr>
    </w:lvl>
    <w:lvl w:ilvl="6" w:tplc="063202E2" w:tentative="1">
      <w:start w:val="1"/>
      <w:numFmt w:val="bullet"/>
      <w:lvlText w:val=""/>
      <w:lvlJc w:val="left"/>
      <w:pPr>
        <w:tabs>
          <w:tab w:val="num" w:pos="5040"/>
        </w:tabs>
        <w:ind w:left="5040" w:hanging="360"/>
      </w:pPr>
      <w:rPr>
        <w:rFonts w:ascii="Symbol" w:hAnsi="Symbol" w:hint="default"/>
      </w:rPr>
    </w:lvl>
    <w:lvl w:ilvl="7" w:tplc="FF168D40" w:tentative="1">
      <w:start w:val="1"/>
      <w:numFmt w:val="bullet"/>
      <w:lvlText w:val="o"/>
      <w:lvlJc w:val="left"/>
      <w:pPr>
        <w:tabs>
          <w:tab w:val="num" w:pos="5760"/>
        </w:tabs>
        <w:ind w:left="5760" w:hanging="360"/>
      </w:pPr>
      <w:rPr>
        <w:rFonts w:ascii="Courier New" w:hAnsi="Courier New" w:cs="Tahoma" w:hint="default"/>
      </w:rPr>
    </w:lvl>
    <w:lvl w:ilvl="8" w:tplc="4442E342" w:tentative="1">
      <w:start w:val="1"/>
      <w:numFmt w:val="bullet"/>
      <w:lvlText w:val=""/>
      <w:lvlJc w:val="left"/>
      <w:pPr>
        <w:tabs>
          <w:tab w:val="num" w:pos="6480"/>
        </w:tabs>
        <w:ind w:left="6480" w:hanging="360"/>
      </w:pPr>
      <w:rPr>
        <w:rFonts w:ascii="Wingdings" w:hAnsi="Wingdings" w:hint="default"/>
      </w:rPr>
    </w:lvl>
  </w:abstractNum>
  <w:abstractNum w:abstractNumId="72">
    <w:nsid w:val="60A56718"/>
    <w:multiLevelType w:val="hybridMultilevel"/>
    <w:tmpl w:val="86D896CA"/>
    <w:lvl w:ilvl="0" w:tplc="03505328">
      <w:start w:val="1"/>
      <w:numFmt w:val="bullet"/>
      <w:lvlText w:val=""/>
      <w:lvlJc w:val="left"/>
      <w:pPr>
        <w:ind w:left="360" w:hanging="360"/>
      </w:pPr>
      <w:rPr>
        <w:rFonts w:ascii="Symbol" w:hAnsi="Symbol" w:hint="default"/>
      </w:rPr>
    </w:lvl>
    <w:lvl w:ilvl="1" w:tplc="9E165AF6" w:tentative="1">
      <w:start w:val="1"/>
      <w:numFmt w:val="bullet"/>
      <w:lvlText w:val="o"/>
      <w:lvlJc w:val="left"/>
      <w:pPr>
        <w:ind w:left="1080" w:hanging="360"/>
      </w:pPr>
      <w:rPr>
        <w:rFonts w:ascii="Courier New" w:hAnsi="Courier New" w:cs="Courier New" w:hint="default"/>
      </w:rPr>
    </w:lvl>
    <w:lvl w:ilvl="2" w:tplc="E2D0FE8C" w:tentative="1">
      <w:start w:val="1"/>
      <w:numFmt w:val="bullet"/>
      <w:lvlText w:val=""/>
      <w:lvlJc w:val="left"/>
      <w:pPr>
        <w:ind w:left="1800" w:hanging="360"/>
      </w:pPr>
      <w:rPr>
        <w:rFonts w:ascii="Wingdings" w:hAnsi="Wingdings" w:hint="default"/>
      </w:rPr>
    </w:lvl>
    <w:lvl w:ilvl="3" w:tplc="F9C45C78" w:tentative="1">
      <w:start w:val="1"/>
      <w:numFmt w:val="bullet"/>
      <w:lvlText w:val=""/>
      <w:lvlJc w:val="left"/>
      <w:pPr>
        <w:ind w:left="2520" w:hanging="360"/>
      </w:pPr>
      <w:rPr>
        <w:rFonts w:ascii="Symbol" w:hAnsi="Symbol" w:hint="default"/>
      </w:rPr>
    </w:lvl>
    <w:lvl w:ilvl="4" w:tplc="E4AA081C" w:tentative="1">
      <w:start w:val="1"/>
      <w:numFmt w:val="bullet"/>
      <w:lvlText w:val="o"/>
      <w:lvlJc w:val="left"/>
      <w:pPr>
        <w:ind w:left="3240" w:hanging="360"/>
      </w:pPr>
      <w:rPr>
        <w:rFonts w:ascii="Courier New" w:hAnsi="Courier New" w:cs="Courier New" w:hint="default"/>
      </w:rPr>
    </w:lvl>
    <w:lvl w:ilvl="5" w:tplc="5F56D5E6" w:tentative="1">
      <w:start w:val="1"/>
      <w:numFmt w:val="bullet"/>
      <w:lvlText w:val=""/>
      <w:lvlJc w:val="left"/>
      <w:pPr>
        <w:ind w:left="3960" w:hanging="360"/>
      </w:pPr>
      <w:rPr>
        <w:rFonts w:ascii="Wingdings" w:hAnsi="Wingdings" w:hint="default"/>
      </w:rPr>
    </w:lvl>
    <w:lvl w:ilvl="6" w:tplc="4FCCAA62" w:tentative="1">
      <w:start w:val="1"/>
      <w:numFmt w:val="bullet"/>
      <w:lvlText w:val=""/>
      <w:lvlJc w:val="left"/>
      <w:pPr>
        <w:ind w:left="4680" w:hanging="360"/>
      </w:pPr>
      <w:rPr>
        <w:rFonts w:ascii="Symbol" w:hAnsi="Symbol" w:hint="default"/>
      </w:rPr>
    </w:lvl>
    <w:lvl w:ilvl="7" w:tplc="03FE81F8" w:tentative="1">
      <w:start w:val="1"/>
      <w:numFmt w:val="bullet"/>
      <w:lvlText w:val="o"/>
      <w:lvlJc w:val="left"/>
      <w:pPr>
        <w:ind w:left="5400" w:hanging="360"/>
      </w:pPr>
      <w:rPr>
        <w:rFonts w:ascii="Courier New" w:hAnsi="Courier New" w:cs="Courier New" w:hint="default"/>
      </w:rPr>
    </w:lvl>
    <w:lvl w:ilvl="8" w:tplc="755836AC" w:tentative="1">
      <w:start w:val="1"/>
      <w:numFmt w:val="bullet"/>
      <w:lvlText w:val=""/>
      <w:lvlJc w:val="left"/>
      <w:pPr>
        <w:ind w:left="6120" w:hanging="360"/>
      </w:pPr>
      <w:rPr>
        <w:rFonts w:ascii="Wingdings" w:hAnsi="Wingdings" w:hint="default"/>
      </w:rPr>
    </w:lvl>
  </w:abstractNum>
  <w:abstractNum w:abstractNumId="73">
    <w:nsid w:val="60E62517"/>
    <w:multiLevelType w:val="hybridMultilevel"/>
    <w:tmpl w:val="13145D74"/>
    <w:lvl w:ilvl="0" w:tplc="B6A09C94">
      <w:start w:val="1"/>
      <w:numFmt w:val="bullet"/>
      <w:lvlText w:val=""/>
      <w:lvlJc w:val="left"/>
      <w:pPr>
        <w:ind w:left="360" w:hanging="360"/>
      </w:pPr>
      <w:rPr>
        <w:rFonts w:ascii="Symbol" w:hAnsi="Symbol" w:hint="default"/>
      </w:rPr>
    </w:lvl>
    <w:lvl w:ilvl="1" w:tplc="6A28EC4E" w:tentative="1">
      <w:start w:val="1"/>
      <w:numFmt w:val="bullet"/>
      <w:lvlText w:val="o"/>
      <w:lvlJc w:val="left"/>
      <w:pPr>
        <w:ind w:left="1080" w:hanging="360"/>
      </w:pPr>
      <w:rPr>
        <w:rFonts w:ascii="Courier New" w:hAnsi="Courier New" w:cs="Courier New" w:hint="default"/>
      </w:rPr>
    </w:lvl>
    <w:lvl w:ilvl="2" w:tplc="084816FA" w:tentative="1">
      <w:start w:val="1"/>
      <w:numFmt w:val="bullet"/>
      <w:lvlText w:val=""/>
      <w:lvlJc w:val="left"/>
      <w:pPr>
        <w:ind w:left="1800" w:hanging="360"/>
      </w:pPr>
      <w:rPr>
        <w:rFonts w:ascii="Wingdings" w:hAnsi="Wingdings" w:hint="default"/>
      </w:rPr>
    </w:lvl>
    <w:lvl w:ilvl="3" w:tplc="D04C689E" w:tentative="1">
      <w:start w:val="1"/>
      <w:numFmt w:val="bullet"/>
      <w:lvlText w:val=""/>
      <w:lvlJc w:val="left"/>
      <w:pPr>
        <w:ind w:left="2520" w:hanging="360"/>
      </w:pPr>
      <w:rPr>
        <w:rFonts w:ascii="Symbol" w:hAnsi="Symbol" w:hint="default"/>
      </w:rPr>
    </w:lvl>
    <w:lvl w:ilvl="4" w:tplc="0494E2F6" w:tentative="1">
      <w:start w:val="1"/>
      <w:numFmt w:val="bullet"/>
      <w:lvlText w:val="o"/>
      <w:lvlJc w:val="left"/>
      <w:pPr>
        <w:ind w:left="3240" w:hanging="360"/>
      </w:pPr>
      <w:rPr>
        <w:rFonts w:ascii="Courier New" w:hAnsi="Courier New" w:cs="Courier New" w:hint="default"/>
      </w:rPr>
    </w:lvl>
    <w:lvl w:ilvl="5" w:tplc="9BE8A698" w:tentative="1">
      <w:start w:val="1"/>
      <w:numFmt w:val="bullet"/>
      <w:lvlText w:val=""/>
      <w:lvlJc w:val="left"/>
      <w:pPr>
        <w:ind w:left="3960" w:hanging="360"/>
      </w:pPr>
      <w:rPr>
        <w:rFonts w:ascii="Wingdings" w:hAnsi="Wingdings" w:hint="default"/>
      </w:rPr>
    </w:lvl>
    <w:lvl w:ilvl="6" w:tplc="C30C51DA" w:tentative="1">
      <w:start w:val="1"/>
      <w:numFmt w:val="bullet"/>
      <w:lvlText w:val=""/>
      <w:lvlJc w:val="left"/>
      <w:pPr>
        <w:ind w:left="4680" w:hanging="360"/>
      </w:pPr>
      <w:rPr>
        <w:rFonts w:ascii="Symbol" w:hAnsi="Symbol" w:hint="default"/>
      </w:rPr>
    </w:lvl>
    <w:lvl w:ilvl="7" w:tplc="A69E9452" w:tentative="1">
      <w:start w:val="1"/>
      <w:numFmt w:val="bullet"/>
      <w:lvlText w:val="o"/>
      <w:lvlJc w:val="left"/>
      <w:pPr>
        <w:ind w:left="5400" w:hanging="360"/>
      </w:pPr>
      <w:rPr>
        <w:rFonts w:ascii="Courier New" w:hAnsi="Courier New" w:cs="Courier New" w:hint="default"/>
      </w:rPr>
    </w:lvl>
    <w:lvl w:ilvl="8" w:tplc="87FE9B7C" w:tentative="1">
      <w:start w:val="1"/>
      <w:numFmt w:val="bullet"/>
      <w:lvlText w:val=""/>
      <w:lvlJc w:val="left"/>
      <w:pPr>
        <w:ind w:left="6120" w:hanging="360"/>
      </w:pPr>
      <w:rPr>
        <w:rFonts w:ascii="Wingdings" w:hAnsi="Wingdings" w:hint="default"/>
      </w:rPr>
    </w:lvl>
  </w:abstractNum>
  <w:abstractNum w:abstractNumId="74">
    <w:nsid w:val="617C21EC"/>
    <w:multiLevelType w:val="hybridMultilevel"/>
    <w:tmpl w:val="3F60CFD0"/>
    <w:lvl w:ilvl="0" w:tplc="25187EDE">
      <w:start w:val="1"/>
      <w:numFmt w:val="bullet"/>
      <w:lvlText w:val=""/>
      <w:lvlJc w:val="left"/>
      <w:pPr>
        <w:ind w:left="720" w:hanging="360"/>
      </w:pPr>
      <w:rPr>
        <w:rFonts w:ascii="Symbol" w:hAnsi="Symbol" w:hint="default"/>
      </w:rPr>
    </w:lvl>
    <w:lvl w:ilvl="1" w:tplc="7B944CF6" w:tentative="1">
      <w:start w:val="1"/>
      <w:numFmt w:val="bullet"/>
      <w:lvlText w:val="o"/>
      <w:lvlJc w:val="left"/>
      <w:pPr>
        <w:ind w:left="1440" w:hanging="360"/>
      </w:pPr>
      <w:rPr>
        <w:rFonts w:ascii="Courier New" w:hAnsi="Courier New" w:cs="Courier New" w:hint="default"/>
      </w:rPr>
    </w:lvl>
    <w:lvl w:ilvl="2" w:tplc="D0EED8CE" w:tentative="1">
      <w:start w:val="1"/>
      <w:numFmt w:val="bullet"/>
      <w:lvlText w:val=""/>
      <w:lvlJc w:val="left"/>
      <w:pPr>
        <w:ind w:left="2160" w:hanging="360"/>
      </w:pPr>
      <w:rPr>
        <w:rFonts w:ascii="Wingdings" w:hAnsi="Wingdings" w:hint="default"/>
      </w:rPr>
    </w:lvl>
    <w:lvl w:ilvl="3" w:tplc="FC8A01BE" w:tentative="1">
      <w:start w:val="1"/>
      <w:numFmt w:val="bullet"/>
      <w:lvlText w:val=""/>
      <w:lvlJc w:val="left"/>
      <w:pPr>
        <w:ind w:left="2880" w:hanging="360"/>
      </w:pPr>
      <w:rPr>
        <w:rFonts w:ascii="Symbol" w:hAnsi="Symbol" w:hint="default"/>
      </w:rPr>
    </w:lvl>
    <w:lvl w:ilvl="4" w:tplc="4EFA4B88" w:tentative="1">
      <w:start w:val="1"/>
      <w:numFmt w:val="bullet"/>
      <w:lvlText w:val="o"/>
      <w:lvlJc w:val="left"/>
      <w:pPr>
        <w:ind w:left="3600" w:hanging="360"/>
      </w:pPr>
      <w:rPr>
        <w:rFonts w:ascii="Courier New" w:hAnsi="Courier New" w:cs="Courier New" w:hint="default"/>
      </w:rPr>
    </w:lvl>
    <w:lvl w:ilvl="5" w:tplc="076ADF9A" w:tentative="1">
      <w:start w:val="1"/>
      <w:numFmt w:val="bullet"/>
      <w:lvlText w:val=""/>
      <w:lvlJc w:val="left"/>
      <w:pPr>
        <w:ind w:left="4320" w:hanging="360"/>
      </w:pPr>
      <w:rPr>
        <w:rFonts w:ascii="Wingdings" w:hAnsi="Wingdings" w:hint="default"/>
      </w:rPr>
    </w:lvl>
    <w:lvl w:ilvl="6" w:tplc="C76880BA" w:tentative="1">
      <w:start w:val="1"/>
      <w:numFmt w:val="bullet"/>
      <w:lvlText w:val=""/>
      <w:lvlJc w:val="left"/>
      <w:pPr>
        <w:ind w:left="5040" w:hanging="360"/>
      </w:pPr>
      <w:rPr>
        <w:rFonts w:ascii="Symbol" w:hAnsi="Symbol" w:hint="default"/>
      </w:rPr>
    </w:lvl>
    <w:lvl w:ilvl="7" w:tplc="E2CE95F8" w:tentative="1">
      <w:start w:val="1"/>
      <w:numFmt w:val="bullet"/>
      <w:lvlText w:val="o"/>
      <w:lvlJc w:val="left"/>
      <w:pPr>
        <w:ind w:left="5760" w:hanging="360"/>
      </w:pPr>
      <w:rPr>
        <w:rFonts w:ascii="Courier New" w:hAnsi="Courier New" w:cs="Courier New" w:hint="default"/>
      </w:rPr>
    </w:lvl>
    <w:lvl w:ilvl="8" w:tplc="EDFEE4D0" w:tentative="1">
      <w:start w:val="1"/>
      <w:numFmt w:val="bullet"/>
      <w:lvlText w:val=""/>
      <w:lvlJc w:val="left"/>
      <w:pPr>
        <w:ind w:left="6480" w:hanging="360"/>
      </w:pPr>
      <w:rPr>
        <w:rFonts w:ascii="Wingdings" w:hAnsi="Wingdings" w:hint="default"/>
      </w:rPr>
    </w:lvl>
  </w:abstractNum>
  <w:abstractNum w:abstractNumId="75">
    <w:nsid w:val="623029D2"/>
    <w:multiLevelType w:val="hybridMultilevel"/>
    <w:tmpl w:val="8F0AE39E"/>
    <w:lvl w:ilvl="0" w:tplc="C65EBEC6">
      <w:start w:val="1"/>
      <w:numFmt w:val="decimal"/>
      <w:pStyle w:val="ONUMFS"/>
      <w:lvlText w:val="03.%1."/>
      <w:lvlJc w:val="left"/>
      <w:pPr>
        <w:tabs>
          <w:tab w:val="num" w:pos="567"/>
        </w:tabs>
        <w:ind w:left="0" w:firstLine="0"/>
      </w:pPr>
      <w:rPr>
        <w:rFonts w:hint="default"/>
        <w:sz w:val="20"/>
      </w:rPr>
    </w:lvl>
    <w:lvl w:ilvl="1" w:tplc="650AC606" w:tentative="1">
      <w:start w:val="1"/>
      <w:numFmt w:val="lowerLetter"/>
      <w:lvlText w:val="%2."/>
      <w:lvlJc w:val="left"/>
      <w:pPr>
        <w:tabs>
          <w:tab w:val="num" w:pos="1440"/>
        </w:tabs>
        <w:ind w:left="1440" w:hanging="360"/>
      </w:pPr>
    </w:lvl>
    <w:lvl w:ilvl="2" w:tplc="52A2A868" w:tentative="1">
      <w:start w:val="1"/>
      <w:numFmt w:val="lowerRoman"/>
      <w:lvlText w:val="%3."/>
      <w:lvlJc w:val="right"/>
      <w:pPr>
        <w:tabs>
          <w:tab w:val="num" w:pos="2160"/>
        </w:tabs>
        <w:ind w:left="2160" w:hanging="180"/>
      </w:pPr>
    </w:lvl>
    <w:lvl w:ilvl="3" w:tplc="155026AA" w:tentative="1">
      <w:start w:val="1"/>
      <w:numFmt w:val="decimal"/>
      <w:lvlText w:val="%4."/>
      <w:lvlJc w:val="left"/>
      <w:pPr>
        <w:tabs>
          <w:tab w:val="num" w:pos="2880"/>
        </w:tabs>
        <w:ind w:left="2880" w:hanging="360"/>
      </w:pPr>
    </w:lvl>
    <w:lvl w:ilvl="4" w:tplc="8AFE9318" w:tentative="1">
      <w:start w:val="1"/>
      <w:numFmt w:val="lowerLetter"/>
      <w:lvlText w:val="%5."/>
      <w:lvlJc w:val="left"/>
      <w:pPr>
        <w:tabs>
          <w:tab w:val="num" w:pos="3600"/>
        </w:tabs>
        <w:ind w:left="3600" w:hanging="360"/>
      </w:pPr>
    </w:lvl>
    <w:lvl w:ilvl="5" w:tplc="660C7314" w:tentative="1">
      <w:start w:val="1"/>
      <w:numFmt w:val="lowerRoman"/>
      <w:lvlText w:val="%6."/>
      <w:lvlJc w:val="right"/>
      <w:pPr>
        <w:tabs>
          <w:tab w:val="num" w:pos="4320"/>
        </w:tabs>
        <w:ind w:left="4320" w:hanging="180"/>
      </w:pPr>
    </w:lvl>
    <w:lvl w:ilvl="6" w:tplc="4544C34A" w:tentative="1">
      <w:start w:val="1"/>
      <w:numFmt w:val="decimal"/>
      <w:lvlText w:val="%7."/>
      <w:lvlJc w:val="left"/>
      <w:pPr>
        <w:tabs>
          <w:tab w:val="num" w:pos="5040"/>
        </w:tabs>
        <w:ind w:left="5040" w:hanging="360"/>
      </w:pPr>
    </w:lvl>
    <w:lvl w:ilvl="7" w:tplc="992835D2" w:tentative="1">
      <w:start w:val="1"/>
      <w:numFmt w:val="lowerLetter"/>
      <w:lvlText w:val="%8."/>
      <w:lvlJc w:val="left"/>
      <w:pPr>
        <w:tabs>
          <w:tab w:val="num" w:pos="5760"/>
        </w:tabs>
        <w:ind w:left="5760" w:hanging="360"/>
      </w:pPr>
    </w:lvl>
    <w:lvl w:ilvl="8" w:tplc="086EAAAA" w:tentative="1">
      <w:start w:val="1"/>
      <w:numFmt w:val="lowerRoman"/>
      <w:lvlText w:val="%9."/>
      <w:lvlJc w:val="right"/>
      <w:pPr>
        <w:tabs>
          <w:tab w:val="num" w:pos="6480"/>
        </w:tabs>
        <w:ind w:left="6480" w:hanging="180"/>
      </w:pPr>
    </w:lvl>
  </w:abstractNum>
  <w:abstractNum w:abstractNumId="76">
    <w:nsid w:val="63EF18E4"/>
    <w:multiLevelType w:val="hybridMultilevel"/>
    <w:tmpl w:val="38F80890"/>
    <w:lvl w:ilvl="0" w:tplc="D6342444">
      <w:start w:val="1"/>
      <w:numFmt w:val="decimal"/>
      <w:lvlText w:val="25.%1."/>
      <w:lvlJc w:val="left"/>
      <w:pPr>
        <w:tabs>
          <w:tab w:val="num" w:pos="680"/>
        </w:tabs>
        <w:ind w:left="0" w:firstLine="0"/>
      </w:pPr>
      <w:rPr>
        <w:rFonts w:ascii="Arial" w:hAnsi="Arial" w:cs="Arial" w:hint="default"/>
        <w:sz w:val="20"/>
        <w:szCs w:val="20"/>
      </w:rPr>
    </w:lvl>
    <w:lvl w:ilvl="1" w:tplc="B296BCDC">
      <w:start w:val="1"/>
      <w:numFmt w:val="lowerLetter"/>
      <w:lvlText w:val="%2."/>
      <w:lvlJc w:val="left"/>
      <w:pPr>
        <w:tabs>
          <w:tab w:val="num" w:pos="1440"/>
        </w:tabs>
        <w:ind w:left="1440" w:hanging="360"/>
      </w:pPr>
    </w:lvl>
    <w:lvl w:ilvl="2" w:tplc="DD6CF5E2">
      <w:start w:val="1"/>
      <w:numFmt w:val="lowerRoman"/>
      <w:lvlText w:val="%3."/>
      <w:lvlJc w:val="right"/>
      <w:pPr>
        <w:tabs>
          <w:tab w:val="num" w:pos="2160"/>
        </w:tabs>
        <w:ind w:left="2160" w:hanging="180"/>
      </w:pPr>
    </w:lvl>
    <w:lvl w:ilvl="3" w:tplc="81BEF612">
      <w:start w:val="1"/>
      <w:numFmt w:val="decimal"/>
      <w:lvlText w:val="%4."/>
      <w:lvlJc w:val="left"/>
      <w:pPr>
        <w:tabs>
          <w:tab w:val="num" w:pos="2880"/>
        </w:tabs>
        <w:ind w:left="2880" w:hanging="360"/>
      </w:pPr>
    </w:lvl>
    <w:lvl w:ilvl="4" w:tplc="91946D46">
      <w:start w:val="1"/>
      <w:numFmt w:val="lowerLetter"/>
      <w:lvlText w:val="%5."/>
      <w:lvlJc w:val="left"/>
      <w:pPr>
        <w:tabs>
          <w:tab w:val="num" w:pos="3600"/>
        </w:tabs>
        <w:ind w:left="3600" w:hanging="360"/>
      </w:pPr>
    </w:lvl>
    <w:lvl w:ilvl="5" w:tplc="927E7F30">
      <w:start w:val="1"/>
      <w:numFmt w:val="lowerRoman"/>
      <w:lvlText w:val="%6."/>
      <w:lvlJc w:val="right"/>
      <w:pPr>
        <w:tabs>
          <w:tab w:val="num" w:pos="4320"/>
        </w:tabs>
        <w:ind w:left="4320" w:hanging="180"/>
      </w:pPr>
    </w:lvl>
    <w:lvl w:ilvl="6" w:tplc="DEF8738C">
      <w:start w:val="1"/>
      <w:numFmt w:val="decimal"/>
      <w:lvlText w:val="%7."/>
      <w:lvlJc w:val="left"/>
      <w:pPr>
        <w:tabs>
          <w:tab w:val="num" w:pos="5040"/>
        </w:tabs>
        <w:ind w:left="5040" w:hanging="360"/>
      </w:pPr>
    </w:lvl>
    <w:lvl w:ilvl="7" w:tplc="4092A1CE">
      <w:start w:val="1"/>
      <w:numFmt w:val="lowerLetter"/>
      <w:lvlText w:val="%8."/>
      <w:lvlJc w:val="left"/>
      <w:pPr>
        <w:tabs>
          <w:tab w:val="num" w:pos="5760"/>
        </w:tabs>
        <w:ind w:left="5760" w:hanging="360"/>
      </w:pPr>
    </w:lvl>
    <w:lvl w:ilvl="8" w:tplc="CDFAB000">
      <w:start w:val="1"/>
      <w:numFmt w:val="lowerRoman"/>
      <w:lvlText w:val="%9."/>
      <w:lvlJc w:val="right"/>
      <w:pPr>
        <w:tabs>
          <w:tab w:val="num" w:pos="6480"/>
        </w:tabs>
        <w:ind w:left="6480" w:hanging="180"/>
      </w:pPr>
    </w:lvl>
  </w:abstractNum>
  <w:abstractNum w:abstractNumId="77">
    <w:nsid w:val="67126758"/>
    <w:multiLevelType w:val="hybridMultilevel"/>
    <w:tmpl w:val="CF06A19C"/>
    <w:lvl w:ilvl="0" w:tplc="43627536">
      <w:start w:val="1"/>
      <w:numFmt w:val="bullet"/>
      <w:lvlText w:val=""/>
      <w:lvlJc w:val="left"/>
      <w:pPr>
        <w:ind w:left="360" w:hanging="360"/>
      </w:pPr>
      <w:rPr>
        <w:rFonts w:ascii="Symbol" w:hAnsi="Symbol" w:hint="default"/>
      </w:rPr>
    </w:lvl>
    <w:lvl w:ilvl="1" w:tplc="023E40BC" w:tentative="1">
      <w:start w:val="1"/>
      <w:numFmt w:val="bullet"/>
      <w:lvlText w:val="o"/>
      <w:lvlJc w:val="left"/>
      <w:pPr>
        <w:ind w:left="1080" w:hanging="360"/>
      </w:pPr>
      <w:rPr>
        <w:rFonts w:ascii="Courier New" w:hAnsi="Courier New" w:cs="Courier New" w:hint="default"/>
      </w:rPr>
    </w:lvl>
    <w:lvl w:ilvl="2" w:tplc="E84C6CB8" w:tentative="1">
      <w:start w:val="1"/>
      <w:numFmt w:val="bullet"/>
      <w:lvlText w:val=""/>
      <w:lvlJc w:val="left"/>
      <w:pPr>
        <w:ind w:left="1800" w:hanging="360"/>
      </w:pPr>
      <w:rPr>
        <w:rFonts w:ascii="Wingdings" w:hAnsi="Wingdings" w:hint="default"/>
      </w:rPr>
    </w:lvl>
    <w:lvl w:ilvl="3" w:tplc="5F22F8B4" w:tentative="1">
      <w:start w:val="1"/>
      <w:numFmt w:val="bullet"/>
      <w:lvlText w:val=""/>
      <w:lvlJc w:val="left"/>
      <w:pPr>
        <w:ind w:left="2520" w:hanging="360"/>
      </w:pPr>
      <w:rPr>
        <w:rFonts w:ascii="Symbol" w:hAnsi="Symbol" w:hint="default"/>
      </w:rPr>
    </w:lvl>
    <w:lvl w:ilvl="4" w:tplc="AE4884E4" w:tentative="1">
      <w:start w:val="1"/>
      <w:numFmt w:val="bullet"/>
      <w:lvlText w:val="o"/>
      <w:lvlJc w:val="left"/>
      <w:pPr>
        <w:ind w:left="3240" w:hanging="360"/>
      </w:pPr>
      <w:rPr>
        <w:rFonts w:ascii="Courier New" w:hAnsi="Courier New" w:cs="Courier New" w:hint="default"/>
      </w:rPr>
    </w:lvl>
    <w:lvl w:ilvl="5" w:tplc="AEFA3E8A" w:tentative="1">
      <w:start w:val="1"/>
      <w:numFmt w:val="bullet"/>
      <w:lvlText w:val=""/>
      <w:lvlJc w:val="left"/>
      <w:pPr>
        <w:ind w:left="3960" w:hanging="360"/>
      </w:pPr>
      <w:rPr>
        <w:rFonts w:ascii="Wingdings" w:hAnsi="Wingdings" w:hint="default"/>
      </w:rPr>
    </w:lvl>
    <w:lvl w:ilvl="6" w:tplc="BEFC6F98" w:tentative="1">
      <w:start w:val="1"/>
      <w:numFmt w:val="bullet"/>
      <w:lvlText w:val=""/>
      <w:lvlJc w:val="left"/>
      <w:pPr>
        <w:ind w:left="4680" w:hanging="360"/>
      </w:pPr>
      <w:rPr>
        <w:rFonts w:ascii="Symbol" w:hAnsi="Symbol" w:hint="default"/>
      </w:rPr>
    </w:lvl>
    <w:lvl w:ilvl="7" w:tplc="801068C6" w:tentative="1">
      <w:start w:val="1"/>
      <w:numFmt w:val="bullet"/>
      <w:lvlText w:val="o"/>
      <w:lvlJc w:val="left"/>
      <w:pPr>
        <w:ind w:left="5400" w:hanging="360"/>
      </w:pPr>
      <w:rPr>
        <w:rFonts w:ascii="Courier New" w:hAnsi="Courier New" w:cs="Courier New" w:hint="default"/>
      </w:rPr>
    </w:lvl>
    <w:lvl w:ilvl="8" w:tplc="06343E24" w:tentative="1">
      <w:start w:val="1"/>
      <w:numFmt w:val="bullet"/>
      <w:lvlText w:val=""/>
      <w:lvlJc w:val="left"/>
      <w:pPr>
        <w:ind w:left="6120" w:hanging="360"/>
      </w:pPr>
      <w:rPr>
        <w:rFonts w:ascii="Wingdings" w:hAnsi="Wingdings" w:hint="default"/>
      </w:rPr>
    </w:lvl>
  </w:abstractNum>
  <w:abstractNum w:abstractNumId="78">
    <w:nsid w:val="67364E5C"/>
    <w:multiLevelType w:val="hybridMultilevel"/>
    <w:tmpl w:val="D0C233B8"/>
    <w:lvl w:ilvl="0" w:tplc="5044B3CE">
      <w:start w:val="1"/>
      <w:numFmt w:val="lowerRoman"/>
      <w:lvlText w:val="%1)"/>
      <w:lvlJc w:val="left"/>
      <w:pPr>
        <w:ind w:left="1440" w:hanging="360"/>
      </w:pPr>
      <w:rPr>
        <w:rFonts w:hint="default"/>
      </w:rPr>
    </w:lvl>
    <w:lvl w:ilvl="1" w:tplc="59D47852" w:tentative="1">
      <w:start w:val="1"/>
      <w:numFmt w:val="bullet"/>
      <w:lvlText w:val="o"/>
      <w:lvlJc w:val="left"/>
      <w:pPr>
        <w:ind w:left="2160" w:hanging="360"/>
      </w:pPr>
      <w:rPr>
        <w:rFonts w:ascii="Courier New" w:hAnsi="Courier New" w:cs="Courier New" w:hint="default"/>
      </w:rPr>
    </w:lvl>
    <w:lvl w:ilvl="2" w:tplc="81423BCA" w:tentative="1">
      <w:start w:val="1"/>
      <w:numFmt w:val="bullet"/>
      <w:lvlText w:val=""/>
      <w:lvlJc w:val="left"/>
      <w:pPr>
        <w:ind w:left="2880" w:hanging="360"/>
      </w:pPr>
      <w:rPr>
        <w:rFonts w:ascii="Wingdings" w:hAnsi="Wingdings" w:hint="default"/>
      </w:rPr>
    </w:lvl>
    <w:lvl w:ilvl="3" w:tplc="02E8CC22" w:tentative="1">
      <w:start w:val="1"/>
      <w:numFmt w:val="bullet"/>
      <w:lvlText w:val=""/>
      <w:lvlJc w:val="left"/>
      <w:pPr>
        <w:ind w:left="3600" w:hanging="360"/>
      </w:pPr>
      <w:rPr>
        <w:rFonts w:ascii="Symbol" w:hAnsi="Symbol" w:hint="default"/>
      </w:rPr>
    </w:lvl>
    <w:lvl w:ilvl="4" w:tplc="C02830CA" w:tentative="1">
      <w:start w:val="1"/>
      <w:numFmt w:val="bullet"/>
      <w:lvlText w:val="o"/>
      <w:lvlJc w:val="left"/>
      <w:pPr>
        <w:ind w:left="4320" w:hanging="360"/>
      </w:pPr>
      <w:rPr>
        <w:rFonts w:ascii="Courier New" w:hAnsi="Courier New" w:cs="Courier New" w:hint="default"/>
      </w:rPr>
    </w:lvl>
    <w:lvl w:ilvl="5" w:tplc="0914A344" w:tentative="1">
      <w:start w:val="1"/>
      <w:numFmt w:val="bullet"/>
      <w:lvlText w:val=""/>
      <w:lvlJc w:val="left"/>
      <w:pPr>
        <w:ind w:left="5040" w:hanging="360"/>
      </w:pPr>
      <w:rPr>
        <w:rFonts w:ascii="Wingdings" w:hAnsi="Wingdings" w:hint="default"/>
      </w:rPr>
    </w:lvl>
    <w:lvl w:ilvl="6" w:tplc="EA520C72" w:tentative="1">
      <w:start w:val="1"/>
      <w:numFmt w:val="bullet"/>
      <w:lvlText w:val=""/>
      <w:lvlJc w:val="left"/>
      <w:pPr>
        <w:ind w:left="5760" w:hanging="360"/>
      </w:pPr>
      <w:rPr>
        <w:rFonts w:ascii="Symbol" w:hAnsi="Symbol" w:hint="default"/>
      </w:rPr>
    </w:lvl>
    <w:lvl w:ilvl="7" w:tplc="B89CB7C6" w:tentative="1">
      <w:start w:val="1"/>
      <w:numFmt w:val="bullet"/>
      <w:lvlText w:val="o"/>
      <w:lvlJc w:val="left"/>
      <w:pPr>
        <w:ind w:left="6480" w:hanging="360"/>
      </w:pPr>
      <w:rPr>
        <w:rFonts w:ascii="Courier New" w:hAnsi="Courier New" w:cs="Courier New" w:hint="default"/>
      </w:rPr>
    </w:lvl>
    <w:lvl w:ilvl="8" w:tplc="BC603CA4" w:tentative="1">
      <w:start w:val="1"/>
      <w:numFmt w:val="bullet"/>
      <w:lvlText w:val=""/>
      <w:lvlJc w:val="left"/>
      <w:pPr>
        <w:ind w:left="7200" w:hanging="360"/>
      </w:pPr>
      <w:rPr>
        <w:rFonts w:ascii="Wingdings" w:hAnsi="Wingdings" w:hint="default"/>
      </w:rPr>
    </w:lvl>
  </w:abstractNum>
  <w:abstractNum w:abstractNumId="79">
    <w:nsid w:val="679D446F"/>
    <w:multiLevelType w:val="hybridMultilevel"/>
    <w:tmpl w:val="18B2C2C8"/>
    <w:lvl w:ilvl="0" w:tplc="93E0831A">
      <w:start w:val="1"/>
      <w:numFmt w:val="bullet"/>
      <w:lvlText w:val=""/>
      <w:lvlJc w:val="left"/>
      <w:pPr>
        <w:ind w:left="927" w:hanging="360"/>
      </w:pPr>
      <w:rPr>
        <w:rFonts w:ascii="Symbol" w:hAnsi="Symbol" w:hint="default"/>
      </w:rPr>
    </w:lvl>
    <w:lvl w:ilvl="1" w:tplc="1832B6AC">
      <w:start w:val="1"/>
      <w:numFmt w:val="bullet"/>
      <w:lvlText w:val="o"/>
      <w:lvlJc w:val="left"/>
      <w:pPr>
        <w:ind w:left="1647" w:hanging="360"/>
      </w:pPr>
      <w:rPr>
        <w:rFonts w:ascii="Courier New" w:hAnsi="Courier New" w:cs="Courier New" w:hint="default"/>
      </w:rPr>
    </w:lvl>
    <w:lvl w:ilvl="2" w:tplc="5530AB82" w:tentative="1">
      <w:start w:val="1"/>
      <w:numFmt w:val="bullet"/>
      <w:lvlText w:val=""/>
      <w:lvlJc w:val="left"/>
      <w:pPr>
        <w:ind w:left="2367" w:hanging="360"/>
      </w:pPr>
      <w:rPr>
        <w:rFonts w:ascii="Wingdings" w:hAnsi="Wingdings" w:hint="default"/>
      </w:rPr>
    </w:lvl>
    <w:lvl w:ilvl="3" w:tplc="2C0C3938" w:tentative="1">
      <w:start w:val="1"/>
      <w:numFmt w:val="bullet"/>
      <w:lvlText w:val=""/>
      <w:lvlJc w:val="left"/>
      <w:pPr>
        <w:ind w:left="3087" w:hanging="360"/>
      </w:pPr>
      <w:rPr>
        <w:rFonts w:ascii="Symbol" w:hAnsi="Symbol" w:hint="default"/>
      </w:rPr>
    </w:lvl>
    <w:lvl w:ilvl="4" w:tplc="6AC2FD68" w:tentative="1">
      <w:start w:val="1"/>
      <w:numFmt w:val="bullet"/>
      <w:lvlText w:val="o"/>
      <w:lvlJc w:val="left"/>
      <w:pPr>
        <w:ind w:left="3807" w:hanging="360"/>
      </w:pPr>
      <w:rPr>
        <w:rFonts w:ascii="Courier New" w:hAnsi="Courier New" w:cs="Courier New" w:hint="default"/>
      </w:rPr>
    </w:lvl>
    <w:lvl w:ilvl="5" w:tplc="1F80CF06" w:tentative="1">
      <w:start w:val="1"/>
      <w:numFmt w:val="bullet"/>
      <w:lvlText w:val=""/>
      <w:lvlJc w:val="left"/>
      <w:pPr>
        <w:ind w:left="4527" w:hanging="360"/>
      </w:pPr>
      <w:rPr>
        <w:rFonts w:ascii="Wingdings" w:hAnsi="Wingdings" w:hint="default"/>
      </w:rPr>
    </w:lvl>
    <w:lvl w:ilvl="6" w:tplc="8E0CEB32" w:tentative="1">
      <w:start w:val="1"/>
      <w:numFmt w:val="bullet"/>
      <w:lvlText w:val=""/>
      <w:lvlJc w:val="left"/>
      <w:pPr>
        <w:ind w:left="5247" w:hanging="360"/>
      </w:pPr>
      <w:rPr>
        <w:rFonts w:ascii="Symbol" w:hAnsi="Symbol" w:hint="default"/>
      </w:rPr>
    </w:lvl>
    <w:lvl w:ilvl="7" w:tplc="5E788814" w:tentative="1">
      <w:start w:val="1"/>
      <w:numFmt w:val="bullet"/>
      <w:lvlText w:val="o"/>
      <w:lvlJc w:val="left"/>
      <w:pPr>
        <w:ind w:left="5967" w:hanging="360"/>
      </w:pPr>
      <w:rPr>
        <w:rFonts w:ascii="Courier New" w:hAnsi="Courier New" w:cs="Courier New" w:hint="default"/>
      </w:rPr>
    </w:lvl>
    <w:lvl w:ilvl="8" w:tplc="D47C1E78" w:tentative="1">
      <w:start w:val="1"/>
      <w:numFmt w:val="bullet"/>
      <w:lvlText w:val=""/>
      <w:lvlJc w:val="left"/>
      <w:pPr>
        <w:ind w:left="6687" w:hanging="360"/>
      </w:pPr>
      <w:rPr>
        <w:rFonts w:ascii="Wingdings" w:hAnsi="Wingdings" w:hint="default"/>
      </w:rPr>
    </w:lvl>
  </w:abstractNum>
  <w:abstractNum w:abstractNumId="80">
    <w:nsid w:val="67A14BFA"/>
    <w:multiLevelType w:val="hybridMultilevel"/>
    <w:tmpl w:val="ED68728A"/>
    <w:lvl w:ilvl="0" w:tplc="7646D4DC">
      <w:start w:val="1"/>
      <w:numFmt w:val="bullet"/>
      <w:lvlText w:val="-"/>
      <w:lvlJc w:val="left"/>
      <w:pPr>
        <w:ind w:left="720" w:hanging="360"/>
      </w:pPr>
      <w:rPr>
        <w:rFonts w:ascii="Courier New" w:hAnsi="Courier New" w:hint="default"/>
      </w:rPr>
    </w:lvl>
    <w:lvl w:ilvl="1" w:tplc="A7144816" w:tentative="1">
      <w:start w:val="1"/>
      <w:numFmt w:val="bullet"/>
      <w:lvlText w:val="o"/>
      <w:lvlJc w:val="left"/>
      <w:pPr>
        <w:ind w:left="1440" w:hanging="360"/>
      </w:pPr>
      <w:rPr>
        <w:rFonts w:ascii="Courier New" w:hAnsi="Courier New" w:cs="Courier New" w:hint="default"/>
      </w:rPr>
    </w:lvl>
    <w:lvl w:ilvl="2" w:tplc="C2641FB0" w:tentative="1">
      <w:start w:val="1"/>
      <w:numFmt w:val="bullet"/>
      <w:lvlText w:val=""/>
      <w:lvlJc w:val="left"/>
      <w:pPr>
        <w:ind w:left="2160" w:hanging="360"/>
      </w:pPr>
      <w:rPr>
        <w:rFonts w:ascii="Wingdings" w:hAnsi="Wingdings" w:hint="default"/>
      </w:rPr>
    </w:lvl>
    <w:lvl w:ilvl="3" w:tplc="0334429A" w:tentative="1">
      <w:start w:val="1"/>
      <w:numFmt w:val="bullet"/>
      <w:lvlText w:val=""/>
      <w:lvlJc w:val="left"/>
      <w:pPr>
        <w:ind w:left="2880" w:hanging="360"/>
      </w:pPr>
      <w:rPr>
        <w:rFonts w:ascii="Symbol" w:hAnsi="Symbol" w:hint="default"/>
      </w:rPr>
    </w:lvl>
    <w:lvl w:ilvl="4" w:tplc="70BC7486" w:tentative="1">
      <w:start w:val="1"/>
      <w:numFmt w:val="bullet"/>
      <w:lvlText w:val="o"/>
      <w:lvlJc w:val="left"/>
      <w:pPr>
        <w:ind w:left="3600" w:hanging="360"/>
      </w:pPr>
      <w:rPr>
        <w:rFonts w:ascii="Courier New" w:hAnsi="Courier New" w:cs="Courier New" w:hint="default"/>
      </w:rPr>
    </w:lvl>
    <w:lvl w:ilvl="5" w:tplc="9F46DCD2" w:tentative="1">
      <w:start w:val="1"/>
      <w:numFmt w:val="bullet"/>
      <w:lvlText w:val=""/>
      <w:lvlJc w:val="left"/>
      <w:pPr>
        <w:ind w:left="4320" w:hanging="360"/>
      </w:pPr>
      <w:rPr>
        <w:rFonts w:ascii="Wingdings" w:hAnsi="Wingdings" w:hint="default"/>
      </w:rPr>
    </w:lvl>
    <w:lvl w:ilvl="6" w:tplc="F5346A92" w:tentative="1">
      <w:start w:val="1"/>
      <w:numFmt w:val="bullet"/>
      <w:lvlText w:val=""/>
      <w:lvlJc w:val="left"/>
      <w:pPr>
        <w:ind w:left="5040" w:hanging="360"/>
      </w:pPr>
      <w:rPr>
        <w:rFonts w:ascii="Symbol" w:hAnsi="Symbol" w:hint="default"/>
      </w:rPr>
    </w:lvl>
    <w:lvl w:ilvl="7" w:tplc="F29021FA" w:tentative="1">
      <w:start w:val="1"/>
      <w:numFmt w:val="bullet"/>
      <w:lvlText w:val="o"/>
      <w:lvlJc w:val="left"/>
      <w:pPr>
        <w:ind w:left="5760" w:hanging="360"/>
      </w:pPr>
      <w:rPr>
        <w:rFonts w:ascii="Courier New" w:hAnsi="Courier New" w:cs="Courier New" w:hint="default"/>
      </w:rPr>
    </w:lvl>
    <w:lvl w:ilvl="8" w:tplc="EF66DD82" w:tentative="1">
      <w:start w:val="1"/>
      <w:numFmt w:val="bullet"/>
      <w:lvlText w:val=""/>
      <w:lvlJc w:val="left"/>
      <w:pPr>
        <w:ind w:left="6480" w:hanging="360"/>
      </w:pPr>
      <w:rPr>
        <w:rFonts w:ascii="Wingdings" w:hAnsi="Wingdings" w:hint="default"/>
      </w:rPr>
    </w:lvl>
  </w:abstractNum>
  <w:abstractNum w:abstractNumId="81">
    <w:nsid w:val="68670D36"/>
    <w:multiLevelType w:val="hybridMultilevel"/>
    <w:tmpl w:val="E3EA35F6"/>
    <w:lvl w:ilvl="0" w:tplc="A4B407F0">
      <w:start w:val="1"/>
      <w:numFmt w:val="bullet"/>
      <w:lvlText w:val=""/>
      <w:lvlJc w:val="left"/>
      <w:pPr>
        <w:ind w:left="360" w:hanging="360"/>
      </w:pPr>
      <w:rPr>
        <w:rFonts w:ascii="Symbol" w:hAnsi="Symbol" w:hint="default"/>
      </w:rPr>
    </w:lvl>
    <w:lvl w:ilvl="1" w:tplc="FCA87F58" w:tentative="1">
      <w:start w:val="1"/>
      <w:numFmt w:val="bullet"/>
      <w:lvlText w:val="o"/>
      <w:lvlJc w:val="left"/>
      <w:pPr>
        <w:ind w:left="1080" w:hanging="360"/>
      </w:pPr>
      <w:rPr>
        <w:rFonts w:ascii="Courier New" w:hAnsi="Courier New" w:cs="Courier New" w:hint="default"/>
      </w:rPr>
    </w:lvl>
    <w:lvl w:ilvl="2" w:tplc="DA48AFF6" w:tentative="1">
      <w:start w:val="1"/>
      <w:numFmt w:val="bullet"/>
      <w:lvlText w:val=""/>
      <w:lvlJc w:val="left"/>
      <w:pPr>
        <w:ind w:left="1800" w:hanging="360"/>
      </w:pPr>
      <w:rPr>
        <w:rFonts w:ascii="Wingdings" w:hAnsi="Wingdings" w:hint="default"/>
      </w:rPr>
    </w:lvl>
    <w:lvl w:ilvl="3" w:tplc="1E6ED37C" w:tentative="1">
      <w:start w:val="1"/>
      <w:numFmt w:val="bullet"/>
      <w:lvlText w:val=""/>
      <w:lvlJc w:val="left"/>
      <w:pPr>
        <w:ind w:left="2520" w:hanging="360"/>
      </w:pPr>
      <w:rPr>
        <w:rFonts w:ascii="Symbol" w:hAnsi="Symbol" w:hint="default"/>
      </w:rPr>
    </w:lvl>
    <w:lvl w:ilvl="4" w:tplc="B4BC1874" w:tentative="1">
      <w:start w:val="1"/>
      <w:numFmt w:val="bullet"/>
      <w:lvlText w:val="o"/>
      <w:lvlJc w:val="left"/>
      <w:pPr>
        <w:ind w:left="3240" w:hanging="360"/>
      </w:pPr>
      <w:rPr>
        <w:rFonts w:ascii="Courier New" w:hAnsi="Courier New" w:cs="Courier New" w:hint="default"/>
      </w:rPr>
    </w:lvl>
    <w:lvl w:ilvl="5" w:tplc="58983BFC" w:tentative="1">
      <w:start w:val="1"/>
      <w:numFmt w:val="bullet"/>
      <w:lvlText w:val=""/>
      <w:lvlJc w:val="left"/>
      <w:pPr>
        <w:ind w:left="3960" w:hanging="360"/>
      </w:pPr>
      <w:rPr>
        <w:rFonts w:ascii="Wingdings" w:hAnsi="Wingdings" w:hint="default"/>
      </w:rPr>
    </w:lvl>
    <w:lvl w:ilvl="6" w:tplc="9D22B1F0" w:tentative="1">
      <w:start w:val="1"/>
      <w:numFmt w:val="bullet"/>
      <w:lvlText w:val=""/>
      <w:lvlJc w:val="left"/>
      <w:pPr>
        <w:ind w:left="4680" w:hanging="360"/>
      </w:pPr>
      <w:rPr>
        <w:rFonts w:ascii="Symbol" w:hAnsi="Symbol" w:hint="default"/>
      </w:rPr>
    </w:lvl>
    <w:lvl w:ilvl="7" w:tplc="BACA4B8E" w:tentative="1">
      <w:start w:val="1"/>
      <w:numFmt w:val="bullet"/>
      <w:lvlText w:val="o"/>
      <w:lvlJc w:val="left"/>
      <w:pPr>
        <w:ind w:left="5400" w:hanging="360"/>
      </w:pPr>
      <w:rPr>
        <w:rFonts w:ascii="Courier New" w:hAnsi="Courier New" w:cs="Courier New" w:hint="default"/>
      </w:rPr>
    </w:lvl>
    <w:lvl w:ilvl="8" w:tplc="EE7CA78C" w:tentative="1">
      <w:start w:val="1"/>
      <w:numFmt w:val="bullet"/>
      <w:lvlText w:val=""/>
      <w:lvlJc w:val="left"/>
      <w:pPr>
        <w:ind w:left="6120" w:hanging="360"/>
      </w:pPr>
      <w:rPr>
        <w:rFonts w:ascii="Wingdings" w:hAnsi="Wingdings" w:hint="default"/>
      </w:rPr>
    </w:lvl>
  </w:abstractNum>
  <w:abstractNum w:abstractNumId="82">
    <w:nsid w:val="6DD97BF7"/>
    <w:multiLevelType w:val="hybridMultilevel"/>
    <w:tmpl w:val="3034C6D6"/>
    <w:lvl w:ilvl="0" w:tplc="5C5ED54C">
      <w:start w:val="1"/>
      <w:numFmt w:val="decimal"/>
      <w:lvlText w:val="30.%1."/>
      <w:lvlJc w:val="left"/>
      <w:pPr>
        <w:ind w:left="1440" w:hanging="360"/>
      </w:pPr>
      <w:rPr>
        <w:rFonts w:hint="default"/>
        <w:b w:val="0"/>
      </w:rPr>
    </w:lvl>
    <w:lvl w:ilvl="1" w:tplc="571A190A" w:tentative="1">
      <w:start w:val="1"/>
      <w:numFmt w:val="lowerLetter"/>
      <w:lvlText w:val="%2."/>
      <w:lvlJc w:val="left"/>
      <w:pPr>
        <w:ind w:left="1890" w:hanging="360"/>
      </w:pPr>
    </w:lvl>
    <w:lvl w:ilvl="2" w:tplc="E98AD98A" w:tentative="1">
      <w:start w:val="1"/>
      <w:numFmt w:val="lowerRoman"/>
      <w:lvlText w:val="%3."/>
      <w:lvlJc w:val="right"/>
      <w:pPr>
        <w:ind w:left="2610" w:hanging="180"/>
      </w:pPr>
    </w:lvl>
    <w:lvl w:ilvl="3" w:tplc="3294D130" w:tentative="1">
      <w:start w:val="1"/>
      <w:numFmt w:val="decimal"/>
      <w:lvlText w:val="%4."/>
      <w:lvlJc w:val="left"/>
      <w:pPr>
        <w:ind w:left="3330" w:hanging="360"/>
      </w:pPr>
    </w:lvl>
    <w:lvl w:ilvl="4" w:tplc="9C9A7006" w:tentative="1">
      <w:start w:val="1"/>
      <w:numFmt w:val="lowerLetter"/>
      <w:lvlText w:val="%5."/>
      <w:lvlJc w:val="left"/>
      <w:pPr>
        <w:ind w:left="4050" w:hanging="360"/>
      </w:pPr>
    </w:lvl>
    <w:lvl w:ilvl="5" w:tplc="38B01146" w:tentative="1">
      <w:start w:val="1"/>
      <w:numFmt w:val="lowerRoman"/>
      <w:lvlText w:val="%6."/>
      <w:lvlJc w:val="right"/>
      <w:pPr>
        <w:ind w:left="4770" w:hanging="180"/>
      </w:pPr>
    </w:lvl>
    <w:lvl w:ilvl="6" w:tplc="1CB01058" w:tentative="1">
      <w:start w:val="1"/>
      <w:numFmt w:val="decimal"/>
      <w:lvlText w:val="%7."/>
      <w:lvlJc w:val="left"/>
      <w:pPr>
        <w:ind w:left="5490" w:hanging="360"/>
      </w:pPr>
    </w:lvl>
    <w:lvl w:ilvl="7" w:tplc="4E0818FA" w:tentative="1">
      <w:start w:val="1"/>
      <w:numFmt w:val="lowerLetter"/>
      <w:lvlText w:val="%8."/>
      <w:lvlJc w:val="left"/>
      <w:pPr>
        <w:ind w:left="6210" w:hanging="360"/>
      </w:pPr>
    </w:lvl>
    <w:lvl w:ilvl="8" w:tplc="7EB8D962" w:tentative="1">
      <w:start w:val="1"/>
      <w:numFmt w:val="lowerRoman"/>
      <w:lvlText w:val="%9."/>
      <w:lvlJc w:val="right"/>
      <w:pPr>
        <w:ind w:left="6930" w:hanging="180"/>
      </w:pPr>
    </w:lvl>
  </w:abstractNum>
  <w:abstractNum w:abstractNumId="83">
    <w:nsid w:val="71E66721"/>
    <w:multiLevelType w:val="hybridMultilevel"/>
    <w:tmpl w:val="4224ABA4"/>
    <w:lvl w:ilvl="0" w:tplc="77E03E34">
      <w:start w:val="1"/>
      <w:numFmt w:val="bullet"/>
      <w:lvlText w:val=""/>
      <w:lvlJc w:val="left"/>
      <w:pPr>
        <w:ind w:left="720" w:hanging="360"/>
      </w:pPr>
      <w:rPr>
        <w:rFonts w:ascii="Wingdings" w:hAnsi="Wingdings" w:hint="default"/>
      </w:rPr>
    </w:lvl>
    <w:lvl w:ilvl="1" w:tplc="D8B40A7E" w:tentative="1">
      <w:start w:val="1"/>
      <w:numFmt w:val="bullet"/>
      <w:lvlText w:val="o"/>
      <w:lvlJc w:val="left"/>
      <w:pPr>
        <w:ind w:left="1440" w:hanging="360"/>
      </w:pPr>
      <w:rPr>
        <w:rFonts w:ascii="Courier New" w:hAnsi="Courier New" w:cs="Courier New" w:hint="default"/>
      </w:rPr>
    </w:lvl>
    <w:lvl w:ilvl="2" w:tplc="E60AA7FE" w:tentative="1">
      <w:start w:val="1"/>
      <w:numFmt w:val="bullet"/>
      <w:lvlText w:val=""/>
      <w:lvlJc w:val="left"/>
      <w:pPr>
        <w:ind w:left="2160" w:hanging="360"/>
      </w:pPr>
      <w:rPr>
        <w:rFonts w:ascii="Wingdings" w:hAnsi="Wingdings" w:hint="default"/>
      </w:rPr>
    </w:lvl>
    <w:lvl w:ilvl="3" w:tplc="558EC15C" w:tentative="1">
      <w:start w:val="1"/>
      <w:numFmt w:val="bullet"/>
      <w:lvlText w:val=""/>
      <w:lvlJc w:val="left"/>
      <w:pPr>
        <w:ind w:left="2880" w:hanging="360"/>
      </w:pPr>
      <w:rPr>
        <w:rFonts w:ascii="Symbol" w:hAnsi="Symbol" w:hint="default"/>
      </w:rPr>
    </w:lvl>
    <w:lvl w:ilvl="4" w:tplc="9F5613E8" w:tentative="1">
      <w:start w:val="1"/>
      <w:numFmt w:val="bullet"/>
      <w:lvlText w:val="o"/>
      <w:lvlJc w:val="left"/>
      <w:pPr>
        <w:ind w:left="3600" w:hanging="360"/>
      </w:pPr>
      <w:rPr>
        <w:rFonts w:ascii="Courier New" w:hAnsi="Courier New" w:cs="Courier New" w:hint="default"/>
      </w:rPr>
    </w:lvl>
    <w:lvl w:ilvl="5" w:tplc="1E8C6A0E" w:tentative="1">
      <w:start w:val="1"/>
      <w:numFmt w:val="bullet"/>
      <w:lvlText w:val=""/>
      <w:lvlJc w:val="left"/>
      <w:pPr>
        <w:ind w:left="4320" w:hanging="360"/>
      </w:pPr>
      <w:rPr>
        <w:rFonts w:ascii="Wingdings" w:hAnsi="Wingdings" w:hint="default"/>
      </w:rPr>
    </w:lvl>
    <w:lvl w:ilvl="6" w:tplc="2B6C3F8A" w:tentative="1">
      <w:start w:val="1"/>
      <w:numFmt w:val="bullet"/>
      <w:lvlText w:val=""/>
      <w:lvlJc w:val="left"/>
      <w:pPr>
        <w:ind w:left="5040" w:hanging="360"/>
      </w:pPr>
      <w:rPr>
        <w:rFonts w:ascii="Symbol" w:hAnsi="Symbol" w:hint="default"/>
      </w:rPr>
    </w:lvl>
    <w:lvl w:ilvl="7" w:tplc="16A40994" w:tentative="1">
      <w:start w:val="1"/>
      <w:numFmt w:val="bullet"/>
      <w:lvlText w:val="o"/>
      <w:lvlJc w:val="left"/>
      <w:pPr>
        <w:ind w:left="5760" w:hanging="360"/>
      </w:pPr>
      <w:rPr>
        <w:rFonts w:ascii="Courier New" w:hAnsi="Courier New" w:cs="Courier New" w:hint="default"/>
      </w:rPr>
    </w:lvl>
    <w:lvl w:ilvl="8" w:tplc="EB247EA0" w:tentative="1">
      <w:start w:val="1"/>
      <w:numFmt w:val="bullet"/>
      <w:lvlText w:val=""/>
      <w:lvlJc w:val="left"/>
      <w:pPr>
        <w:ind w:left="6480" w:hanging="360"/>
      </w:pPr>
      <w:rPr>
        <w:rFonts w:ascii="Wingdings" w:hAnsi="Wingdings" w:hint="default"/>
      </w:rPr>
    </w:lvl>
  </w:abstractNum>
  <w:abstractNum w:abstractNumId="84">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7257394F"/>
    <w:multiLevelType w:val="hybridMultilevel"/>
    <w:tmpl w:val="A92C825A"/>
    <w:lvl w:ilvl="0" w:tplc="3B628AF0">
      <w:start w:val="1"/>
      <w:numFmt w:val="bullet"/>
      <w:lvlText w:val=""/>
      <w:lvlJc w:val="left"/>
      <w:pPr>
        <w:tabs>
          <w:tab w:val="num" w:pos="720"/>
        </w:tabs>
        <w:ind w:left="720" w:hanging="360"/>
      </w:pPr>
      <w:rPr>
        <w:rFonts w:ascii="Wingdings" w:hAnsi="Wingdings" w:hint="default"/>
      </w:rPr>
    </w:lvl>
    <w:lvl w:ilvl="1" w:tplc="C3288060" w:tentative="1">
      <w:start w:val="1"/>
      <w:numFmt w:val="bullet"/>
      <w:lvlText w:val="o"/>
      <w:lvlJc w:val="left"/>
      <w:pPr>
        <w:tabs>
          <w:tab w:val="num" w:pos="1440"/>
        </w:tabs>
        <w:ind w:left="1440" w:hanging="360"/>
      </w:pPr>
      <w:rPr>
        <w:rFonts w:ascii="Courier New" w:hAnsi="Courier New" w:cs="Courier New" w:hint="default"/>
      </w:rPr>
    </w:lvl>
    <w:lvl w:ilvl="2" w:tplc="78E0AEAE" w:tentative="1">
      <w:start w:val="1"/>
      <w:numFmt w:val="bullet"/>
      <w:lvlText w:val=""/>
      <w:lvlJc w:val="left"/>
      <w:pPr>
        <w:tabs>
          <w:tab w:val="num" w:pos="2160"/>
        </w:tabs>
        <w:ind w:left="2160" w:hanging="360"/>
      </w:pPr>
      <w:rPr>
        <w:rFonts w:ascii="Wingdings" w:hAnsi="Wingdings" w:hint="default"/>
      </w:rPr>
    </w:lvl>
    <w:lvl w:ilvl="3" w:tplc="F1807A0A" w:tentative="1">
      <w:start w:val="1"/>
      <w:numFmt w:val="bullet"/>
      <w:lvlText w:val=""/>
      <w:lvlJc w:val="left"/>
      <w:pPr>
        <w:tabs>
          <w:tab w:val="num" w:pos="2880"/>
        </w:tabs>
        <w:ind w:left="2880" w:hanging="360"/>
      </w:pPr>
      <w:rPr>
        <w:rFonts w:ascii="Symbol" w:hAnsi="Symbol" w:hint="default"/>
      </w:rPr>
    </w:lvl>
    <w:lvl w:ilvl="4" w:tplc="72D4B564" w:tentative="1">
      <w:start w:val="1"/>
      <w:numFmt w:val="bullet"/>
      <w:lvlText w:val="o"/>
      <w:lvlJc w:val="left"/>
      <w:pPr>
        <w:tabs>
          <w:tab w:val="num" w:pos="3600"/>
        </w:tabs>
        <w:ind w:left="3600" w:hanging="360"/>
      </w:pPr>
      <w:rPr>
        <w:rFonts w:ascii="Courier New" w:hAnsi="Courier New" w:cs="Courier New" w:hint="default"/>
      </w:rPr>
    </w:lvl>
    <w:lvl w:ilvl="5" w:tplc="6F30E8B6" w:tentative="1">
      <w:start w:val="1"/>
      <w:numFmt w:val="bullet"/>
      <w:lvlText w:val=""/>
      <w:lvlJc w:val="left"/>
      <w:pPr>
        <w:tabs>
          <w:tab w:val="num" w:pos="4320"/>
        </w:tabs>
        <w:ind w:left="4320" w:hanging="360"/>
      </w:pPr>
      <w:rPr>
        <w:rFonts w:ascii="Wingdings" w:hAnsi="Wingdings" w:hint="default"/>
      </w:rPr>
    </w:lvl>
    <w:lvl w:ilvl="6" w:tplc="3D9CDC84" w:tentative="1">
      <w:start w:val="1"/>
      <w:numFmt w:val="bullet"/>
      <w:lvlText w:val=""/>
      <w:lvlJc w:val="left"/>
      <w:pPr>
        <w:tabs>
          <w:tab w:val="num" w:pos="5040"/>
        </w:tabs>
        <w:ind w:left="5040" w:hanging="360"/>
      </w:pPr>
      <w:rPr>
        <w:rFonts w:ascii="Symbol" w:hAnsi="Symbol" w:hint="default"/>
      </w:rPr>
    </w:lvl>
    <w:lvl w:ilvl="7" w:tplc="6C9278BC" w:tentative="1">
      <w:start w:val="1"/>
      <w:numFmt w:val="bullet"/>
      <w:lvlText w:val="o"/>
      <w:lvlJc w:val="left"/>
      <w:pPr>
        <w:tabs>
          <w:tab w:val="num" w:pos="5760"/>
        </w:tabs>
        <w:ind w:left="5760" w:hanging="360"/>
      </w:pPr>
      <w:rPr>
        <w:rFonts w:ascii="Courier New" w:hAnsi="Courier New" w:cs="Courier New" w:hint="default"/>
      </w:rPr>
    </w:lvl>
    <w:lvl w:ilvl="8" w:tplc="2D5EC9D2" w:tentative="1">
      <w:start w:val="1"/>
      <w:numFmt w:val="bullet"/>
      <w:lvlText w:val=""/>
      <w:lvlJc w:val="left"/>
      <w:pPr>
        <w:tabs>
          <w:tab w:val="num" w:pos="6480"/>
        </w:tabs>
        <w:ind w:left="6480" w:hanging="360"/>
      </w:pPr>
      <w:rPr>
        <w:rFonts w:ascii="Wingdings" w:hAnsi="Wingdings" w:hint="default"/>
      </w:rPr>
    </w:lvl>
  </w:abstractNum>
  <w:abstractNum w:abstractNumId="86">
    <w:nsid w:val="745A662D"/>
    <w:multiLevelType w:val="hybridMultilevel"/>
    <w:tmpl w:val="63BA6656"/>
    <w:lvl w:ilvl="0" w:tplc="B5CCC60C">
      <w:start w:val="1"/>
      <w:numFmt w:val="decimal"/>
      <w:pStyle w:val="Style1"/>
      <w:lvlText w:val="13.%1."/>
      <w:lvlJc w:val="left"/>
      <w:pPr>
        <w:ind w:left="720" w:hanging="360"/>
      </w:pPr>
      <w:rPr>
        <w:rFonts w:ascii="Arial" w:hAnsi="Arial" w:cs="Arial" w:hint="default"/>
        <w:sz w:val="20"/>
        <w:szCs w:val="20"/>
      </w:rPr>
    </w:lvl>
    <w:lvl w:ilvl="1" w:tplc="468CF366" w:tentative="1">
      <w:start w:val="1"/>
      <w:numFmt w:val="lowerLetter"/>
      <w:lvlText w:val="%2."/>
      <w:lvlJc w:val="left"/>
      <w:pPr>
        <w:ind w:left="1440" w:hanging="360"/>
      </w:pPr>
    </w:lvl>
    <w:lvl w:ilvl="2" w:tplc="2D6A8374" w:tentative="1">
      <w:start w:val="1"/>
      <w:numFmt w:val="lowerRoman"/>
      <w:lvlText w:val="%3."/>
      <w:lvlJc w:val="right"/>
      <w:pPr>
        <w:ind w:left="2160" w:hanging="180"/>
      </w:pPr>
    </w:lvl>
    <w:lvl w:ilvl="3" w:tplc="70EEED86" w:tentative="1">
      <w:start w:val="1"/>
      <w:numFmt w:val="decimal"/>
      <w:lvlText w:val="%4."/>
      <w:lvlJc w:val="left"/>
      <w:pPr>
        <w:ind w:left="2880" w:hanging="360"/>
      </w:pPr>
    </w:lvl>
    <w:lvl w:ilvl="4" w:tplc="C1FC59CE" w:tentative="1">
      <w:start w:val="1"/>
      <w:numFmt w:val="lowerLetter"/>
      <w:lvlText w:val="%5."/>
      <w:lvlJc w:val="left"/>
      <w:pPr>
        <w:ind w:left="3600" w:hanging="360"/>
      </w:pPr>
    </w:lvl>
    <w:lvl w:ilvl="5" w:tplc="9DC2C7D2" w:tentative="1">
      <w:start w:val="1"/>
      <w:numFmt w:val="lowerRoman"/>
      <w:lvlText w:val="%6."/>
      <w:lvlJc w:val="right"/>
      <w:pPr>
        <w:ind w:left="4320" w:hanging="180"/>
      </w:pPr>
    </w:lvl>
    <w:lvl w:ilvl="6" w:tplc="36D62290" w:tentative="1">
      <w:start w:val="1"/>
      <w:numFmt w:val="decimal"/>
      <w:lvlText w:val="%7."/>
      <w:lvlJc w:val="left"/>
      <w:pPr>
        <w:ind w:left="5040" w:hanging="360"/>
      </w:pPr>
    </w:lvl>
    <w:lvl w:ilvl="7" w:tplc="448ACE48" w:tentative="1">
      <w:start w:val="1"/>
      <w:numFmt w:val="lowerLetter"/>
      <w:lvlText w:val="%8."/>
      <w:lvlJc w:val="left"/>
      <w:pPr>
        <w:ind w:left="5760" w:hanging="360"/>
      </w:pPr>
    </w:lvl>
    <w:lvl w:ilvl="8" w:tplc="21620816" w:tentative="1">
      <w:start w:val="1"/>
      <w:numFmt w:val="lowerRoman"/>
      <w:lvlText w:val="%9."/>
      <w:lvlJc w:val="right"/>
      <w:pPr>
        <w:ind w:left="6480" w:hanging="180"/>
      </w:pPr>
    </w:lvl>
  </w:abstractNum>
  <w:abstractNum w:abstractNumId="87">
    <w:nsid w:val="7520235E"/>
    <w:multiLevelType w:val="hybridMultilevel"/>
    <w:tmpl w:val="6A001150"/>
    <w:lvl w:ilvl="0" w:tplc="F6CC710E">
      <w:start w:val="1"/>
      <w:numFmt w:val="bullet"/>
      <w:lvlText w:val=""/>
      <w:lvlJc w:val="left"/>
      <w:pPr>
        <w:ind w:left="360" w:hanging="360"/>
      </w:pPr>
      <w:rPr>
        <w:rFonts w:ascii="Symbol" w:hAnsi="Symbol" w:hint="default"/>
      </w:rPr>
    </w:lvl>
    <w:lvl w:ilvl="1" w:tplc="AEDA6196" w:tentative="1">
      <w:start w:val="1"/>
      <w:numFmt w:val="bullet"/>
      <w:lvlText w:val="o"/>
      <w:lvlJc w:val="left"/>
      <w:pPr>
        <w:ind w:left="1080" w:hanging="360"/>
      </w:pPr>
      <w:rPr>
        <w:rFonts w:ascii="Courier New" w:hAnsi="Courier New" w:cs="Courier New" w:hint="default"/>
      </w:rPr>
    </w:lvl>
    <w:lvl w:ilvl="2" w:tplc="35569E32" w:tentative="1">
      <w:start w:val="1"/>
      <w:numFmt w:val="bullet"/>
      <w:lvlText w:val=""/>
      <w:lvlJc w:val="left"/>
      <w:pPr>
        <w:ind w:left="1800" w:hanging="360"/>
      </w:pPr>
      <w:rPr>
        <w:rFonts w:ascii="Wingdings" w:hAnsi="Wingdings" w:hint="default"/>
      </w:rPr>
    </w:lvl>
    <w:lvl w:ilvl="3" w:tplc="557283C0" w:tentative="1">
      <w:start w:val="1"/>
      <w:numFmt w:val="bullet"/>
      <w:lvlText w:val=""/>
      <w:lvlJc w:val="left"/>
      <w:pPr>
        <w:ind w:left="2520" w:hanging="360"/>
      </w:pPr>
      <w:rPr>
        <w:rFonts w:ascii="Symbol" w:hAnsi="Symbol" w:hint="default"/>
      </w:rPr>
    </w:lvl>
    <w:lvl w:ilvl="4" w:tplc="04D82BD8" w:tentative="1">
      <w:start w:val="1"/>
      <w:numFmt w:val="bullet"/>
      <w:lvlText w:val="o"/>
      <w:lvlJc w:val="left"/>
      <w:pPr>
        <w:ind w:left="3240" w:hanging="360"/>
      </w:pPr>
      <w:rPr>
        <w:rFonts w:ascii="Courier New" w:hAnsi="Courier New" w:cs="Courier New" w:hint="default"/>
      </w:rPr>
    </w:lvl>
    <w:lvl w:ilvl="5" w:tplc="729AFD00" w:tentative="1">
      <w:start w:val="1"/>
      <w:numFmt w:val="bullet"/>
      <w:lvlText w:val=""/>
      <w:lvlJc w:val="left"/>
      <w:pPr>
        <w:ind w:left="3960" w:hanging="360"/>
      </w:pPr>
      <w:rPr>
        <w:rFonts w:ascii="Wingdings" w:hAnsi="Wingdings" w:hint="default"/>
      </w:rPr>
    </w:lvl>
    <w:lvl w:ilvl="6" w:tplc="90BE35C2" w:tentative="1">
      <w:start w:val="1"/>
      <w:numFmt w:val="bullet"/>
      <w:lvlText w:val=""/>
      <w:lvlJc w:val="left"/>
      <w:pPr>
        <w:ind w:left="4680" w:hanging="360"/>
      </w:pPr>
      <w:rPr>
        <w:rFonts w:ascii="Symbol" w:hAnsi="Symbol" w:hint="default"/>
      </w:rPr>
    </w:lvl>
    <w:lvl w:ilvl="7" w:tplc="BDD06E96" w:tentative="1">
      <w:start w:val="1"/>
      <w:numFmt w:val="bullet"/>
      <w:lvlText w:val="o"/>
      <w:lvlJc w:val="left"/>
      <w:pPr>
        <w:ind w:left="5400" w:hanging="360"/>
      </w:pPr>
      <w:rPr>
        <w:rFonts w:ascii="Courier New" w:hAnsi="Courier New" w:cs="Courier New" w:hint="default"/>
      </w:rPr>
    </w:lvl>
    <w:lvl w:ilvl="8" w:tplc="DF00A1BA" w:tentative="1">
      <w:start w:val="1"/>
      <w:numFmt w:val="bullet"/>
      <w:lvlText w:val=""/>
      <w:lvlJc w:val="left"/>
      <w:pPr>
        <w:ind w:left="6120" w:hanging="360"/>
      </w:pPr>
      <w:rPr>
        <w:rFonts w:ascii="Wingdings" w:hAnsi="Wingdings" w:hint="default"/>
      </w:rPr>
    </w:lvl>
  </w:abstractNum>
  <w:abstractNum w:abstractNumId="88">
    <w:nsid w:val="7714091B"/>
    <w:multiLevelType w:val="hybridMultilevel"/>
    <w:tmpl w:val="E23E2AE2"/>
    <w:lvl w:ilvl="0" w:tplc="EC46EF1A">
      <w:start w:val="1"/>
      <w:numFmt w:val="bullet"/>
      <w:lvlText w:val=""/>
      <w:lvlJc w:val="left"/>
      <w:pPr>
        <w:ind w:left="360" w:hanging="360"/>
      </w:pPr>
      <w:rPr>
        <w:rFonts w:ascii="Symbol" w:hAnsi="Symbol" w:hint="default"/>
      </w:rPr>
    </w:lvl>
    <w:lvl w:ilvl="1" w:tplc="5BBEE4C6" w:tentative="1">
      <w:start w:val="1"/>
      <w:numFmt w:val="bullet"/>
      <w:lvlText w:val="o"/>
      <w:lvlJc w:val="left"/>
      <w:pPr>
        <w:ind w:left="1080" w:hanging="360"/>
      </w:pPr>
      <w:rPr>
        <w:rFonts w:ascii="Courier New" w:hAnsi="Courier New" w:cs="Courier New" w:hint="default"/>
      </w:rPr>
    </w:lvl>
    <w:lvl w:ilvl="2" w:tplc="3CD406EC" w:tentative="1">
      <w:start w:val="1"/>
      <w:numFmt w:val="bullet"/>
      <w:lvlText w:val=""/>
      <w:lvlJc w:val="left"/>
      <w:pPr>
        <w:ind w:left="1800" w:hanging="360"/>
      </w:pPr>
      <w:rPr>
        <w:rFonts w:ascii="Wingdings" w:hAnsi="Wingdings" w:hint="default"/>
      </w:rPr>
    </w:lvl>
    <w:lvl w:ilvl="3" w:tplc="D36C8070" w:tentative="1">
      <w:start w:val="1"/>
      <w:numFmt w:val="bullet"/>
      <w:lvlText w:val=""/>
      <w:lvlJc w:val="left"/>
      <w:pPr>
        <w:ind w:left="2520" w:hanging="360"/>
      </w:pPr>
      <w:rPr>
        <w:rFonts w:ascii="Symbol" w:hAnsi="Symbol" w:hint="default"/>
      </w:rPr>
    </w:lvl>
    <w:lvl w:ilvl="4" w:tplc="C4A45F7E" w:tentative="1">
      <w:start w:val="1"/>
      <w:numFmt w:val="bullet"/>
      <w:lvlText w:val="o"/>
      <w:lvlJc w:val="left"/>
      <w:pPr>
        <w:ind w:left="3240" w:hanging="360"/>
      </w:pPr>
      <w:rPr>
        <w:rFonts w:ascii="Courier New" w:hAnsi="Courier New" w:cs="Courier New" w:hint="default"/>
      </w:rPr>
    </w:lvl>
    <w:lvl w:ilvl="5" w:tplc="F41EB0C0" w:tentative="1">
      <w:start w:val="1"/>
      <w:numFmt w:val="bullet"/>
      <w:lvlText w:val=""/>
      <w:lvlJc w:val="left"/>
      <w:pPr>
        <w:ind w:left="3960" w:hanging="360"/>
      </w:pPr>
      <w:rPr>
        <w:rFonts w:ascii="Wingdings" w:hAnsi="Wingdings" w:hint="default"/>
      </w:rPr>
    </w:lvl>
    <w:lvl w:ilvl="6" w:tplc="4964FAE6" w:tentative="1">
      <w:start w:val="1"/>
      <w:numFmt w:val="bullet"/>
      <w:lvlText w:val=""/>
      <w:lvlJc w:val="left"/>
      <w:pPr>
        <w:ind w:left="4680" w:hanging="360"/>
      </w:pPr>
      <w:rPr>
        <w:rFonts w:ascii="Symbol" w:hAnsi="Symbol" w:hint="default"/>
      </w:rPr>
    </w:lvl>
    <w:lvl w:ilvl="7" w:tplc="CC9C042E" w:tentative="1">
      <w:start w:val="1"/>
      <w:numFmt w:val="bullet"/>
      <w:lvlText w:val="o"/>
      <w:lvlJc w:val="left"/>
      <w:pPr>
        <w:ind w:left="5400" w:hanging="360"/>
      </w:pPr>
      <w:rPr>
        <w:rFonts w:ascii="Courier New" w:hAnsi="Courier New" w:cs="Courier New" w:hint="default"/>
      </w:rPr>
    </w:lvl>
    <w:lvl w:ilvl="8" w:tplc="C6A89CBA" w:tentative="1">
      <w:start w:val="1"/>
      <w:numFmt w:val="bullet"/>
      <w:lvlText w:val=""/>
      <w:lvlJc w:val="left"/>
      <w:pPr>
        <w:ind w:left="6120" w:hanging="360"/>
      </w:pPr>
      <w:rPr>
        <w:rFonts w:ascii="Wingdings" w:hAnsi="Wingdings" w:hint="default"/>
      </w:rPr>
    </w:lvl>
  </w:abstractNum>
  <w:abstractNum w:abstractNumId="89">
    <w:nsid w:val="7AB54400"/>
    <w:multiLevelType w:val="hybridMultilevel"/>
    <w:tmpl w:val="F08016B0"/>
    <w:lvl w:ilvl="0" w:tplc="3B06B2D8">
      <w:start w:val="1"/>
      <w:numFmt w:val="bullet"/>
      <w:lvlText w:val=""/>
      <w:lvlJc w:val="left"/>
      <w:pPr>
        <w:ind w:left="720" w:hanging="360"/>
      </w:pPr>
      <w:rPr>
        <w:rFonts w:ascii="Symbol" w:hAnsi="Symbol" w:hint="default"/>
      </w:rPr>
    </w:lvl>
    <w:lvl w:ilvl="1" w:tplc="78DAB1CA" w:tentative="1">
      <w:start w:val="1"/>
      <w:numFmt w:val="bullet"/>
      <w:lvlText w:val="o"/>
      <w:lvlJc w:val="left"/>
      <w:pPr>
        <w:ind w:left="1440" w:hanging="360"/>
      </w:pPr>
      <w:rPr>
        <w:rFonts w:ascii="Courier New" w:hAnsi="Courier New" w:cs="Courier New" w:hint="default"/>
      </w:rPr>
    </w:lvl>
    <w:lvl w:ilvl="2" w:tplc="352EB1C4" w:tentative="1">
      <w:start w:val="1"/>
      <w:numFmt w:val="bullet"/>
      <w:lvlText w:val=""/>
      <w:lvlJc w:val="left"/>
      <w:pPr>
        <w:ind w:left="2160" w:hanging="360"/>
      </w:pPr>
      <w:rPr>
        <w:rFonts w:ascii="Wingdings" w:hAnsi="Wingdings" w:hint="default"/>
      </w:rPr>
    </w:lvl>
    <w:lvl w:ilvl="3" w:tplc="61600DE4" w:tentative="1">
      <w:start w:val="1"/>
      <w:numFmt w:val="bullet"/>
      <w:lvlText w:val=""/>
      <w:lvlJc w:val="left"/>
      <w:pPr>
        <w:ind w:left="2880" w:hanging="360"/>
      </w:pPr>
      <w:rPr>
        <w:rFonts w:ascii="Symbol" w:hAnsi="Symbol" w:hint="default"/>
      </w:rPr>
    </w:lvl>
    <w:lvl w:ilvl="4" w:tplc="4372E422" w:tentative="1">
      <w:start w:val="1"/>
      <w:numFmt w:val="bullet"/>
      <w:lvlText w:val="o"/>
      <w:lvlJc w:val="left"/>
      <w:pPr>
        <w:ind w:left="3600" w:hanging="360"/>
      </w:pPr>
      <w:rPr>
        <w:rFonts w:ascii="Courier New" w:hAnsi="Courier New" w:cs="Courier New" w:hint="default"/>
      </w:rPr>
    </w:lvl>
    <w:lvl w:ilvl="5" w:tplc="9180798E" w:tentative="1">
      <w:start w:val="1"/>
      <w:numFmt w:val="bullet"/>
      <w:lvlText w:val=""/>
      <w:lvlJc w:val="left"/>
      <w:pPr>
        <w:ind w:left="4320" w:hanging="360"/>
      </w:pPr>
      <w:rPr>
        <w:rFonts w:ascii="Wingdings" w:hAnsi="Wingdings" w:hint="default"/>
      </w:rPr>
    </w:lvl>
    <w:lvl w:ilvl="6" w:tplc="BDA625A8" w:tentative="1">
      <w:start w:val="1"/>
      <w:numFmt w:val="bullet"/>
      <w:lvlText w:val=""/>
      <w:lvlJc w:val="left"/>
      <w:pPr>
        <w:ind w:left="5040" w:hanging="360"/>
      </w:pPr>
      <w:rPr>
        <w:rFonts w:ascii="Symbol" w:hAnsi="Symbol" w:hint="default"/>
      </w:rPr>
    </w:lvl>
    <w:lvl w:ilvl="7" w:tplc="FB741F96" w:tentative="1">
      <w:start w:val="1"/>
      <w:numFmt w:val="bullet"/>
      <w:lvlText w:val="o"/>
      <w:lvlJc w:val="left"/>
      <w:pPr>
        <w:ind w:left="5760" w:hanging="360"/>
      </w:pPr>
      <w:rPr>
        <w:rFonts w:ascii="Courier New" w:hAnsi="Courier New" w:cs="Courier New" w:hint="default"/>
      </w:rPr>
    </w:lvl>
    <w:lvl w:ilvl="8" w:tplc="1F046580" w:tentative="1">
      <w:start w:val="1"/>
      <w:numFmt w:val="bullet"/>
      <w:lvlText w:val=""/>
      <w:lvlJc w:val="left"/>
      <w:pPr>
        <w:ind w:left="6480" w:hanging="360"/>
      </w:pPr>
      <w:rPr>
        <w:rFonts w:ascii="Wingdings" w:hAnsi="Wingdings" w:hint="default"/>
      </w:rPr>
    </w:lvl>
  </w:abstractNum>
  <w:abstractNum w:abstractNumId="90">
    <w:nsid w:val="7B023F4F"/>
    <w:multiLevelType w:val="hybridMultilevel"/>
    <w:tmpl w:val="574A26D0"/>
    <w:lvl w:ilvl="0" w:tplc="1F320D42">
      <w:start w:val="1"/>
      <w:numFmt w:val="bullet"/>
      <w:lvlText w:val="-"/>
      <w:lvlJc w:val="left"/>
      <w:pPr>
        <w:ind w:left="360" w:hanging="360"/>
      </w:pPr>
      <w:rPr>
        <w:rFonts w:ascii="Arial" w:eastAsia="Times New Roman" w:hAnsi="Arial" w:hint="default"/>
      </w:rPr>
    </w:lvl>
    <w:lvl w:ilvl="1" w:tplc="2206B282" w:tentative="1">
      <w:start w:val="1"/>
      <w:numFmt w:val="bullet"/>
      <w:lvlText w:val="o"/>
      <w:lvlJc w:val="left"/>
      <w:pPr>
        <w:ind w:left="1080" w:hanging="360"/>
      </w:pPr>
      <w:rPr>
        <w:rFonts w:ascii="Courier New" w:hAnsi="Courier New" w:cs="Courier New" w:hint="default"/>
      </w:rPr>
    </w:lvl>
    <w:lvl w:ilvl="2" w:tplc="9AA4FE16" w:tentative="1">
      <w:start w:val="1"/>
      <w:numFmt w:val="bullet"/>
      <w:lvlText w:val=""/>
      <w:lvlJc w:val="left"/>
      <w:pPr>
        <w:ind w:left="1800" w:hanging="360"/>
      </w:pPr>
      <w:rPr>
        <w:rFonts w:ascii="Wingdings" w:hAnsi="Wingdings" w:hint="default"/>
      </w:rPr>
    </w:lvl>
    <w:lvl w:ilvl="3" w:tplc="208AC0AE" w:tentative="1">
      <w:start w:val="1"/>
      <w:numFmt w:val="bullet"/>
      <w:lvlText w:val=""/>
      <w:lvlJc w:val="left"/>
      <w:pPr>
        <w:ind w:left="2520" w:hanging="360"/>
      </w:pPr>
      <w:rPr>
        <w:rFonts w:ascii="Symbol" w:hAnsi="Symbol" w:hint="default"/>
      </w:rPr>
    </w:lvl>
    <w:lvl w:ilvl="4" w:tplc="7D2EBBDA" w:tentative="1">
      <w:start w:val="1"/>
      <w:numFmt w:val="bullet"/>
      <w:lvlText w:val="o"/>
      <w:lvlJc w:val="left"/>
      <w:pPr>
        <w:ind w:left="3240" w:hanging="360"/>
      </w:pPr>
      <w:rPr>
        <w:rFonts w:ascii="Courier New" w:hAnsi="Courier New" w:cs="Courier New" w:hint="default"/>
      </w:rPr>
    </w:lvl>
    <w:lvl w:ilvl="5" w:tplc="42A65B48" w:tentative="1">
      <w:start w:val="1"/>
      <w:numFmt w:val="bullet"/>
      <w:lvlText w:val=""/>
      <w:lvlJc w:val="left"/>
      <w:pPr>
        <w:ind w:left="3960" w:hanging="360"/>
      </w:pPr>
      <w:rPr>
        <w:rFonts w:ascii="Wingdings" w:hAnsi="Wingdings" w:hint="default"/>
      </w:rPr>
    </w:lvl>
    <w:lvl w:ilvl="6" w:tplc="41E43A20" w:tentative="1">
      <w:start w:val="1"/>
      <w:numFmt w:val="bullet"/>
      <w:lvlText w:val=""/>
      <w:lvlJc w:val="left"/>
      <w:pPr>
        <w:ind w:left="4680" w:hanging="360"/>
      </w:pPr>
      <w:rPr>
        <w:rFonts w:ascii="Symbol" w:hAnsi="Symbol" w:hint="default"/>
      </w:rPr>
    </w:lvl>
    <w:lvl w:ilvl="7" w:tplc="5D38BCDE" w:tentative="1">
      <w:start w:val="1"/>
      <w:numFmt w:val="bullet"/>
      <w:lvlText w:val="o"/>
      <w:lvlJc w:val="left"/>
      <w:pPr>
        <w:ind w:left="5400" w:hanging="360"/>
      </w:pPr>
      <w:rPr>
        <w:rFonts w:ascii="Courier New" w:hAnsi="Courier New" w:cs="Courier New" w:hint="default"/>
      </w:rPr>
    </w:lvl>
    <w:lvl w:ilvl="8" w:tplc="033A121E" w:tentative="1">
      <w:start w:val="1"/>
      <w:numFmt w:val="bullet"/>
      <w:lvlText w:val=""/>
      <w:lvlJc w:val="left"/>
      <w:pPr>
        <w:ind w:left="6120" w:hanging="360"/>
      </w:pPr>
      <w:rPr>
        <w:rFonts w:ascii="Wingdings" w:hAnsi="Wingdings" w:hint="default"/>
      </w:rPr>
    </w:lvl>
  </w:abstractNum>
  <w:num w:numId="1">
    <w:abstractNumId w:val="15"/>
  </w:num>
  <w:num w:numId="2">
    <w:abstractNumId w:val="50"/>
  </w:num>
  <w:num w:numId="3">
    <w:abstractNumId w:val="73"/>
  </w:num>
  <w:num w:numId="4">
    <w:abstractNumId w:val="42"/>
  </w:num>
  <w:num w:numId="5">
    <w:abstractNumId w:val="12"/>
  </w:num>
  <w:num w:numId="6">
    <w:abstractNumId w:val="51"/>
  </w:num>
  <w:num w:numId="7">
    <w:abstractNumId w:val="14"/>
  </w:num>
  <w:num w:numId="8">
    <w:abstractNumId w:val="38"/>
  </w:num>
  <w:num w:numId="9">
    <w:abstractNumId w:val="13"/>
  </w:num>
  <w:num w:numId="10">
    <w:abstractNumId w:val="8"/>
  </w:num>
  <w:num w:numId="11">
    <w:abstractNumId w:val="85"/>
  </w:num>
  <w:num w:numId="12">
    <w:abstractNumId w:val="35"/>
  </w:num>
  <w:num w:numId="13">
    <w:abstractNumId w:val="71"/>
  </w:num>
  <w:num w:numId="14">
    <w:abstractNumId w:val="31"/>
  </w:num>
  <w:num w:numId="15">
    <w:abstractNumId w:val="83"/>
  </w:num>
  <w:num w:numId="16">
    <w:abstractNumId w:val="4"/>
  </w:num>
  <w:num w:numId="17">
    <w:abstractNumId w:val="22"/>
  </w:num>
  <w:num w:numId="18">
    <w:abstractNumId w:val="40"/>
  </w:num>
  <w:num w:numId="19">
    <w:abstractNumId w:val="46"/>
  </w:num>
  <w:num w:numId="20">
    <w:abstractNumId w:val="37"/>
  </w:num>
  <w:num w:numId="21">
    <w:abstractNumId w:val="53"/>
  </w:num>
  <w:num w:numId="22">
    <w:abstractNumId w:val="17"/>
  </w:num>
  <w:num w:numId="23">
    <w:abstractNumId w:val="36"/>
  </w:num>
  <w:num w:numId="24">
    <w:abstractNumId w:val="67"/>
  </w:num>
  <w:num w:numId="25">
    <w:abstractNumId w:val="20"/>
  </w:num>
  <w:num w:numId="26">
    <w:abstractNumId w:val="79"/>
  </w:num>
  <w:num w:numId="27">
    <w:abstractNumId w:val="19"/>
  </w:num>
  <w:num w:numId="28">
    <w:abstractNumId w:val="89"/>
  </w:num>
  <w:num w:numId="29">
    <w:abstractNumId w:val="77"/>
  </w:num>
  <w:num w:numId="30">
    <w:abstractNumId w:val="29"/>
  </w:num>
  <w:num w:numId="31">
    <w:abstractNumId w:val="25"/>
  </w:num>
  <w:num w:numId="32">
    <w:abstractNumId w:val="28"/>
  </w:num>
  <w:num w:numId="33">
    <w:abstractNumId w:val="23"/>
  </w:num>
  <w:num w:numId="34">
    <w:abstractNumId w:val="64"/>
  </w:num>
  <w:num w:numId="35">
    <w:abstractNumId w:val="41"/>
  </w:num>
  <w:num w:numId="36">
    <w:abstractNumId w:val="57"/>
  </w:num>
  <w:num w:numId="37">
    <w:abstractNumId w:val="87"/>
  </w:num>
  <w:num w:numId="38">
    <w:abstractNumId w:val="0"/>
  </w:num>
  <w:num w:numId="39">
    <w:abstractNumId w:val="86"/>
  </w:num>
  <w:num w:numId="40">
    <w:abstractNumId w:val="81"/>
  </w:num>
  <w:num w:numId="41">
    <w:abstractNumId w:val="59"/>
  </w:num>
  <w:num w:numId="42">
    <w:abstractNumId w:val="66"/>
  </w:num>
  <w:num w:numId="43">
    <w:abstractNumId w:val="44"/>
  </w:num>
  <w:num w:numId="44">
    <w:abstractNumId w:val="47"/>
  </w:num>
  <w:num w:numId="45">
    <w:abstractNumId w:val="7"/>
  </w:num>
  <w:num w:numId="46">
    <w:abstractNumId w:val="88"/>
  </w:num>
  <w:num w:numId="47">
    <w:abstractNumId w:val="80"/>
  </w:num>
  <w:num w:numId="48">
    <w:abstractNumId w:val="48"/>
  </w:num>
  <w:num w:numId="49">
    <w:abstractNumId w:val="62"/>
  </w:num>
  <w:num w:numId="50">
    <w:abstractNumId w:val="58"/>
  </w:num>
  <w:num w:numId="51">
    <w:abstractNumId w:val="6"/>
  </w:num>
  <w:num w:numId="52">
    <w:abstractNumId w:val="24"/>
  </w:num>
  <w:num w:numId="53">
    <w:abstractNumId w:val="61"/>
  </w:num>
  <w:num w:numId="54">
    <w:abstractNumId w:val="21"/>
  </w:num>
  <w:num w:numId="55">
    <w:abstractNumId w:val="10"/>
  </w:num>
  <w:num w:numId="56">
    <w:abstractNumId w:val="49"/>
  </w:num>
  <w:num w:numId="57">
    <w:abstractNumId w:val="39"/>
  </w:num>
  <w:num w:numId="58">
    <w:abstractNumId w:val="63"/>
  </w:num>
  <w:num w:numId="59">
    <w:abstractNumId w:val="5"/>
  </w:num>
  <w:num w:numId="60">
    <w:abstractNumId w:val="45"/>
  </w:num>
  <w:num w:numId="61">
    <w:abstractNumId w:val="69"/>
  </w:num>
  <w:num w:numId="62">
    <w:abstractNumId w:val="9"/>
  </w:num>
  <w:num w:numId="63">
    <w:abstractNumId w:val="55"/>
  </w:num>
  <w:num w:numId="64">
    <w:abstractNumId w:val="1"/>
  </w:num>
  <w:num w:numId="65">
    <w:abstractNumId w:val="32"/>
  </w:num>
  <w:num w:numId="66">
    <w:abstractNumId w:val="16"/>
  </w:num>
  <w:num w:numId="67">
    <w:abstractNumId w:val="30"/>
  </w:num>
  <w:num w:numId="68">
    <w:abstractNumId w:val="84"/>
  </w:num>
  <w:num w:numId="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num>
  <w:num w:numId="71">
    <w:abstractNumId w:val="68"/>
  </w:num>
  <w:num w:numId="72">
    <w:abstractNumId w:val="82"/>
  </w:num>
  <w:num w:numId="73">
    <w:abstractNumId w:val="2"/>
  </w:num>
  <w:num w:numId="74">
    <w:abstractNumId w:val="60"/>
  </w:num>
  <w:num w:numId="75">
    <w:abstractNumId w:val="65"/>
  </w:num>
  <w:num w:numId="76">
    <w:abstractNumId w:val="52"/>
  </w:num>
  <w:num w:numId="77">
    <w:abstractNumId w:val="27"/>
  </w:num>
  <w:num w:numId="78">
    <w:abstractNumId w:val="70"/>
  </w:num>
  <w:num w:numId="79">
    <w:abstractNumId w:val="11"/>
  </w:num>
  <w:num w:numId="80">
    <w:abstractNumId w:val="78"/>
  </w:num>
  <w:num w:numId="81">
    <w:abstractNumId w:val="3"/>
  </w:num>
  <w:num w:numId="82">
    <w:abstractNumId w:val="33"/>
  </w:num>
  <w:num w:numId="83">
    <w:abstractNumId w:val="56"/>
  </w:num>
  <w:num w:numId="84">
    <w:abstractNumId w:val="74"/>
  </w:num>
  <w:num w:numId="85">
    <w:abstractNumId w:val="18"/>
    <w:lvlOverride w:ilvl="0">
      <w:startOverride w:val="1"/>
    </w:lvlOverride>
    <w:lvlOverride w:ilvl="1"/>
    <w:lvlOverride w:ilvl="2"/>
    <w:lvlOverride w:ilvl="3"/>
    <w:lvlOverride w:ilvl="4"/>
    <w:lvlOverride w:ilvl="5"/>
    <w:lvlOverride w:ilvl="6"/>
    <w:lvlOverride w:ilvl="7"/>
    <w:lvlOverride w:ilvl="8"/>
  </w:num>
  <w:num w:numId="86">
    <w:abstractNumId w:val="26"/>
    <w:lvlOverride w:ilvl="0">
      <w:startOverride w:val="1"/>
    </w:lvlOverride>
    <w:lvlOverride w:ilvl="1"/>
    <w:lvlOverride w:ilvl="2"/>
    <w:lvlOverride w:ilvl="3"/>
    <w:lvlOverride w:ilvl="4"/>
    <w:lvlOverride w:ilvl="5"/>
    <w:lvlOverride w:ilvl="6"/>
    <w:lvlOverride w:ilvl="7"/>
    <w:lvlOverride w:ilvl="8"/>
  </w:num>
  <w:num w:numId="87">
    <w:abstractNumId w:val="43"/>
  </w:num>
  <w:num w:numId="88">
    <w:abstractNumId w:val="34"/>
  </w:num>
  <w:num w:numId="89">
    <w:abstractNumId w:val="72"/>
  </w:num>
  <w:num w:numId="90">
    <w:abstractNumId w:val="90"/>
  </w:num>
  <w:num w:numId="91">
    <w:abstractNumId w:val="5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FE71EE2-13D8-420C-A796-C07E84AC987A}"/>
    <w:docVar w:name="dgnword-eventsink" w:val="95659352"/>
    <w:docVar w:name="SourceLng" w:val="eng"/>
    <w:docVar w:name="TargetLng" w:val="spa"/>
    <w:docVar w:name="TermBases" w:val="Empty"/>
    <w:docVar w:name="TermBaseURL" w:val="empty"/>
    <w:docVar w:name="TextBases" w:val="WorkspaceSTS\EN-ES\Budget and Finance\Meetings"/>
    <w:docVar w:name="TextBaseURL" w:val="empty"/>
    <w:docVar w:name="UILng" w:val="en"/>
  </w:docVars>
  <w:rsids>
    <w:rsidRoot w:val="00E06140"/>
    <w:rsid w:val="00001EB4"/>
    <w:rsid w:val="00011C5F"/>
    <w:rsid w:val="00014897"/>
    <w:rsid w:val="00017255"/>
    <w:rsid w:val="00020026"/>
    <w:rsid w:val="000247D9"/>
    <w:rsid w:val="00024E11"/>
    <w:rsid w:val="000250A9"/>
    <w:rsid w:val="00026111"/>
    <w:rsid w:val="00041E08"/>
    <w:rsid w:val="00045403"/>
    <w:rsid w:val="000507A1"/>
    <w:rsid w:val="00054EC8"/>
    <w:rsid w:val="000557C0"/>
    <w:rsid w:val="000562B1"/>
    <w:rsid w:val="00056666"/>
    <w:rsid w:val="000641E0"/>
    <w:rsid w:val="00064A0D"/>
    <w:rsid w:val="00064F86"/>
    <w:rsid w:val="00066C4E"/>
    <w:rsid w:val="00075B8D"/>
    <w:rsid w:val="0008543B"/>
    <w:rsid w:val="0009653B"/>
    <w:rsid w:val="000A13D2"/>
    <w:rsid w:val="000A49D1"/>
    <w:rsid w:val="000A4C66"/>
    <w:rsid w:val="000B18D9"/>
    <w:rsid w:val="000C596D"/>
    <w:rsid w:val="000D2171"/>
    <w:rsid w:val="000D4010"/>
    <w:rsid w:val="000D692C"/>
    <w:rsid w:val="000F1033"/>
    <w:rsid w:val="000F2E30"/>
    <w:rsid w:val="001018EC"/>
    <w:rsid w:val="00103E47"/>
    <w:rsid w:val="00107F6C"/>
    <w:rsid w:val="00114737"/>
    <w:rsid w:val="0011734B"/>
    <w:rsid w:val="0012317F"/>
    <w:rsid w:val="00124EC3"/>
    <w:rsid w:val="00127ECC"/>
    <w:rsid w:val="00131910"/>
    <w:rsid w:val="00135910"/>
    <w:rsid w:val="00147C6A"/>
    <w:rsid w:val="0015222C"/>
    <w:rsid w:val="00154FED"/>
    <w:rsid w:val="0016160D"/>
    <w:rsid w:val="001619CB"/>
    <w:rsid w:val="00162222"/>
    <w:rsid w:val="001642EB"/>
    <w:rsid w:val="0017006B"/>
    <w:rsid w:val="001778FF"/>
    <w:rsid w:val="00177A32"/>
    <w:rsid w:val="00183896"/>
    <w:rsid w:val="00183EF2"/>
    <w:rsid w:val="00184A5B"/>
    <w:rsid w:val="00190516"/>
    <w:rsid w:val="001920BB"/>
    <w:rsid w:val="00197073"/>
    <w:rsid w:val="00197B61"/>
    <w:rsid w:val="00197F6D"/>
    <w:rsid w:val="001A22E9"/>
    <w:rsid w:val="001A2871"/>
    <w:rsid w:val="001A7B27"/>
    <w:rsid w:val="001A7B96"/>
    <w:rsid w:val="001B0165"/>
    <w:rsid w:val="001B6AC7"/>
    <w:rsid w:val="001C3A70"/>
    <w:rsid w:val="001C3E3B"/>
    <w:rsid w:val="001C5AAB"/>
    <w:rsid w:val="001D043A"/>
    <w:rsid w:val="001D1A5B"/>
    <w:rsid w:val="001D683B"/>
    <w:rsid w:val="001D7B21"/>
    <w:rsid w:val="001E182E"/>
    <w:rsid w:val="001E2B60"/>
    <w:rsid w:val="001E2F41"/>
    <w:rsid w:val="001E2FBA"/>
    <w:rsid w:val="001E5AA6"/>
    <w:rsid w:val="001E79B3"/>
    <w:rsid w:val="001E7DB7"/>
    <w:rsid w:val="001F2211"/>
    <w:rsid w:val="001F46A1"/>
    <w:rsid w:val="001F6F30"/>
    <w:rsid w:val="00200608"/>
    <w:rsid w:val="00203BB6"/>
    <w:rsid w:val="00206D95"/>
    <w:rsid w:val="0021545B"/>
    <w:rsid w:val="00241B99"/>
    <w:rsid w:val="00245196"/>
    <w:rsid w:val="00246125"/>
    <w:rsid w:val="00246E4B"/>
    <w:rsid w:val="002511F7"/>
    <w:rsid w:val="00252D3E"/>
    <w:rsid w:val="00252F46"/>
    <w:rsid w:val="00253396"/>
    <w:rsid w:val="00253889"/>
    <w:rsid w:val="00260D6C"/>
    <w:rsid w:val="0026129A"/>
    <w:rsid w:val="00261747"/>
    <w:rsid w:val="002618BA"/>
    <w:rsid w:val="00263BBF"/>
    <w:rsid w:val="00264B47"/>
    <w:rsid w:val="00265CD9"/>
    <w:rsid w:val="00267DA6"/>
    <w:rsid w:val="00272AB9"/>
    <w:rsid w:val="002745AE"/>
    <w:rsid w:val="00276188"/>
    <w:rsid w:val="002770F6"/>
    <w:rsid w:val="00277113"/>
    <w:rsid w:val="0028143B"/>
    <w:rsid w:val="0028326E"/>
    <w:rsid w:val="00284400"/>
    <w:rsid w:val="00285A82"/>
    <w:rsid w:val="00286B53"/>
    <w:rsid w:val="00287F7A"/>
    <w:rsid w:val="00290A67"/>
    <w:rsid w:val="0029126D"/>
    <w:rsid w:val="00293A53"/>
    <w:rsid w:val="00295F6E"/>
    <w:rsid w:val="00296AD4"/>
    <w:rsid w:val="00296EB1"/>
    <w:rsid w:val="002A7E3D"/>
    <w:rsid w:val="002B1855"/>
    <w:rsid w:val="002B56D9"/>
    <w:rsid w:val="002B591B"/>
    <w:rsid w:val="002B6892"/>
    <w:rsid w:val="002D0B71"/>
    <w:rsid w:val="002E2C9D"/>
    <w:rsid w:val="002E726D"/>
    <w:rsid w:val="002F7C6E"/>
    <w:rsid w:val="003024FE"/>
    <w:rsid w:val="00304B72"/>
    <w:rsid w:val="0030737C"/>
    <w:rsid w:val="0031679E"/>
    <w:rsid w:val="00321A03"/>
    <w:rsid w:val="003230BA"/>
    <w:rsid w:val="003242C1"/>
    <w:rsid w:val="00324C1F"/>
    <w:rsid w:val="00332758"/>
    <w:rsid w:val="00334845"/>
    <w:rsid w:val="00334BCF"/>
    <w:rsid w:val="00351D1F"/>
    <w:rsid w:val="0036145F"/>
    <w:rsid w:val="00367216"/>
    <w:rsid w:val="003709B3"/>
    <w:rsid w:val="00372762"/>
    <w:rsid w:val="00380F05"/>
    <w:rsid w:val="00385149"/>
    <w:rsid w:val="003871F4"/>
    <w:rsid w:val="00391D6B"/>
    <w:rsid w:val="003924AC"/>
    <w:rsid w:val="00392742"/>
    <w:rsid w:val="00392DEF"/>
    <w:rsid w:val="00396C5F"/>
    <w:rsid w:val="003A0F05"/>
    <w:rsid w:val="003A4C55"/>
    <w:rsid w:val="003A53BE"/>
    <w:rsid w:val="003B28C6"/>
    <w:rsid w:val="003B2DF6"/>
    <w:rsid w:val="003D22E6"/>
    <w:rsid w:val="003D7680"/>
    <w:rsid w:val="003E2E2D"/>
    <w:rsid w:val="003E3F45"/>
    <w:rsid w:val="003E63B6"/>
    <w:rsid w:val="003F0C33"/>
    <w:rsid w:val="003F11A0"/>
    <w:rsid w:val="003F5639"/>
    <w:rsid w:val="003F5E06"/>
    <w:rsid w:val="00400B0C"/>
    <w:rsid w:val="00400CAF"/>
    <w:rsid w:val="00410EF1"/>
    <w:rsid w:val="004118C0"/>
    <w:rsid w:val="00414A1F"/>
    <w:rsid w:val="004251AC"/>
    <w:rsid w:val="00435EE7"/>
    <w:rsid w:val="00442F46"/>
    <w:rsid w:val="004441AA"/>
    <w:rsid w:val="004459E3"/>
    <w:rsid w:val="00446A34"/>
    <w:rsid w:val="00460178"/>
    <w:rsid w:val="00461474"/>
    <w:rsid w:val="00472839"/>
    <w:rsid w:val="004847AD"/>
    <w:rsid w:val="00495D7C"/>
    <w:rsid w:val="004A079B"/>
    <w:rsid w:val="004A3DB2"/>
    <w:rsid w:val="004A7D14"/>
    <w:rsid w:val="004B0FC4"/>
    <w:rsid w:val="004B3E68"/>
    <w:rsid w:val="004B47EB"/>
    <w:rsid w:val="004B685C"/>
    <w:rsid w:val="004C0FD5"/>
    <w:rsid w:val="004C2A49"/>
    <w:rsid w:val="004C3413"/>
    <w:rsid w:val="004C40E6"/>
    <w:rsid w:val="004D0911"/>
    <w:rsid w:val="004D1A79"/>
    <w:rsid w:val="004D227D"/>
    <w:rsid w:val="004E328E"/>
    <w:rsid w:val="004E66DB"/>
    <w:rsid w:val="004F7424"/>
    <w:rsid w:val="005006DB"/>
    <w:rsid w:val="005163F2"/>
    <w:rsid w:val="00520ACA"/>
    <w:rsid w:val="00521622"/>
    <w:rsid w:val="00525604"/>
    <w:rsid w:val="00527233"/>
    <w:rsid w:val="005275D6"/>
    <w:rsid w:val="00531AAA"/>
    <w:rsid w:val="0053316D"/>
    <w:rsid w:val="00533335"/>
    <w:rsid w:val="0053403C"/>
    <w:rsid w:val="0053510A"/>
    <w:rsid w:val="00535610"/>
    <w:rsid w:val="005360EC"/>
    <w:rsid w:val="00536189"/>
    <w:rsid w:val="00536E54"/>
    <w:rsid w:val="00537926"/>
    <w:rsid w:val="00541444"/>
    <w:rsid w:val="00545936"/>
    <w:rsid w:val="00552977"/>
    <w:rsid w:val="00555CD4"/>
    <w:rsid w:val="00556042"/>
    <w:rsid w:val="005635FE"/>
    <w:rsid w:val="005678D5"/>
    <w:rsid w:val="00584235"/>
    <w:rsid w:val="00590BC7"/>
    <w:rsid w:val="005926AB"/>
    <w:rsid w:val="00593E07"/>
    <w:rsid w:val="005A0711"/>
    <w:rsid w:val="005A60A5"/>
    <w:rsid w:val="005B4C97"/>
    <w:rsid w:val="005D012C"/>
    <w:rsid w:val="005D2004"/>
    <w:rsid w:val="005D360F"/>
    <w:rsid w:val="005D6C69"/>
    <w:rsid w:val="005E0B63"/>
    <w:rsid w:val="005E41E4"/>
    <w:rsid w:val="005E68A3"/>
    <w:rsid w:val="005F2771"/>
    <w:rsid w:val="005F363A"/>
    <w:rsid w:val="005F5C69"/>
    <w:rsid w:val="0060755D"/>
    <w:rsid w:val="006139B0"/>
    <w:rsid w:val="00616418"/>
    <w:rsid w:val="0062381F"/>
    <w:rsid w:val="00624FF3"/>
    <w:rsid w:val="0062559C"/>
    <w:rsid w:val="006277CA"/>
    <w:rsid w:val="00630CED"/>
    <w:rsid w:val="0063701B"/>
    <w:rsid w:val="00640EF0"/>
    <w:rsid w:val="0064106B"/>
    <w:rsid w:val="00644168"/>
    <w:rsid w:val="00651312"/>
    <w:rsid w:val="0065614B"/>
    <w:rsid w:val="00656C09"/>
    <w:rsid w:val="00656ED0"/>
    <w:rsid w:val="006628FD"/>
    <w:rsid w:val="006649A3"/>
    <w:rsid w:val="00664F49"/>
    <w:rsid w:val="006702C1"/>
    <w:rsid w:val="00671E2B"/>
    <w:rsid w:val="00672C0F"/>
    <w:rsid w:val="00672EC3"/>
    <w:rsid w:val="00675CDF"/>
    <w:rsid w:val="00675CED"/>
    <w:rsid w:val="006943D7"/>
    <w:rsid w:val="006950AD"/>
    <w:rsid w:val="006A4B98"/>
    <w:rsid w:val="006B04E8"/>
    <w:rsid w:val="006B60DC"/>
    <w:rsid w:val="006B6785"/>
    <w:rsid w:val="006B742B"/>
    <w:rsid w:val="006C201F"/>
    <w:rsid w:val="006C30F5"/>
    <w:rsid w:val="006C4211"/>
    <w:rsid w:val="006C47AF"/>
    <w:rsid w:val="006D2CD8"/>
    <w:rsid w:val="006D3F12"/>
    <w:rsid w:val="006D45CB"/>
    <w:rsid w:val="006D50E3"/>
    <w:rsid w:val="006D60CB"/>
    <w:rsid w:val="006E5885"/>
    <w:rsid w:val="006E72E8"/>
    <w:rsid w:val="006F0C07"/>
    <w:rsid w:val="006F6342"/>
    <w:rsid w:val="0070179C"/>
    <w:rsid w:val="00701848"/>
    <w:rsid w:val="007038DA"/>
    <w:rsid w:val="00707FF0"/>
    <w:rsid w:val="00710724"/>
    <w:rsid w:val="00710F93"/>
    <w:rsid w:val="0071153F"/>
    <w:rsid w:val="00711C94"/>
    <w:rsid w:val="00711F36"/>
    <w:rsid w:val="00714D78"/>
    <w:rsid w:val="00727123"/>
    <w:rsid w:val="00730F86"/>
    <w:rsid w:val="00733827"/>
    <w:rsid w:val="0075571C"/>
    <w:rsid w:val="00760C50"/>
    <w:rsid w:val="00761C52"/>
    <w:rsid w:val="00763204"/>
    <w:rsid w:val="00763631"/>
    <w:rsid w:val="00772FCD"/>
    <w:rsid w:val="0077385A"/>
    <w:rsid w:val="00774086"/>
    <w:rsid w:val="00774C51"/>
    <w:rsid w:val="00775298"/>
    <w:rsid w:val="007761B5"/>
    <w:rsid w:val="0078038C"/>
    <w:rsid w:val="0078356F"/>
    <w:rsid w:val="00783C89"/>
    <w:rsid w:val="007862BE"/>
    <w:rsid w:val="007958FB"/>
    <w:rsid w:val="00796639"/>
    <w:rsid w:val="007A1C31"/>
    <w:rsid w:val="007A5D70"/>
    <w:rsid w:val="007A7B1E"/>
    <w:rsid w:val="007B16BD"/>
    <w:rsid w:val="007B28C2"/>
    <w:rsid w:val="007B541A"/>
    <w:rsid w:val="007C4A03"/>
    <w:rsid w:val="007C5F75"/>
    <w:rsid w:val="007C6719"/>
    <w:rsid w:val="007C75C2"/>
    <w:rsid w:val="007C7D55"/>
    <w:rsid w:val="007D14D3"/>
    <w:rsid w:val="007D3BBF"/>
    <w:rsid w:val="007D5C8A"/>
    <w:rsid w:val="007E07E4"/>
    <w:rsid w:val="007E4D96"/>
    <w:rsid w:val="007E5CF8"/>
    <w:rsid w:val="007F2148"/>
    <w:rsid w:val="007F44BE"/>
    <w:rsid w:val="007F6C07"/>
    <w:rsid w:val="00800175"/>
    <w:rsid w:val="00800D65"/>
    <w:rsid w:val="008018CA"/>
    <w:rsid w:val="008064DB"/>
    <w:rsid w:val="00820572"/>
    <w:rsid w:val="00820DE5"/>
    <w:rsid w:val="00820EBB"/>
    <w:rsid w:val="00824743"/>
    <w:rsid w:val="008353A2"/>
    <w:rsid w:val="00835784"/>
    <w:rsid w:val="00836B35"/>
    <w:rsid w:val="008372FC"/>
    <w:rsid w:val="0084061B"/>
    <w:rsid w:val="00841118"/>
    <w:rsid w:val="00841841"/>
    <w:rsid w:val="00843F7A"/>
    <w:rsid w:val="008471D5"/>
    <w:rsid w:val="00853209"/>
    <w:rsid w:val="00854440"/>
    <w:rsid w:val="00855095"/>
    <w:rsid w:val="0085509D"/>
    <w:rsid w:val="00855ECB"/>
    <w:rsid w:val="008570AF"/>
    <w:rsid w:val="00861368"/>
    <w:rsid w:val="008635F3"/>
    <w:rsid w:val="008663A6"/>
    <w:rsid w:val="008804AB"/>
    <w:rsid w:val="00891B82"/>
    <w:rsid w:val="008A1811"/>
    <w:rsid w:val="008A2492"/>
    <w:rsid w:val="008A4A33"/>
    <w:rsid w:val="008B18BE"/>
    <w:rsid w:val="008B24D7"/>
    <w:rsid w:val="008B330C"/>
    <w:rsid w:val="008B7A55"/>
    <w:rsid w:val="008C3076"/>
    <w:rsid w:val="008C44E3"/>
    <w:rsid w:val="008E38B2"/>
    <w:rsid w:val="008F2101"/>
    <w:rsid w:val="008F3EDE"/>
    <w:rsid w:val="008F626D"/>
    <w:rsid w:val="00900542"/>
    <w:rsid w:val="00902C5C"/>
    <w:rsid w:val="00905B45"/>
    <w:rsid w:val="00910203"/>
    <w:rsid w:val="009117FD"/>
    <w:rsid w:val="009124B0"/>
    <w:rsid w:val="00912D2D"/>
    <w:rsid w:val="00914D2E"/>
    <w:rsid w:val="00931A9F"/>
    <w:rsid w:val="009322B7"/>
    <w:rsid w:val="009344B7"/>
    <w:rsid w:val="0093758C"/>
    <w:rsid w:val="00942CC7"/>
    <w:rsid w:val="00942D5F"/>
    <w:rsid w:val="00944F69"/>
    <w:rsid w:val="00950FA5"/>
    <w:rsid w:val="009538A3"/>
    <w:rsid w:val="00956D28"/>
    <w:rsid w:val="00957F9C"/>
    <w:rsid w:val="009608F6"/>
    <w:rsid w:val="00974A1F"/>
    <w:rsid w:val="009760E1"/>
    <w:rsid w:val="00980476"/>
    <w:rsid w:val="00984773"/>
    <w:rsid w:val="009856E1"/>
    <w:rsid w:val="00985CA8"/>
    <w:rsid w:val="00987449"/>
    <w:rsid w:val="00991983"/>
    <w:rsid w:val="009931F5"/>
    <w:rsid w:val="009965E1"/>
    <w:rsid w:val="009979FA"/>
    <w:rsid w:val="009A247F"/>
    <w:rsid w:val="009A32D9"/>
    <w:rsid w:val="009B1238"/>
    <w:rsid w:val="009C0BDD"/>
    <w:rsid w:val="009C1648"/>
    <w:rsid w:val="009D2D32"/>
    <w:rsid w:val="009D3374"/>
    <w:rsid w:val="009D758F"/>
    <w:rsid w:val="009E0D38"/>
    <w:rsid w:val="009E5904"/>
    <w:rsid w:val="009F4808"/>
    <w:rsid w:val="009F48A4"/>
    <w:rsid w:val="00A00147"/>
    <w:rsid w:val="00A00262"/>
    <w:rsid w:val="00A029B0"/>
    <w:rsid w:val="00A0386A"/>
    <w:rsid w:val="00A0432B"/>
    <w:rsid w:val="00A04F47"/>
    <w:rsid w:val="00A07E83"/>
    <w:rsid w:val="00A07EDD"/>
    <w:rsid w:val="00A10560"/>
    <w:rsid w:val="00A10BC0"/>
    <w:rsid w:val="00A113F0"/>
    <w:rsid w:val="00A12B8F"/>
    <w:rsid w:val="00A1311A"/>
    <w:rsid w:val="00A1435B"/>
    <w:rsid w:val="00A14AC1"/>
    <w:rsid w:val="00A15349"/>
    <w:rsid w:val="00A243AD"/>
    <w:rsid w:val="00A25676"/>
    <w:rsid w:val="00A33040"/>
    <w:rsid w:val="00A34388"/>
    <w:rsid w:val="00A364D2"/>
    <w:rsid w:val="00A40807"/>
    <w:rsid w:val="00A45ECF"/>
    <w:rsid w:val="00A55D65"/>
    <w:rsid w:val="00A56EA0"/>
    <w:rsid w:val="00A6031C"/>
    <w:rsid w:val="00A6107A"/>
    <w:rsid w:val="00A62C14"/>
    <w:rsid w:val="00A65074"/>
    <w:rsid w:val="00A72F35"/>
    <w:rsid w:val="00A741D2"/>
    <w:rsid w:val="00A75BD1"/>
    <w:rsid w:val="00A91C43"/>
    <w:rsid w:val="00A9508D"/>
    <w:rsid w:val="00A9558A"/>
    <w:rsid w:val="00AA52AB"/>
    <w:rsid w:val="00AA5937"/>
    <w:rsid w:val="00AA6702"/>
    <w:rsid w:val="00AB3B16"/>
    <w:rsid w:val="00AC4651"/>
    <w:rsid w:val="00AC4839"/>
    <w:rsid w:val="00AC4B89"/>
    <w:rsid w:val="00AC76AA"/>
    <w:rsid w:val="00AD3592"/>
    <w:rsid w:val="00AD63E8"/>
    <w:rsid w:val="00AF14AE"/>
    <w:rsid w:val="00AF265D"/>
    <w:rsid w:val="00B00DB0"/>
    <w:rsid w:val="00B10441"/>
    <w:rsid w:val="00B217AA"/>
    <w:rsid w:val="00B2478A"/>
    <w:rsid w:val="00B263E7"/>
    <w:rsid w:val="00B3110E"/>
    <w:rsid w:val="00B31735"/>
    <w:rsid w:val="00B415B7"/>
    <w:rsid w:val="00B500FC"/>
    <w:rsid w:val="00B52447"/>
    <w:rsid w:val="00B55B7C"/>
    <w:rsid w:val="00B569A1"/>
    <w:rsid w:val="00B74D31"/>
    <w:rsid w:val="00B82AE0"/>
    <w:rsid w:val="00B84656"/>
    <w:rsid w:val="00B85165"/>
    <w:rsid w:val="00B85E82"/>
    <w:rsid w:val="00BA2D37"/>
    <w:rsid w:val="00BA4902"/>
    <w:rsid w:val="00BB0FC9"/>
    <w:rsid w:val="00BB2CC2"/>
    <w:rsid w:val="00BC008E"/>
    <w:rsid w:val="00BC3916"/>
    <w:rsid w:val="00BD2CB7"/>
    <w:rsid w:val="00BD586A"/>
    <w:rsid w:val="00BE2BAE"/>
    <w:rsid w:val="00BF0114"/>
    <w:rsid w:val="00C07504"/>
    <w:rsid w:val="00C10073"/>
    <w:rsid w:val="00C104AD"/>
    <w:rsid w:val="00C11AC0"/>
    <w:rsid w:val="00C12FC8"/>
    <w:rsid w:val="00C13FC7"/>
    <w:rsid w:val="00C14248"/>
    <w:rsid w:val="00C248A9"/>
    <w:rsid w:val="00C27999"/>
    <w:rsid w:val="00C304B5"/>
    <w:rsid w:val="00C32EAC"/>
    <w:rsid w:val="00C3506C"/>
    <w:rsid w:val="00C43D91"/>
    <w:rsid w:val="00C43D99"/>
    <w:rsid w:val="00C44150"/>
    <w:rsid w:val="00C4633D"/>
    <w:rsid w:val="00C4782F"/>
    <w:rsid w:val="00C535EB"/>
    <w:rsid w:val="00C636DC"/>
    <w:rsid w:val="00C638E1"/>
    <w:rsid w:val="00C6436B"/>
    <w:rsid w:val="00C67AE3"/>
    <w:rsid w:val="00C73C7A"/>
    <w:rsid w:val="00C749A1"/>
    <w:rsid w:val="00C7724D"/>
    <w:rsid w:val="00C818B4"/>
    <w:rsid w:val="00C82DCA"/>
    <w:rsid w:val="00C82E3B"/>
    <w:rsid w:val="00C83E24"/>
    <w:rsid w:val="00C84C97"/>
    <w:rsid w:val="00C947D8"/>
    <w:rsid w:val="00CB0549"/>
    <w:rsid w:val="00CC013D"/>
    <w:rsid w:val="00CC21B3"/>
    <w:rsid w:val="00CD0572"/>
    <w:rsid w:val="00CD2134"/>
    <w:rsid w:val="00CD5978"/>
    <w:rsid w:val="00CD60EB"/>
    <w:rsid w:val="00CE1561"/>
    <w:rsid w:val="00CE33B4"/>
    <w:rsid w:val="00CE3616"/>
    <w:rsid w:val="00CE5BC5"/>
    <w:rsid w:val="00CE7D4B"/>
    <w:rsid w:val="00CF5F1F"/>
    <w:rsid w:val="00D008A8"/>
    <w:rsid w:val="00D023E4"/>
    <w:rsid w:val="00D026D3"/>
    <w:rsid w:val="00D02C7F"/>
    <w:rsid w:val="00D1278E"/>
    <w:rsid w:val="00D14DF0"/>
    <w:rsid w:val="00D165DA"/>
    <w:rsid w:val="00D2238E"/>
    <w:rsid w:val="00D24583"/>
    <w:rsid w:val="00D350A8"/>
    <w:rsid w:val="00D3691A"/>
    <w:rsid w:val="00D41354"/>
    <w:rsid w:val="00D42C49"/>
    <w:rsid w:val="00D433B6"/>
    <w:rsid w:val="00D45267"/>
    <w:rsid w:val="00D45449"/>
    <w:rsid w:val="00D532DD"/>
    <w:rsid w:val="00D53B8B"/>
    <w:rsid w:val="00D53C24"/>
    <w:rsid w:val="00D55773"/>
    <w:rsid w:val="00D563D6"/>
    <w:rsid w:val="00D63FB3"/>
    <w:rsid w:val="00D66024"/>
    <w:rsid w:val="00D6763F"/>
    <w:rsid w:val="00D7137B"/>
    <w:rsid w:val="00D736B4"/>
    <w:rsid w:val="00D80FE9"/>
    <w:rsid w:val="00D82513"/>
    <w:rsid w:val="00D86EA5"/>
    <w:rsid w:val="00D90BF0"/>
    <w:rsid w:val="00DA1567"/>
    <w:rsid w:val="00DA158A"/>
    <w:rsid w:val="00DA1EF7"/>
    <w:rsid w:val="00DB2EB4"/>
    <w:rsid w:val="00DB7E03"/>
    <w:rsid w:val="00DC18C0"/>
    <w:rsid w:val="00DD3A9C"/>
    <w:rsid w:val="00DD3F69"/>
    <w:rsid w:val="00DE04D6"/>
    <w:rsid w:val="00DE34BB"/>
    <w:rsid w:val="00DE43D4"/>
    <w:rsid w:val="00DF1B32"/>
    <w:rsid w:val="00E06140"/>
    <w:rsid w:val="00E101E3"/>
    <w:rsid w:val="00E12D6D"/>
    <w:rsid w:val="00E2043B"/>
    <w:rsid w:val="00E210BB"/>
    <w:rsid w:val="00E22DF5"/>
    <w:rsid w:val="00E23C8F"/>
    <w:rsid w:val="00E32DB6"/>
    <w:rsid w:val="00E34147"/>
    <w:rsid w:val="00E36A30"/>
    <w:rsid w:val="00E40384"/>
    <w:rsid w:val="00E41B8D"/>
    <w:rsid w:val="00E42C44"/>
    <w:rsid w:val="00E52886"/>
    <w:rsid w:val="00E561F0"/>
    <w:rsid w:val="00E56D8A"/>
    <w:rsid w:val="00E71E20"/>
    <w:rsid w:val="00E924A6"/>
    <w:rsid w:val="00E93E10"/>
    <w:rsid w:val="00E94BEA"/>
    <w:rsid w:val="00E959DB"/>
    <w:rsid w:val="00EA008C"/>
    <w:rsid w:val="00EA3FA9"/>
    <w:rsid w:val="00EA68E3"/>
    <w:rsid w:val="00EB2A5D"/>
    <w:rsid w:val="00EB4B10"/>
    <w:rsid w:val="00EC446D"/>
    <w:rsid w:val="00EC6495"/>
    <w:rsid w:val="00ED08A5"/>
    <w:rsid w:val="00ED3F13"/>
    <w:rsid w:val="00EE2501"/>
    <w:rsid w:val="00EE2BB1"/>
    <w:rsid w:val="00EE5D1F"/>
    <w:rsid w:val="00EF4041"/>
    <w:rsid w:val="00EF64C2"/>
    <w:rsid w:val="00F125CB"/>
    <w:rsid w:val="00F134E3"/>
    <w:rsid w:val="00F14F99"/>
    <w:rsid w:val="00F17CD3"/>
    <w:rsid w:val="00F218E5"/>
    <w:rsid w:val="00F22326"/>
    <w:rsid w:val="00F34B17"/>
    <w:rsid w:val="00F35707"/>
    <w:rsid w:val="00F42332"/>
    <w:rsid w:val="00F47CF6"/>
    <w:rsid w:val="00F526D4"/>
    <w:rsid w:val="00F549B3"/>
    <w:rsid w:val="00F5618A"/>
    <w:rsid w:val="00F574B0"/>
    <w:rsid w:val="00F60CB3"/>
    <w:rsid w:val="00F6170D"/>
    <w:rsid w:val="00F64614"/>
    <w:rsid w:val="00F67777"/>
    <w:rsid w:val="00F67A7C"/>
    <w:rsid w:val="00F741D9"/>
    <w:rsid w:val="00F75655"/>
    <w:rsid w:val="00F76812"/>
    <w:rsid w:val="00F81B8F"/>
    <w:rsid w:val="00F8275D"/>
    <w:rsid w:val="00F83B81"/>
    <w:rsid w:val="00F83DCB"/>
    <w:rsid w:val="00F84293"/>
    <w:rsid w:val="00F84FE7"/>
    <w:rsid w:val="00F86CB6"/>
    <w:rsid w:val="00F90BD6"/>
    <w:rsid w:val="00F93DFF"/>
    <w:rsid w:val="00FA4443"/>
    <w:rsid w:val="00FB1D1B"/>
    <w:rsid w:val="00FB33B7"/>
    <w:rsid w:val="00FB3A1D"/>
    <w:rsid w:val="00FB51F1"/>
    <w:rsid w:val="00FB5722"/>
    <w:rsid w:val="00FB698D"/>
    <w:rsid w:val="00FB6997"/>
    <w:rsid w:val="00FB7D1E"/>
    <w:rsid w:val="00FC0D4D"/>
    <w:rsid w:val="00FC1498"/>
    <w:rsid w:val="00FC2ABB"/>
    <w:rsid w:val="00FD3806"/>
    <w:rsid w:val="00FD629B"/>
    <w:rsid w:val="00FD7A17"/>
    <w:rsid w:val="00FD7FA0"/>
    <w:rsid w:val="00FE3731"/>
    <w:rsid w:val="00FE6657"/>
    <w:rsid w:val="00FE709C"/>
    <w:rsid w:val="00FF0BCA"/>
    <w:rsid w:val="00FF125D"/>
    <w:rsid w:val="00FF25A8"/>
    <w:rsid w:val="00FF3077"/>
    <w:rsid w:val="00FF49CF"/>
    <w:rsid w:val="00FF7A9D"/>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1525FC"/>
    <w:pPr>
      <w:keepNext/>
      <w:numPr>
        <w:numId w:val="1"/>
      </w:numPr>
      <w:tabs>
        <w:tab w:val="clear" w:pos="3828"/>
        <w:tab w:val="left" w:pos="284"/>
      </w:tabs>
      <w:ind w:left="0" w:firstLine="0"/>
      <w:jc w:val="center"/>
      <w:outlineLvl w:val="0"/>
    </w:pPr>
    <w:rPr>
      <w:rFonts w:cs="Arial"/>
      <w:b/>
      <w:bCs/>
      <w:kern w:val="32"/>
      <w:sz w:val="22"/>
      <w:szCs w:val="32"/>
    </w:rPr>
  </w:style>
  <w:style w:type="paragraph" w:styleId="Heading2">
    <w:name w:val="heading 2"/>
    <w:basedOn w:val="Normal"/>
    <w:next w:val="Normal"/>
    <w:link w:val="Heading2Char"/>
    <w:qFormat/>
    <w:rsid w:val="00582788"/>
    <w:pPr>
      <w:keepNext/>
      <w:tabs>
        <w:tab w:val="left" w:pos="2268"/>
        <w:tab w:val="right" w:pos="9072"/>
      </w:tabs>
      <w:jc w:val="center"/>
      <w:outlineLvl w:val="1"/>
    </w:pPr>
    <w:rPr>
      <w:rFonts w:ascii="Arial Bold" w:hAnsi="Arial Bold" w:cs="Arial"/>
      <w:b/>
      <w:bCs/>
      <w:iCs/>
      <w:caps/>
      <w:szCs w:val="28"/>
    </w:rPr>
  </w:style>
  <w:style w:type="paragraph" w:styleId="Heading3">
    <w:name w:val="heading 3"/>
    <w:basedOn w:val="Normal"/>
    <w:next w:val="Normal"/>
    <w:link w:val="Heading3Char"/>
    <w:unhideWhenUsed/>
    <w:qFormat/>
    <w:rsid w:val="00305272"/>
    <w:pPr>
      <w:keepNext/>
      <w:keepLines/>
      <w:tabs>
        <w:tab w:val="left" w:pos="2268"/>
      </w:tabs>
      <w:ind w:left="2268" w:hanging="2268"/>
      <w:outlineLvl w:val="2"/>
    </w:pPr>
    <w:rPr>
      <w:rFonts w:ascii="Arial Bold" w:eastAsiaTheme="majorEastAsia" w:hAnsi="Arial Bold" w:cstheme="majorBidi"/>
      <w:b/>
      <w:bCs/>
      <w:caps/>
      <w:sz w:val="22"/>
    </w:rPr>
  </w:style>
  <w:style w:type="paragraph" w:styleId="Heading4">
    <w:name w:val="heading 4"/>
    <w:basedOn w:val="Normal"/>
    <w:next w:val="Normal"/>
    <w:link w:val="Heading4Char"/>
    <w:qFormat/>
    <w:rsid w:val="007343FE"/>
    <w:pPr>
      <w:keepNext/>
      <w:spacing w:before="120" w:after="60"/>
      <w:ind w:left="567" w:right="567"/>
      <w:jc w:val="center"/>
      <w:outlineLvl w:val="3"/>
    </w:pPr>
    <w:rPr>
      <w:rFonts w:ascii="Arial Bold" w:hAnsi="Arial Bold"/>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uiPriority w:val="59"/>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semiHidden/>
    <w:rsid w:val="007C76C9"/>
    <w:rPr>
      <w:szCs w:val="20"/>
    </w:rPr>
  </w:style>
  <w:style w:type="character" w:styleId="FootnoteReference">
    <w:name w:val="footnote reference"/>
    <w:rsid w:val="007C76C9"/>
    <w:rPr>
      <w:vertAlign w:val="superscript"/>
    </w:rPr>
  </w:style>
  <w:style w:type="paragraph" w:styleId="BalloonText">
    <w:name w:val="Balloon Text"/>
    <w:basedOn w:val="Normal"/>
    <w:link w:val="BalloonTextChar"/>
    <w:uiPriority w:val="99"/>
    <w:semiHidden/>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semiHidden/>
    <w:rsid w:val="00BE1EF6"/>
    <w:rPr>
      <w:sz w:val="16"/>
      <w:szCs w:val="16"/>
    </w:rPr>
  </w:style>
  <w:style w:type="paragraph" w:styleId="CommentText">
    <w:name w:val="annotation text"/>
    <w:basedOn w:val="Normal"/>
    <w:link w:val="CommentTextChar"/>
    <w:semiHidden/>
    <w:rsid w:val="00BE1EF6"/>
    <w:rPr>
      <w:szCs w:val="20"/>
    </w:rPr>
  </w:style>
  <w:style w:type="paragraph" w:styleId="CommentSubject">
    <w:name w:val="annotation subject"/>
    <w:basedOn w:val="CommentText"/>
    <w:next w:val="CommentText"/>
    <w:link w:val="CommentSubjectChar"/>
    <w:semiHidden/>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DA1567"/>
    <w:pPr>
      <w:tabs>
        <w:tab w:val="right" w:pos="9356"/>
      </w:tabs>
      <w:spacing w:before="240" w:after="120"/>
      <w:ind w:left="2552" w:right="284" w:hanging="2523"/>
    </w:pPr>
    <w:rPr>
      <w:rFonts w:ascii="Arial Bold" w:hAnsi="Arial Bold"/>
      <w:b/>
      <w:szCs w:val="20"/>
    </w:rPr>
  </w:style>
  <w:style w:type="paragraph" w:styleId="TOC1">
    <w:name w:val="toc 1"/>
    <w:basedOn w:val="Normal"/>
    <w:next w:val="Normal"/>
    <w:autoRedefine/>
    <w:uiPriority w:val="39"/>
    <w:qFormat/>
    <w:rsid w:val="008A725B"/>
    <w:pPr>
      <w:tabs>
        <w:tab w:val="left" w:pos="567"/>
        <w:tab w:val="right" w:pos="9356"/>
      </w:tabs>
      <w:spacing w:before="240" w:after="240"/>
      <w:ind w:left="567" w:hanging="567"/>
    </w:pPr>
    <w:rPr>
      <w:b/>
      <w:noProof/>
      <w:sz w:val="22"/>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semiHidden/>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035B75"/>
    <w:rPr>
      <w:rFonts w:ascii="Arial" w:hAnsi="Arial"/>
      <w:b/>
      <w:iCs/>
      <w:caps/>
      <w:szCs w:val="22"/>
    </w:rPr>
  </w:style>
  <w:style w:type="character" w:customStyle="1" w:styleId="FooterChar">
    <w:name w:val="Footer Char"/>
    <w:basedOn w:val="DefaultParagraphFont"/>
    <w:link w:val="Footer"/>
    <w:rsid w:val="00FC4F64"/>
    <w:rPr>
      <w:rFonts w:ascii="Arial" w:hAnsi="Arial"/>
      <w:szCs w:val="24"/>
    </w:rPr>
  </w:style>
  <w:style w:type="paragraph" w:styleId="TOC3">
    <w:name w:val="toc 3"/>
    <w:basedOn w:val="Normal"/>
    <w:next w:val="Normal"/>
    <w:autoRedefine/>
    <w:uiPriority w:val="39"/>
    <w:qFormat/>
    <w:rsid w:val="00FE709C"/>
    <w:pPr>
      <w:tabs>
        <w:tab w:val="left" w:pos="2268"/>
        <w:tab w:val="right" w:leader="dot" w:pos="9356"/>
      </w:tabs>
      <w:spacing w:before="120" w:after="120"/>
      <w:ind w:left="2268" w:right="1134" w:hanging="1701"/>
    </w:pPr>
  </w:style>
  <w:style w:type="character" w:customStyle="1" w:styleId="Heading3Char">
    <w:name w:val="Heading 3 Char"/>
    <w:basedOn w:val="DefaultParagraphFont"/>
    <w:link w:val="Heading3"/>
    <w:rsid w:val="00305272"/>
    <w:rPr>
      <w:rFonts w:ascii="Arial Bold" w:eastAsiaTheme="majorEastAsia" w:hAnsi="Arial Bold" w:cstheme="majorBidi"/>
      <w:b/>
      <w:bCs/>
      <w:caps/>
      <w:sz w:val="22"/>
      <w:szCs w:val="24"/>
    </w:rPr>
  </w:style>
  <w:style w:type="character" w:customStyle="1" w:styleId="st">
    <w:name w:val="st"/>
    <w:basedOn w:val="DefaultParagraphFont"/>
    <w:rsid w:val="008B3E53"/>
  </w:style>
  <w:style w:type="character" w:customStyle="1" w:styleId="CommentTextChar">
    <w:name w:val="Comment Text Char"/>
    <w:basedOn w:val="DefaultParagraphFont"/>
    <w:link w:val="CommentText"/>
    <w:semiHidden/>
    <w:rsid w:val="008B3E53"/>
    <w:rPr>
      <w:rFonts w:ascii="Arial" w:hAnsi="Arial"/>
    </w:rPr>
  </w:style>
  <w:style w:type="paragraph" w:customStyle="1" w:styleId="Style1">
    <w:name w:val="Style1"/>
    <w:basedOn w:val="Normal"/>
    <w:qFormat/>
    <w:rsid w:val="005660B2"/>
    <w:pPr>
      <w:numPr>
        <w:numId w:val="39"/>
      </w:numPr>
    </w:pPr>
  </w:style>
  <w:style w:type="paragraph" w:styleId="PlainText">
    <w:name w:val="Plain Text"/>
    <w:basedOn w:val="Normal"/>
    <w:link w:val="PlainTextChar"/>
    <w:uiPriority w:val="99"/>
    <w:unhideWhenUsed/>
    <w:rsid w:val="000B5438"/>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0B5438"/>
    <w:rPr>
      <w:rFonts w:ascii="Courier New" w:eastAsiaTheme="minorHAnsi" w:hAnsi="Courier New" w:cstheme="minorBidi"/>
      <w:sz w:val="22"/>
      <w:szCs w:val="21"/>
    </w:rPr>
  </w:style>
  <w:style w:type="paragraph" w:styleId="NoSpacing">
    <w:name w:val="No Spacing"/>
    <w:uiPriority w:val="1"/>
    <w:qFormat/>
    <w:rsid w:val="000B5438"/>
    <w:rPr>
      <w:rFonts w:asciiTheme="minorHAnsi" w:eastAsiaTheme="minorHAnsi" w:hAnsiTheme="minorHAnsi" w:cstheme="minorBidi"/>
      <w:sz w:val="22"/>
      <w:szCs w:val="22"/>
    </w:rPr>
  </w:style>
  <w:style w:type="paragraph" w:customStyle="1" w:styleId="CharCharCharChar2">
    <w:name w:val="Char Char Char Char2"/>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rFonts w:ascii="Arial" w:eastAsia="Times New Roman" w:hAnsi="Arial" w:cs="Arial"/>
      <w:bCs w:val="0"/>
      <w:iCs/>
      <w:caps w:val="0"/>
      <w:szCs w:val="22"/>
    </w:rPr>
  </w:style>
  <w:style w:type="character" w:customStyle="1" w:styleId="StyleHeading3ComplexItalicChar">
    <w:name w:val="Style Heading 3 + (Complex) Italic Char"/>
    <w:link w:val="StyleHeading3ComplexItalic"/>
    <w:rsid w:val="00121D79"/>
    <w:rPr>
      <w:rFonts w:ascii="Arial" w:hAnsi="Arial" w:cs="Arial"/>
      <w:b/>
      <w:iCs/>
      <w:caps/>
      <w:sz w:val="22"/>
      <w:szCs w:val="22"/>
    </w:rPr>
  </w:style>
  <w:style w:type="paragraph" w:customStyle="1" w:styleId="Test">
    <w:name w:val="Test"/>
    <w:basedOn w:val="Normal"/>
    <w:qFormat/>
    <w:rsid w:val="0078145B"/>
    <w:pPr>
      <w:numPr>
        <w:numId w:val="68"/>
      </w:numPr>
    </w:pPr>
    <w:rPr>
      <w:rFonts w:eastAsiaTheme="minorHAnsi"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rsid w:val="005703CF"/>
    <w:rPr>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rsid w:val="005703CF"/>
    <w:rPr>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rsid w:val="005703CF"/>
    <w:rPr>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70"/>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1"/>
    <w:basedOn w:val="Normal"/>
    <w:rsid w:val="005703CF"/>
    <w:pPr>
      <w:spacing w:after="160" w:line="240" w:lineRule="exact"/>
    </w:pPr>
    <w:rPr>
      <w:rFonts w:ascii="Verdana" w:hAnsi="Verdana"/>
      <w:szCs w:val="20"/>
      <w:lang w:val="en-GB"/>
    </w:rPr>
  </w:style>
  <w:style w:type="character" w:customStyle="1" w:styleId="CharChar1">
    <w:name w:val="Char Char1"/>
    <w:locked/>
    <w:rsid w:val="005703CF"/>
    <w:rPr>
      <w:rFonts w:ascii="Arial" w:hAnsi="Arial" w:cs="Times New Roman"/>
      <w:lang w:val="en-US" w:eastAsia="en-US" w:bidi="ar-SA"/>
    </w:rPr>
  </w:style>
  <w:style w:type="paragraph" w:customStyle="1" w:styleId="CarCar1">
    <w:name w:val="Car Car1"/>
    <w:basedOn w:val="Normal"/>
    <w:rsid w:val="005703CF"/>
    <w:pPr>
      <w:spacing w:after="160" w:line="240" w:lineRule="exact"/>
    </w:pPr>
    <w:rPr>
      <w:rFonts w:ascii="Verdana" w:hAnsi="Verdana"/>
      <w:szCs w:val="20"/>
      <w:lang w:val="en-GB"/>
    </w:rPr>
  </w:style>
  <w:style w:type="character" w:customStyle="1" w:styleId="CharChar21">
    <w:name w:val="Char Char21"/>
    <w:rsid w:val="005703CF"/>
    <w:rPr>
      <w:rFonts w:ascii="Arial" w:hAnsi="Arial"/>
      <w:lang w:val="en-US" w:eastAsia="en-US" w:bidi="ar-SA"/>
    </w:rPr>
  </w:style>
  <w:style w:type="character" w:customStyle="1" w:styleId="CharChar31">
    <w:name w:val="Char Char31"/>
    <w:rsid w:val="005703CF"/>
    <w:rPr>
      <w:rFonts w:ascii="Arial" w:hAnsi="Arial"/>
      <w:lang w:val="en-US" w:eastAsia="en-US" w:bidi="ar-SA"/>
    </w:rPr>
  </w:style>
  <w:style w:type="character" w:customStyle="1" w:styleId="CharChar41">
    <w:name w:val="Char Char41"/>
    <w:rsid w:val="005703CF"/>
    <w:rPr>
      <w:rFonts w:ascii="Arial" w:hAnsi="Arial"/>
      <w:lang w:val="en-US" w:eastAsia="en-US" w:bidi="ar-SA"/>
    </w:rPr>
  </w:style>
  <w:style w:type="character" w:customStyle="1" w:styleId="CharChar61">
    <w:name w:val="Char Char61"/>
    <w:rsid w:val="005703CF"/>
    <w:rPr>
      <w:rFonts w:ascii="Arial" w:hAnsi="Arial"/>
      <w:lang w:val="en-US" w:eastAsia="en-US" w:bidi="ar-SA"/>
    </w:rPr>
  </w:style>
  <w:style w:type="paragraph" w:customStyle="1" w:styleId="Char1">
    <w:name w:val="Char 字元 字元1"/>
    <w:basedOn w:val="Normal"/>
    <w:rsid w:val="005703CF"/>
    <w:pPr>
      <w:spacing w:after="160" w:line="240" w:lineRule="exact"/>
    </w:pPr>
    <w:rPr>
      <w:rFonts w:ascii="Verdana" w:eastAsia="PMingLiU" w:hAnsi="Verdana"/>
      <w:szCs w:val="20"/>
    </w:rPr>
  </w:style>
  <w:style w:type="character" w:customStyle="1" w:styleId="HeaderChar">
    <w:name w:val="Header Char"/>
    <w:link w:val="Header"/>
    <w:locked/>
    <w:rsid w:val="005703CF"/>
    <w:rPr>
      <w:rFonts w:ascii="Arial" w:hAnsi="Arial"/>
      <w:szCs w:val="24"/>
    </w:rPr>
  </w:style>
  <w:style w:type="table" w:customStyle="1" w:styleId="TableGrid1">
    <w:name w:val="Table Grid1"/>
    <w:basedOn w:val="TableNormal"/>
    <w:next w:val="TableGrid"/>
    <w:uiPriority w:val="59"/>
    <w:rsid w:val="00035F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343FE"/>
    <w:pPr>
      <w:keepLines/>
      <w:numPr>
        <w:numId w:val="0"/>
      </w:numPr>
      <w:tabs>
        <w:tab w:val="clear" w:pos="284"/>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rFonts w:eastAsiaTheme="minorHAnsi"/>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 w:type="paragraph" w:customStyle="1" w:styleId="Endofdocument-Annex">
    <w:name w:val="[End of document - Annex]"/>
    <w:basedOn w:val="Normal"/>
    <w:rsid w:val="00455C73"/>
    <w:pPr>
      <w:ind w:left="5534"/>
    </w:pPr>
    <w:rPr>
      <w:rFonts w:eastAsia="SimSun" w:cs="Arial"/>
      <w:sz w:val="22"/>
      <w:szCs w:val="20"/>
      <w:lang w:eastAsia="zh-CN"/>
    </w:rPr>
  </w:style>
  <w:style w:type="character" w:customStyle="1" w:styleId="Heading1Char">
    <w:name w:val="Heading 1 Char"/>
    <w:basedOn w:val="DefaultParagraphFont"/>
    <w:link w:val="Heading1"/>
    <w:rsid w:val="006277CA"/>
    <w:rPr>
      <w:rFonts w:ascii="Arial" w:hAnsi="Arial" w:cs="Arial"/>
      <w:b/>
      <w:bCs/>
      <w:kern w:val="32"/>
      <w:sz w:val="22"/>
      <w:szCs w:val="32"/>
    </w:rPr>
  </w:style>
  <w:style w:type="character" w:customStyle="1" w:styleId="BalloonTextChar">
    <w:name w:val="Balloon Text Char"/>
    <w:basedOn w:val="DefaultParagraphFont"/>
    <w:link w:val="BalloonText"/>
    <w:uiPriority w:val="99"/>
    <w:semiHidden/>
    <w:rsid w:val="006277CA"/>
    <w:rPr>
      <w:rFonts w:ascii="Tahoma" w:hAnsi="Tahoma" w:cs="Tahoma"/>
      <w:sz w:val="16"/>
      <w:szCs w:val="16"/>
    </w:rPr>
  </w:style>
  <w:style w:type="character" w:customStyle="1" w:styleId="Heading2Char">
    <w:name w:val="Heading 2 Char"/>
    <w:basedOn w:val="DefaultParagraphFont"/>
    <w:link w:val="Heading2"/>
    <w:rsid w:val="00C4782F"/>
    <w:rPr>
      <w:rFonts w:ascii="Arial Bold" w:hAnsi="Arial Bold" w:cs="Arial"/>
      <w:b/>
      <w:bCs/>
      <w:iCs/>
      <w:caps/>
      <w:szCs w:val="28"/>
    </w:rPr>
  </w:style>
  <w:style w:type="character" w:customStyle="1" w:styleId="Heading4Char">
    <w:name w:val="Heading 4 Char"/>
    <w:basedOn w:val="DefaultParagraphFont"/>
    <w:link w:val="Heading4"/>
    <w:rsid w:val="00A33040"/>
    <w:rPr>
      <w:rFonts w:ascii="Arial Bold" w:hAnsi="Arial Bold"/>
      <w:b/>
      <w:bCs/>
      <w:caps/>
      <w:szCs w:val="28"/>
    </w:rPr>
  </w:style>
  <w:style w:type="character" w:customStyle="1" w:styleId="BodyTextIndentChar">
    <w:name w:val="Body Text Indent Char"/>
    <w:basedOn w:val="DefaultParagraphFont"/>
    <w:link w:val="BodyTextIndent"/>
    <w:rsid w:val="00A33040"/>
    <w:rPr>
      <w:rFonts w:ascii="Arial" w:hAnsi="Arial"/>
    </w:rPr>
  </w:style>
  <w:style w:type="character" w:customStyle="1" w:styleId="CommentSubjectChar">
    <w:name w:val="Comment Subject Char"/>
    <w:basedOn w:val="CommentTextChar"/>
    <w:link w:val="CommentSubject"/>
    <w:semiHidden/>
    <w:rsid w:val="00A33040"/>
    <w:rPr>
      <w:rFonts w:ascii="Arial" w:hAnsi="Arial"/>
      <w:b/>
      <w:bCs/>
    </w:rPr>
  </w:style>
  <w:style w:type="character" w:customStyle="1" w:styleId="BodyText2Char">
    <w:name w:val="Body Text 2 Char"/>
    <w:basedOn w:val="DefaultParagraphFont"/>
    <w:link w:val="BodyText2"/>
    <w:rsid w:val="00A33040"/>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1525FC"/>
    <w:pPr>
      <w:keepNext/>
      <w:numPr>
        <w:numId w:val="1"/>
      </w:numPr>
      <w:tabs>
        <w:tab w:val="clear" w:pos="3828"/>
        <w:tab w:val="left" w:pos="284"/>
      </w:tabs>
      <w:ind w:left="0" w:firstLine="0"/>
      <w:jc w:val="center"/>
      <w:outlineLvl w:val="0"/>
    </w:pPr>
    <w:rPr>
      <w:rFonts w:cs="Arial"/>
      <w:b/>
      <w:bCs/>
      <w:kern w:val="32"/>
      <w:sz w:val="22"/>
      <w:szCs w:val="32"/>
    </w:rPr>
  </w:style>
  <w:style w:type="paragraph" w:styleId="Heading2">
    <w:name w:val="heading 2"/>
    <w:basedOn w:val="Normal"/>
    <w:next w:val="Normal"/>
    <w:link w:val="Heading2Char"/>
    <w:qFormat/>
    <w:rsid w:val="00582788"/>
    <w:pPr>
      <w:keepNext/>
      <w:tabs>
        <w:tab w:val="left" w:pos="2268"/>
        <w:tab w:val="right" w:pos="9072"/>
      </w:tabs>
      <w:jc w:val="center"/>
      <w:outlineLvl w:val="1"/>
    </w:pPr>
    <w:rPr>
      <w:rFonts w:ascii="Arial Bold" w:hAnsi="Arial Bold" w:cs="Arial"/>
      <w:b/>
      <w:bCs/>
      <w:iCs/>
      <w:caps/>
      <w:szCs w:val="28"/>
    </w:rPr>
  </w:style>
  <w:style w:type="paragraph" w:styleId="Heading3">
    <w:name w:val="heading 3"/>
    <w:basedOn w:val="Normal"/>
    <w:next w:val="Normal"/>
    <w:link w:val="Heading3Char"/>
    <w:unhideWhenUsed/>
    <w:qFormat/>
    <w:rsid w:val="00305272"/>
    <w:pPr>
      <w:keepNext/>
      <w:keepLines/>
      <w:tabs>
        <w:tab w:val="left" w:pos="2268"/>
      </w:tabs>
      <w:ind w:left="2268" w:hanging="2268"/>
      <w:outlineLvl w:val="2"/>
    </w:pPr>
    <w:rPr>
      <w:rFonts w:ascii="Arial Bold" w:eastAsiaTheme="majorEastAsia" w:hAnsi="Arial Bold" w:cstheme="majorBidi"/>
      <w:b/>
      <w:bCs/>
      <w:caps/>
      <w:sz w:val="22"/>
    </w:rPr>
  </w:style>
  <w:style w:type="paragraph" w:styleId="Heading4">
    <w:name w:val="heading 4"/>
    <w:basedOn w:val="Normal"/>
    <w:next w:val="Normal"/>
    <w:link w:val="Heading4Char"/>
    <w:qFormat/>
    <w:rsid w:val="007343FE"/>
    <w:pPr>
      <w:keepNext/>
      <w:spacing w:before="120" w:after="60"/>
      <w:ind w:left="567" w:right="567"/>
      <w:jc w:val="center"/>
      <w:outlineLvl w:val="3"/>
    </w:pPr>
    <w:rPr>
      <w:rFonts w:ascii="Arial Bold" w:hAnsi="Arial Bold"/>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uiPriority w:val="59"/>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semiHidden/>
    <w:rsid w:val="007C76C9"/>
    <w:rPr>
      <w:szCs w:val="20"/>
    </w:rPr>
  </w:style>
  <w:style w:type="character" w:styleId="FootnoteReference">
    <w:name w:val="footnote reference"/>
    <w:rsid w:val="007C76C9"/>
    <w:rPr>
      <w:vertAlign w:val="superscript"/>
    </w:rPr>
  </w:style>
  <w:style w:type="paragraph" w:styleId="BalloonText">
    <w:name w:val="Balloon Text"/>
    <w:basedOn w:val="Normal"/>
    <w:link w:val="BalloonTextChar"/>
    <w:uiPriority w:val="99"/>
    <w:semiHidden/>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semiHidden/>
    <w:rsid w:val="00BE1EF6"/>
    <w:rPr>
      <w:sz w:val="16"/>
      <w:szCs w:val="16"/>
    </w:rPr>
  </w:style>
  <w:style w:type="paragraph" w:styleId="CommentText">
    <w:name w:val="annotation text"/>
    <w:basedOn w:val="Normal"/>
    <w:link w:val="CommentTextChar"/>
    <w:semiHidden/>
    <w:rsid w:val="00BE1EF6"/>
    <w:rPr>
      <w:szCs w:val="20"/>
    </w:rPr>
  </w:style>
  <w:style w:type="paragraph" w:styleId="CommentSubject">
    <w:name w:val="annotation subject"/>
    <w:basedOn w:val="CommentText"/>
    <w:next w:val="CommentText"/>
    <w:link w:val="CommentSubjectChar"/>
    <w:semiHidden/>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DA1567"/>
    <w:pPr>
      <w:tabs>
        <w:tab w:val="right" w:pos="9356"/>
      </w:tabs>
      <w:spacing w:before="240" w:after="120"/>
      <w:ind w:left="2552" w:right="284" w:hanging="2523"/>
    </w:pPr>
    <w:rPr>
      <w:rFonts w:ascii="Arial Bold" w:hAnsi="Arial Bold"/>
      <w:b/>
      <w:szCs w:val="20"/>
    </w:rPr>
  </w:style>
  <w:style w:type="paragraph" w:styleId="TOC1">
    <w:name w:val="toc 1"/>
    <w:basedOn w:val="Normal"/>
    <w:next w:val="Normal"/>
    <w:autoRedefine/>
    <w:uiPriority w:val="39"/>
    <w:qFormat/>
    <w:rsid w:val="008A725B"/>
    <w:pPr>
      <w:tabs>
        <w:tab w:val="left" w:pos="567"/>
        <w:tab w:val="right" w:pos="9356"/>
      </w:tabs>
      <w:spacing w:before="240" w:after="240"/>
      <w:ind w:left="567" w:hanging="567"/>
    </w:pPr>
    <w:rPr>
      <w:b/>
      <w:noProof/>
      <w:sz w:val="22"/>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semiHidden/>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035B75"/>
    <w:rPr>
      <w:rFonts w:ascii="Arial" w:hAnsi="Arial"/>
      <w:b/>
      <w:iCs/>
      <w:caps/>
      <w:szCs w:val="22"/>
    </w:rPr>
  </w:style>
  <w:style w:type="character" w:customStyle="1" w:styleId="FooterChar">
    <w:name w:val="Footer Char"/>
    <w:basedOn w:val="DefaultParagraphFont"/>
    <w:link w:val="Footer"/>
    <w:rsid w:val="00FC4F64"/>
    <w:rPr>
      <w:rFonts w:ascii="Arial" w:hAnsi="Arial"/>
      <w:szCs w:val="24"/>
    </w:rPr>
  </w:style>
  <w:style w:type="paragraph" w:styleId="TOC3">
    <w:name w:val="toc 3"/>
    <w:basedOn w:val="Normal"/>
    <w:next w:val="Normal"/>
    <w:autoRedefine/>
    <w:uiPriority w:val="39"/>
    <w:qFormat/>
    <w:rsid w:val="00FE709C"/>
    <w:pPr>
      <w:tabs>
        <w:tab w:val="left" w:pos="2268"/>
        <w:tab w:val="right" w:leader="dot" w:pos="9356"/>
      </w:tabs>
      <w:spacing w:before="120" w:after="120"/>
      <w:ind w:left="2268" w:right="1134" w:hanging="1701"/>
    </w:pPr>
  </w:style>
  <w:style w:type="character" w:customStyle="1" w:styleId="Heading3Char">
    <w:name w:val="Heading 3 Char"/>
    <w:basedOn w:val="DefaultParagraphFont"/>
    <w:link w:val="Heading3"/>
    <w:rsid w:val="00305272"/>
    <w:rPr>
      <w:rFonts w:ascii="Arial Bold" w:eastAsiaTheme="majorEastAsia" w:hAnsi="Arial Bold" w:cstheme="majorBidi"/>
      <w:b/>
      <w:bCs/>
      <w:caps/>
      <w:sz w:val="22"/>
      <w:szCs w:val="24"/>
    </w:rPr>
  </w:style>
  <w:style w:type="character" w:customStyle="1" w:styleId="st">
    <w:name w:val="st"/>
    <w:basedOn w:val="DefaultParagraphFont"/>
    <w:rsid w:val="008B3E53"/>
  </w:style>
  <w:style w:type="character" w:customStyle="1" w:styleId="CommentTextChar">
    <w:name w:val="Comment Text Char"/>
    <w:basedOn w:val="DefaultParagraphFont"/>
    <w:link w:val="CommentText"/>
    <w:semiHidden/>
    <w:rsid w:val="008B3E53"/>
    <w:rPr>
      <w:rFonts w:ascii="Arial" w:hAnsi="Arial"/>
    </w:rPr>
  </w:style>
  <w:style w:type="paragraph" w:customStyle="1" w:styleId="Style1">
    <w:name w:val="Style1"/>
    <w:basedOn w:val="Normal"/>
    <w:qFormat/>
    <w:rsid w:val="005660B2"/>
    <w:pPr>
      <w:numPr>
        <w:numId w:val="39"/>
      </w:numPr>
    </w:pPr>
  </w:style>
  <w:style w:type="paragraph" w:styleId="PlainText">
    <w:name w:val="Plain Text"/>
    <w:basedOn w:val="Normal"/>
    <w:link w:val="PlainTextChar"/>
    <w:uiPriority w:val="99"/>
    <w:unhideWhenUsed/>
    <w:rsid w:val="000B5438"/>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0B5438"/>
    <w:rPr>
      <w:rFonts w:ascii="Courier New" w:eastAsiaTheme="minorHAnsi" w:hAnsi="Courier New" w:cstheme="minorBidi"/>
      <w:sz w:val="22"/>
      <w:szCs w:val="21"/>
    </w:rPr>
  </w:style>
  <w:style w:type="paragraph" w:styleId="NoSpacing">
    <w:name w:val="No Spacing"/>
    <w:uiPriority w:val="1"/>
    <w:qFormat/>
    <w:rsid w:val="000B5438"/>
    <w:rPr>
      <w:rFonts w:asciiTheme="minorHAnsi" w:eastAsiaTheme="minorHAnsi" w:hAnsiTheme="minorHAnsi" w:cstheme="minorBidi"/>
      <w:sz w:val="22"/>
      <w:szCs w:val="22"/>
    </w:rPr>
  </w:style>
  <w:style w:type="paragraph" w:customStyle="1" w:styleId="CharCharCharChar2">
    <w:name w:val="Char Char Char Char2"/>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rFonts w:ascii="Arial" w:eastAsia="Times New Roman" w:hAnsi="Arial" w:cs="Arial"/>
      <w:bCs w:val="0"/>
      <w:iCs/>
      <w:caps w:val="0"/>
      <w:szCs w:val="22"/>
    </w:rPr>
  </w:style>
  <w:style w:type="character" w:customStyle="1" w:styleId="StyleHeading3ComplexItalicChar">
    <w:name w:val="Style Heading 3 + (Complex) Italic Char"/>
    <w:link w:val="StyleHeading3ComplexItalic"/>
    <w:rsid w:val="00121D79"/>
    <w:rPr>
      <w:rFonts w:ascii="Arial" w:hAnsi="Arial" w:cs="Arial"/>
      <w:b/>
      <w:iCs/>
      <w:caps/>
      <w:sz w:val="22"/>
      <w:szCs w:val="22"/>
    </w:rPr>
  </w:style>
  <w:style w:type="paragraph" w:customStyle="1" w:styleId="Test">
    <w:name w:val="Test"/>
    <w:basedOn w:val="Normal"/>
    <w:qFormat/>
    <w:rsid w:val="0078145B"/>
    <w:pPr>
      <w:numPr>
        <w:numId w:val="68"/>
      </w:numPr>
    </w:pPr>
    <w:rPr>
      <w:rFonts w:eastAsiaTheme="minorHAnsi"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rsid w:val="005703CF"/>
    <w:rPr>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rsid w:val="005703CF"/>
    <w:rPr>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rsid w:val="005703CF"/>
    <w:rPr>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70"/>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1"/>
    <w:basedOn w:val="Normal"/>
    <w:rsid w:val="005703CF"/>
    <w:pPr>
      <w:spacing w:after="160" w:line="240" w:lineRule="exact"/>
    </w:pPr>
    <w:rPr>
      <w:rFonts w:ascii="Verdana" w:hAnsi="Verdana"/>
      <w:szCs w:val="20"/>
      <w:lang w:val="en-GB"/>
    </w:rPr>
  </w:style>
  <w:style w:type="character" w:customStyle="1" w:styleId="CharChar1">
    <w:name w:val="Char Char1"/>
    <w:locked/>
    <w:rsid w:val="005703CF"/>
    <w:rPr>
      <w:rFonts w:ascii="Arial" w:hAnsi="Arial" w:cs="Times New Roman"/>
      <w:lang w:val="en-US" w:eastAsia="en-US" w:bidi="ar-SA"/>
    </w:rPr>
  </w:style>
  <w:style w:type="paragraph" w:customStyle="1" w:styleId="CarCar1">
    <w:name w:val="Car Car1"/>
    <w:basedOn w:val="Normal"/>
    <w:rsid w:val="005703CF"/>
    <w:pPr>
      <w:spacing w:after="160" w:line="240" w:lineRule="exact"/>
    </w:pPr>
    <w:rPr>
      <w:rFonts w:ascii="Verdana" w:hAnsi="Verdana"/>
      <w:szCs w:val="20"/>
      <w:lang w:val="en-GB"/>
    </w:rPr>
  </w:style>
  <w:style w:type="character" w:customStyle="1" w:styleId="CharChar21">
    <w:name w:val="Char Char21"/>
    <w:rsid w:val="005703CF"/>
    <w:rPr>
      <w:rFonts w:ascii="Arial" w:hAnsi="Arial"/>
      <w:lang w:val="en-US" w:eastAsia="en-US" w:bidi="ar-SA"/>
    </w:rPr>
  </w:style>
  <w:style w:type="character" w:customStyle="1" w:styleId="CharChar31">
    <w:name w:val="Char Char31"/>
    <w:rsid w:val="005703CF"/>
    <w:rPr>
      <w:rFonts w:ascii="Arial" w:hAnsi="Arial"/>
      <w:lang w:val="en-US" w:eastAsia="en-US" w:bidi="ar-SA"/>
    </w:rPr>
  </w:style>
  <w:style w:type="character" w:customStyle="1" w:styleId="CharChar41">
    <w:name w:val="Char Char41"/>
    <w:rsid w:val="005703CF"/>
    <w:rPr>
      <w:rFonts w:ascii="Arial" w:hAnsi="Arial"/>
      <w:lang w:val="en-US" w:eastAsia="en-US" w:bidi="ar-SA"/>
    </w:rPr>
  </w:style>
  <w:style w:type="character" w:customStyle="1" w:styleId="CharChar61">
    <w:name w:val="Char Char61"/>
    <w:rsid w:val="005703CF"/>
    <w:rPr>
      <w:rFonts w:ascii="Arial" w:hAnsi="Arial"/>
      <w:lang w:val="en-US" w:eastAsia="en-US" w:bidi="ar-SA"/>
    </w:rPr>
  </w:style>
  <w:style w:type="paragraph" w:customStyle="1" w:styleId="Char1">
    <w:name w:val="Char 字元 字元1"/>
    <w:basedOn w:val="Normal"/>
    <w:rsid w:val="005703CF"/>
    <w:pPr>
      <w:spacing w:after="160" w:line="240" w:lineRule="exact"/>
    </w:pPr>
    <w:rPr>
      <w:rFonts w:ascii="Verdana" w:eastAsia="PMingLiU" w:hAnsi="Verdana"/>
      <w:szCs w:val="20"/>
    </w:rPr>
  </w:style>
  <w:style w:type="character" w:customStyle="1" w:styleId="HeaderChar">
    <w:name w:val="Header Char"/>
    <w:link w:val="Header"/>
    <w:locked/>
    <w:rsid w:val="005703CF"/>
    <w:rPr>
      <w:rFonts w:ascii="Arial" w:hAnsi="Arial"/>
      <w:szCs w:val="24"/>
    </w:rPr>
  </w:style>
  <w:style w:type="table" w:customStyle="1" w:styleId="TableGrid1">
    <w:name w:val="Table Grid1"/>
    <w:basedOn w:val="TableNormal"/>
    <w:next w:val="TableGrid"/>
    <w:uiPriority w:val="59"/>
    <w:rsid w:val="00035F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343FE"/>
    <w:pPr>
      <w:keepLines/>
      <w:numPr>
        <w:numId w:val="0"/>
      </w:numPr>
      <w:tabs>
        <w:tab w:val="clear" w:pos="284"/>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rFonts w:eastAsiaTheme="minorHAnsi"/>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 w:type="paragraph" w:customStyle="1" w:styleId="Endofdocument-Annex">
    <w:name w:val="[End of document - Annex]"/>
    <w:basedOn w:val="Normal"/>
    <w:rsid w:val="00455C73"/>
    <w:pPr>
      <w:ind w:left="5534"/>
    </w:pPr>
    <w:rPr>
      <w:rFonts w:eastAsia="SimSun" w:cs="Arial"/>
      <w:sz w:val="22"/>
      <w:szCs w:val="20"/>
      <w:lang w:eastAsia="zh-CN"/>
    </w:rPr>
  </w:style>
  <w:style w:type="character" w:customStyle="1" w:styleId="Heading1Char">
    <w:name w:val="Heading 1 Char"/>
    <w:basedOn w:val="DefaultParagraphFont"/>
    <w:link w:val="Heading1"/>
    <w:rsid w:val="006277CA"/>
    <w:rPr>
      <w:rFonts w:ascii="Arial" w:hAnsi="Arial" w:cs="Arial"/>
      <w:b/>
      <w:bCs/>
      <w:kern w:val="32"/>
      <w:sz w:val="22"/>
      <w:szCs w:val="32"/>
    </w:rPr>
  </w:style>
  <w:style w:type="character" w:customStyle="1" w:styleId="BalloonTextChar">
    <w:name w:val="Balloon Text Char"/>
    <w:basedOn w:val="DefaultParagraphFont"/>
    <w:link w:val="BalloonText"/>
    <w:uiPriority w:val="99"/>
    <w:semiHidden/>
    <w:rsid w:val="006277CA"/>
    <w:rPr>
      <w:rFonts w:ascii="Tahoma" w:hAnsi="Tahoma" w:cs="Tahoma"/>
      <w:sz w:val="16"/>
      <w:szCs w:val="16"/>
    </w:rPr>
  </w:style>
  <w:style w:type="character" w:customStyle="1" w:styleId="Heading2Char">
    <w:name w:val="Heading 2 Char"/>
    <w:basedOn w:val="DefaultParagraphFont"/>
    <w:link w:val="Heading2"/>
    <w:rsid w:val="00C4782F"/>
    <w:rPr>
      <w:rFonts w:ascii="Arial Bold" w:hAnsi="Arial Bold" w:cs="Arial"/>
      <w:b/>
      <w:bCs/>
      <w:iCs/>
      <w:caps/>
      <w:szCs w:val="28"/>
    </w:rPr>
  </w:style>
  <w:style w:type="character" w:customStyle="1" w:styleId="Heading4Char">
    <w:name w:val="Heading 4 Char"/>
    <w:basedOn w:val="DefaultParagraphFont"/>
    <w:link w:val="Heading4"/>
    <w:rsid w:val="00A33040"/>
    <w:rPr>
      <w:rFonts w:ascii="Arial Bold" w:hAnsi="Arial Bold"/>
      <w:b/>
      <w:bCs/>
      <w:caps/>
      <w:szCs w:val="28"/>
    </w:rPr>
  </w:style>
  <w:style w:type="character" w:customStyle="1" w:styleId="BodyTextIndentChar">
    <w:name w:val="Body Text Indent Char"/>
    <w:basedOn w:val="DefaultParagraphFont"/>
    <w:link w:val="BodyTextIndent"/>
    <w:rsid w:val="00A33040"/>
    <w:rPr>
      <w:rFonts w:ascii="Arial" w:hAnsi="Arial"/>
    </w:rPr>
  </w:style>
  <w:style w:type="character" w:customStyle="1" w:styleId="CommentSubjectChar">
    <w:name w:val="Comment Subject Char"/>
    <w:basedOn w:val="CommentTextChar"/>
    <w:link w:val="CommentSubject"/>
    <w:semiHidden/>
    <w:rsid w:val="00A33040"/>
    <w:rPr>
      <w:rFonts w:ascii="Arial" w:hAnsi="Arial"/>
      <w:b/>
      <w:bCs/>
    </w:rPr>
  </w:style>
  <w:style w:type="character" w:customStyle="1" w:styleId="BodyText2Char">
    <w:name w:val="Body Text 2 Char"/>
    <w:basedOn w:val="DefaultParagraphFont"/>
    <w:link w:val="BodyText2"/>
    <w:rsid w:val="00A33040"/>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16940">
      <w:bodyDiv w:val="1"/>
      <w:marLeft w:val="0"/>
      <w:marRight w:val="0"/>
      <w:marTop w:val="0"/>
      <w:marBottom w:val="0"/>
      <w:divBdr>
        <w:top w:val="none" w:sz="0" w:space="0" w:color="auto"/>
        <w:left w:val="none" w:sz="0" w:space="0" w:color="auto"/>
        <w:bottom w:val="none" w:sz="0" w:space="0" w:color="auto"/>
        <w:right w:val="none" w:sz="0" w:space="0" w:color="auto"/>
      </w:divBdr>
    </w:div>
    <w:div w:id="1269384971">
      <w:bodyDiv w:val="1"/>
      <w:marLeft w:val="0"/>
      <w:marRight w:val="0"/>
      <w:marTop w:val="0"/>
      <w:marBottom w:val="0"/>
      <w:divBdr>
        <w:top w:val="none" w:sz="0" w:space="0" w:color="auto"/>
        <w:left w:val="none" w:sz="0" w:space="0" w:color="auto"/>
        <w:bottom w:val="none" w:sz="0" w:space="0" w:color="auto"/>
        <w:right w:val="none" w:sz="0" w:space="0" w:color="auto"/>
      </w:divBdr>
    </w:div>
    <w:div w:id="1522235552">
      <w:bodyDiv w:val="1"/>
      <w:marLeft w:val="0"/>
      <w:marRight w:val="0"/>
      <w:marTop w:val="0"/>
      <w:marBottom w:val="0"/>
      <w:divBdr>
        <w:top w:val="none" w:sz="0" w:space="0" w:color="auto"/>
        <w:left w:val="none" w:sz="0" w:space="0" w:color="auto"/>
        <w:bottom w:val="none" w:sz="0" w:space="0" w:color="auto"/>
        <w:right w:val="none" w:sz="0" w:space="0" w:color="auto"/>
      </w:divBdr>
    </w:div>
    <w:div w:id="179551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7.emf"/><Relationship Id="rId39" Type="http://schemas.openxmlformats.org/officeDocument/2006/relationships/image" Target="media/image19.png"/><Relationship Id="rId21" Type="http://schemas.openxmlformats.org/officeDocument/2006/relationships/image" Target="media/image2.emf"/><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chart" Target="charts/chart4.xml"/><Relationship Id="rId68" Type="http://schemas.openxmlformats.org/officeDocument/2006/relationships/oleObject" Target="embeddings/Microsoft_Excel_Chart4.xls"/><Relationship Id="rId76" Type="http://schemas.openxmlformats.org/officeDocument/2006/relationships/image" Target="media/image43.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oleObject" Target="embeddings/oleObject1.bin"/><Relationship Id="rId53" Type="http://schemas.openxmlformats.org/officeDocument/2006/relationships/image" Target="media/image32.png"/><Relationship Id="rId66" Type="http://schemas.openxmlformats.org/officeDocument/2006/relationships/image" Target="media/image38.png"/><Relationship Id="rId74" Type="http://schemas.openxmlformats.org/officeDocument/2006/relationships/image" Target="media/image41.png"/><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oleObject" Target="embeddings/Microsoft_Excel_Chart1.xls"/><Relationship Id="rId82"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wmf"/><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37.png"/><Relationship Id="rId73" Type="http://schemas.openxmlformats.org/officeDocument/2006/relationships/image" Target="media/image40.png"/><Relationship Id="rId78" Type="http://schemas.openxmlformats.org/officeDocument/2006/relationships/hyperlink" Target="https://intranet.wipo.int/export/sites/intranet/homepages/iaod/en/iaod_reports/executive_summaries/es_2013_evaluation_igc.pdf" TargetMode="External"/><Relationship Id="rId8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chart" Target="charts/chart1.xml"/><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chart" Target="charts/chart2.xml"/><Relationship Id="rId64" Type="http://schemas.openxmlformats.org/officeDocument/2006/relationships/chart" Target="charts/chart5.xml"/><Relationship Id="rId69" Type="http://schemas.openxmlformats.org/officeDocument/2006/relationships/image" Target="media/image35.emf"/><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39.png"/><Relationship Id="rId80" Type="http://schemas.openxmlformats.org/officeDocument/2006/relationships/footer" Target="footer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oleObject" Target="embeddings/Microsoft_Excel_Chart3.xls"/><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33.emf"/><Relationship Id="rId62" Type="http://schemas.openxmlformats.org/officeDocument/2006/relationships/oleObject" Target="embeddings/Microsoft_Excel_Chart2.xls"/><Relationship Id="rId70" Type="http://schemas.openxmlformats.org/officeDocument/2006/relationships/chart" Target="charts/chart6.xml"/><Relationship Id="rId75" Type="http://schemas.openxmlformats.org/officeDocument/2006/relationships/image" Target="media/image42.png"/><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image" Target="media/image28.png"/><Relationship Id="rId57"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about-wipo/en/strategic_realignment/results_framework.html" TargetMode="External"/><Relationship Id="rId3" Type="http://schemas.openxmlformats.org/officeDocument/2006/relationships/hyperlink" Target="http://www.wipo.int/tad/en/" TargetMode="External"/><Relationship Id="rId7" Type="http://schemas.openxmlformats.org/officeDocument/2006/relationships/hyperlink" Target="http://www.wipo.int/tisc/fr/etutorial" TargetMode="External"/><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 Id="rId6" Type="http://schemas.openxmlformats.org/officeDocument/2006/relationships/hyperlink" Target="http://www.wipo.int/tisc/etutorial" TargetMode="External"/><Relationship Id="rId5" Type="http://schemas.openxmlformats.org/officeDocument/2006/relationships/hyperlink" Target="http://www.wipo.int/dmd" TargetMode="External"/><Relationship Id="rId4" Type="http://schemas.openxmlformats.org/officeDocument/2006/relationships/hyperlink" Target="http://www.wipo.int/roc/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1.115\COMUN\OMPI%2030%20JUNIO%20(PPR)\Documentos%20Excel\2.%20Pbc%2022-8%20%20graphs_7JUL14_ESP.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D:\monthly%20reports\GraphStatsGlobalDatabases201220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onthly%20reports\GraphStatsGlobalDatabases2012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percentStacked"/>
        <c:varyColors val="0"/>
        <c:ser>
          <c:idx val="0"/>
          <c:order val="0"/>
          <c:tx>
            <c:strRef>
              <c:f>'[2. Pbc 22-8  graphs_7JUL14_ESP.xlsx]Result View'!$C$40</c:f>
              <c:strCache>
                <c:ptCount val="1"/>
                <c:pt idx="0">
                  <c:v>Plenamente logrado</c:v>
                </c:pt>
              </c:strCache>
            </c:strRef>
          </c:tx>
          <c:spPr>
            <a:solidFill>
              <a:srgbClr val="008000"/>
            </a:solidFill>
            <a:effectLst/>
            <a:scene3d>
              <a:camera prst="orthographicFront"/>
              <a:lightRig rig="threePt" dir="t">
                <a:rot lat="0" lon="0" rev="1200000"/>
              </a:lightRig>
            </a:scene3d>
            <a:sp3d/>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View'!$C$41:$C$43</c:f>
              <c:numCache>
                <c:formatCode>General</c:formatCode>
                <c:ptCount val="3"/>
                <c:pt idx="2">
                  <c:v>1</c:v>
                </c:pt>
              </c:numCache>
            </c:numRef>
          </c:val>
        </c:ser>
        <c:ser>
          <c:idx val="1"/>
          <c:order val="1"/>
          <c:tx>
            <c:strRef>
              <c:f>'[2. Pbc 22-8  graphs_7JUL14_ESP.xlsx]Result View'!$D$40</c:f>
              <c:strCache>
                <c:ptCount val="1"/>
                <c:pt idx="0">
                  <c:v>Parcialmente logrado</c:v>
                </c:pt>
              </c:strCache>
            </c:strRef>
          </c:tx>
          <c:spPr>
            <a:solidFill>
              <a:schemeClr val="accent6">
                <a:lumMod val="75000"/>
              </a:schemeClr>
            </a:solidFill>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View'!$D$41:$D$43</c:f>
              <c:numCache>
                <c:formatCode>General</c:formatCode>
                <c:ptCount val="3"/>
              </c:numCache>
            </c:numRef>
          </c:val>
        </c:ser>
        <c:ser>
          <c:idx val="2"/>
          <c:order val="2"/>
          <c:tx>
            <c:strRef>
              <c:f>'[2. Pbc 22-8  graphs_7JUL14_ESP.xlsx]Result View'!$E$40</c:f>
              <c:strCache>
                <c:ptCount val="1"/>
                <c:pt idx="0">
                  <c:v>No logrado</c:v>
                </c:pt>
              </c:strCache>
            </c:strRef>
          </c:tx>
          <c:spPr>
            <a:solidFill>
              <a:srgbClr val="FF0000"/>
            </a:solidFill>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View'!$E$41:$E$43</c:f>
              <c:numCache>
                <c:formatCode>General</c:formatCode>
                <c:ptCount val="3"/>
              </c:numCache>
            </c:numRef>
          </c:val>
        </c:ser>
        <c:ser>
          <c:idx val="3"/>
          <c:order val="3"/>
          <c:tx>
            <c:strRef>
              <c:f>'[2. Pbc 22-8  graphs_7JUL14_ESP.xlsx]Result View'!$F$40</c:f>
              <c:strCache>
                <c:ptCount val="1"/>
                <c:pt idx="0">
                  <c:v>No mensurable</c:v>
                </c:pt>
              </c:strCache>
            </c:strRef>
          </c:tx>
          <c:spPr>
            <a:solidFill>
              <a:schemeClr val="bg1">
                <a:lumMod val="50000"/>
              </a:schemeClr>
            </a:solidFill>
            <a:effectLst/>
            <a:scene3d>
              <a:camera prst="orthographicFront"/>
              <a:lightRig rig="threePt" dir="t">
                <a:rot lat="0" lon="0" rev="1200000"/>
              </a:lightRig>
            </a:scene3d>
            <a:sp3d/>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View'!$F$41:$F$43</c:f>
              <c:numCache>
                <c:formatCode>General</c:formatCode>
                <c:ptCount val="3"/>
                <c:pt idx="0">
                  <c:v>2</c:v>
                </c:pt>
                <c:pt idx="1">
                  <c:v>2</c:v>
                </c:pt>
              </c:numCache>
            </c:numRef>
          </c:val>
        </c:ser>
        <c:ser>
          <c:idx val="4"/>
          <c:order val="4"/>
          <c:tx>
            <c:strRef>
              <c:f>'[2. Pbc 22-8  graphs_7JUL14_ESP.xlsx]Result View'!$G$40</c:f>
              <c:strCache>
                <c:ptCount val="1"/>
                <c:pt idx="0">
                  <c:v>Interrumpido</c:v>
                </c:pt>
              </c:strCache>
            </c:strRef>
          </c:tx>
          <c:spPr>
            <a:solidFill>
              <a:schemeClr val="tx1"/>
            </a:solidFill>
          </c:spPr>
          <c:invertIfNegative val="0"/>
          <c:cat>
            <c:multiLvlStrRef>
              <c:f>'[2. Pbc 22-8  graphs_7JUL14_ESP.xlsx]Result View'!$A$41:$B$43</c:f>
              <c:multiLvlStrCache>
                <c:ptCount val="3"/>
                <c:lvl>
                  <c:pt idx="0">
                    <c:v>Mayor uso de la información estadística de la OMPI </c:v>
                  </c:pt>
                  <c:pt idx="1">
                    <c:v>Adopción de análisis económicos de la OMPI </c:v>
                  </c:pt>
                  <c:pt idx="2">
                    <c:v>Fomento del acceso a la información jurídica relativa a la P.I. y su uso  </c:v>
                  </c:pt>
                </c:lvl>
                <c:lvl>
                  <c:pt idx="0">
                    <c:v>V.1</c:v>
                  </c:pt>
                  <c:pt idx="1">
                    <c:v>V.2</c:v>
                  </c:pt>
                  <c:pt idx="2">
                    <c:v>V.3</c:v>
                  </c:pt>
                </c:lvl>
              </c:multiLvlStrCache>
            </c:multiLvlStrRef>
          </c:cat>
          <c:val>
            <c:numRef>
              <c:f>'[2. Pbc 22-8  graphs_7JUL14_ESP.xlsx]Result View'!$G$41:$G$43</c:f>
              <c:numCache>
                <c:formatCode>General</c:formatCode>
                <c:ptCount val="3"/>
              </c:numCache>
            </c:numRef>
          </c:val>
        </c:ser>
        <c:dLbls>
          <c:showLegendKey val="0"/>
          <c:showVal val="0"/>
          <c:showCatName val="0"/>
          <c:showSerName val="0"/>
          <c:showPercent val="0"/>
          <c:showBubbleSize val="0"/>
        </c:dLbls>
        <c:gapWidth val="55"/>
        <c:overlap val="100"/>
        <c:axId val="235445248"/>
        <c:axId val="229146624"/>
      </c:barChart>
      <c:catAx>
        <c:axId val="235445248"/>
        <c:scaling>
          <c:orientation val="minMax"/>
        </c:scaling>
        <c:delete val="0"/>
        <c:axPos val="l"/>
        <c:majorTickMark val="none"/>
        <c:minorTickMark val="none"/>
        <c:tickLblPos val="nextTo"/>
        <c:crossAx val="229146624"/>
        <c:crosses val="autoZero"/>
        <c:auto val="1"/>
        <c:lblAlgn val="ctr"/>
        <c:lblOffset val="100"/>
        <c:noMultiLvlLbl val="0"/>
      </c:catAx>
      <c:valAx>
        <c:axId val="229146624"/>
        <c:scaling>
          <c:orientation val="minMax"/>
        </c:scaling>
        <c:delete val="0"/>
        <c:axPos val="b"/>
        <c:majorGridlines/>
        <c:numFmt formatCode="0%" sourceLinked="1"/>
        <c:majorTickMark val="none"/>
        <c:minorTickMark val="none"/>
        <c:tickLblPos val="nextTo"/>
        <c:crossAx val="235445248"/>
        <c:crosses val="autoZero"/>
        <c:crossBetween val="between"/>
      </c:valAx>
      <c:spPr>
        <a:ln>
          <a:noFill/>
        </a:ln>
      </c:spPr>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5305887824754021"/>
          <c:y val="8.0971659919028341E-2"/>
          <c:w val="0.46110648918469216"/>
          <c:h val="0.81597350018402648"/>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spPr>
              <a:scene3d>
                <a:camera prst="orthographicFront"/>
                <a:lightRig rig="threePt" dir="t"/>
              </a:scene3d>
              <a:sp3d prstMaterial="metal"/>
            </c:spPr>
            <c:dLblPos val="ctr"/>
            <c:showLegendKey val="0"/>
            <c:showVal val="0"/>
            <c:showCatName val="0"/>
            <c:showSerName val="0"/>
            <c:showPercent val="1"/>
            <c:showBubbleSize val="0"/>
            <c:showLeaderLines val="0"/>
          </c:dLbls>
          <c:cat>
            <c:strRef>
              <c:f>Sheet3!$A$16:$A$20</c:f>
              <c:strCache>
                <c:ptCount val="5"/>
                <c:pt idx="0">
                  <c:v>Latin America and the Caribbean: 77; 33%</c:v>
                </c:pt>
                <c:pt idx="1">
                  <c:v>Africa: 56; 24%</c:v>
                </c:pt>
                <c:pt idx="2">
                  <c:v>Asia-Pacific: 45; 19%</c:v>
                </c:pt>
                <c:pt idx="3">
                  <c:v>Arab countries: 30; 13%</c:v>
                </c:pt>
                <c:pt idx="4">
                  <c:v>Certain Countries in Europe and Asia: 25; 11%</c:v>
                </c:pt>
              </c:strCache>
            </c:strRef>
          </c:cat>
          <c:val>
            <c:numRef>
              <c:f>Sheet3!$B$16:$B$20</c:f>
              <c:numCache>
                <c:formatCode>General</c:formatCode>
                <c:ptCount val="5"/>
                <c:pt idx="0">
                  <c:v>77</c:v>
                </c:pt>
                <c:pt idx="1">
                  <c:v>56</c:v>
                </c:pt>
                <c:pt idx="2">
                  <c:v>45</c:v>
                </c:pt>
                <c:pt idx="3">
                  <c:v>30</c:v>
                </c:pt>
                <c:pt idx="4">
                  <c:v>25</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2.5901143967191884E-2"/>
          <c:y val="4.0227903054260286E-2"/>
          <c:w val="0.34224350814339444"/>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7037577184755054E-2"/>
          <c:y val="8.0971659919028341E-2"/>
          <c:w val="0.46665250637213251"/>
          <c:h val="0.80861244019138756"/>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dLblPos val="ctr"/>
            <c:showLegendKey val="0"/>
            <c:showVal val="0"/>
            <c:showCatName val="0"/>
            <c:showSerName val="0"/>
            <c:showPercent val="1"/>
            <c:showBubbleSize val="0"/>
            <c:showLeaderLines val="0"/>
          </c:dLbls>
          <c:cat>
            <c:strRef>
              <c:f>Sheet3!$D$16:$D$20</c:f>
              <c:strCache>
                <c:ptCount val="5"/>
                <c:pt idx="0">
                  <c:v>Latin America and the Caribbean: 75; 30%</c:v>
                </c:pt>
                <c:pt idx="1">
                  <c:v>Africa: 58; 23%</c:v>
                </c:pt>
                <c:pt idx="2">
                  <c:v>Asia-Pacific: 53; 21%</c:v>
                </c:pt>
                <c:pt idx="3">
                  <c:v>Arab countries: 35; 14%</c:v>
                </c:pt>
                <c:pt idx="4">
                  <c:v>Certain Countries in Europe and Asia: 30; 12%</c:v>
                </c:pt>
              </c:strCache>
            </c:strRef>
          </c:cat>
          <c:val>
            <c:numRef>
              <c:f>Sheet3!$E$16:$E$20</c:f>
              <c:numCache>
                <c:formatCode>General</c:formatCode>
                <c:ptCount val="5"/>
                <c:pt idx="0">
                  <c:v>75</c:v>
                </c:pt>
                <c:pt idx="1">
                  <c:v>58</c:v>
                </c:pt>
                <c:pt idx="2">
                  <c:v>53</c:v>
                </c:pt>
                <c:pt idx="3">
                  <c:v>35</c:v>
                </c:pt>
                <c:pt idx="4">
                  <c:v>30</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3772001418259416"/>
          <c:y val="4.0227903054260286E-2"/>
          <c:w val="0.33679145565597846"/>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layout/>
              <c:spPr/>
              <c:txPr>
                <a:bodyPr/>
                <a:lstStyle/>
                <a:p>
                  <a:pPr>
                    <a:defRPr/>
                  </a:pPr>
                  <a:endParaRPr lang="en-US"/>
                </a:p>
              </c:txPr>
              <c:dLblPos val="ctr"/>
              <c:showLegendKey val="0"/>
              <c:showVal val="0"/>
              <c:showCatName val="0"/>
              <c:showSerName val="0"/>
              <c:showPercent val="1"/>
              <c:showBubbleSize val="0"/>
            </c:dLbl>
            <c:dLbl>
              <c:idx val="1"/>
              <c:layout/>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Sheet3!$D$25:$D$31</c:f>
              <c:strCache>
                <c:ptCount val="7"/>
                <c:pt idx="0">
                  <c:v>Latin America and the Caribbean: 19641; 48%</c:v>
                </c:pt>
                <c:pt idx="1">
                  <c:v>Asia-Pacific: 10687; 26%</c:v>
                </c:pt>
                <c:pt idx="2">
                  <c:v>Certain Countries in Europe and Asia: 3849; 10%</c:v>
                </c:pt>
                <c:pt idx="3">
                  <c:v>Other developed countries: 2255; 6%</c:v>
                </c:pt>
                <c:pt idx="4">
                  <c:v>Africa: 2210; 5%</c:v>
                </c:pt>
                <c:pt idx="5">
                  <c:v>Arab countries: 1677; 4%</c:v>
                </c:pt>
                <c:pt idx="6">
                  <c:v>Other Areas: 321; less than 1%</c:v>
                </c:pt>
              </c:strCache>
            </c:strRef>
          </c:cat>
          <c:val>
            <c:numRef>
              <c:f>Sheet3!$E$25:$E$31</c:f>
              <c:numCache>
                <c:formatCode>General</c:formatCode>
                <c:ptCount val="7"/>
                <c:pt idx="0">
                  <c:v>19641</c:v>
                </c:pt>
                <c:pt idx="1">
                  <c:v>10687</c:v>
                </c:pt>
                <c:pt idx="2">
                  <c:v>3849</c:v>
                </c:pt>
                <c:pt idx="3">
                  <c:v>2255</c:v>
                </c:pt>
                <c:pt idx="4">
                  <c:v>2210</c:v>
                </c:pt>
                <c:pt idx="5">
                  <c:v>1677</c:v>
                </c:pt>
                <c:pt idx="6">
                  <c:v>321</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58996553545822739"/>
          <c:y val="4.200846811704665E-2"/>
          <c:w val="0.38087460645145577"/>
          <c:h val="0.9159836065573769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layout/>
              <c:spPr/>
              <c:txPr>
                <a:bodyPr/>
                <a:lstStyle/>
                <a:p>
                  <a:pPr>
                    <a:defRPr/>
                  </a:pPr>
                  <a:endParaRPr lang="en-US"/>
                </a:p>
              </c:txPr>
              <c:dLblPos val="ctr"/>
              <c:showLegendKey val="0"/>
              <c:showVal val="0"/>
              <c:showCatName val="0"/>
              <c:showSerName val="0"/>
              <c:showPercent val="1"/>
              <c:showBubbleSize val="0"/>
            </c:dLbl>
            <c:dLbl>
              <c:idx val="1"/>
              <c:layout/>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Sheet3!$A$25:$A$31</c:f>
              <c:strCache>
                <c:ptCount val="7"/>
                <c:pt idx="0">
                  <c:v>Latin America and the Caribbean: 20007; 49%</c:v>
                </c:pt>
                <c:pt idx="1">
                  <c:v>Asia-Pacific: 13056; 32%</c:v>
                </c:pt>
                <c:pt idx="2">
                  <c:v>Certain Countries in Europe and Asia: 2937; 7%</c:v>
                </c:pt>
                <c:pt idx="3">
                  <c:v>Other developed countries: 1972; 5%</c:v>
                </c:pt>
                <c:pt idx="4">
                  <c:v>Africa: 1600; 4%</c:v>
                </c:pt>
                <c:pt idx="5">
                  <c:v>Arab countries: 1264; 3%</c:v>
                </c:pt>
                <c:pt idx="6">
                  <c:v>Other Areas: 8; less than 1%</c:v>
                </c:pt>
              </c:strCache>
            </c:strRef>
          </c:cat>
          <c:val>
            <c:numRef>
              <c:f>Sheet3!$B$25:$B$31</c:f>
              <c:numCache>
                <c:formatCode>General</c:formatCode>
                <c:ptCount val="7"/>
                <c:pt idx="0">
                  <c:v>20007</c:v>
                </c:pt>
                <c:pt idx="1">
                  <c:v>13056</c:v>
                </c:pt>
                <c:pt idx="2">
                  <c:v>2937</c:v>
                </c:pt>
                <c:pt idx="3">
                  <c:v>1972</c:v>
                </c:pt>
                <c:pt idx="4">
                  <c:v>1600</c:v>
                </c:pt>
                <c:pt idx="5">
                  <c:v>1264</c:v>
                </c:pt>
                <c:pt idx="6">
                  <c:v>8</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3.174322940574132E-2"/>
          <c:y val="7.6633851022578761E-2"/>
          <c:w val="0.37200309358081979"/>
          <c:h val="0.9056203605514315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Sheet1!$A$2</c:f>
              <c:strCache>
                <c:ptCount val="1"/>
                <c:pt idx="0">
                  <c:v>PCT</c:v>
                </c:pt>
              </c:strCache>
            </c:strRef>
          </c:tx>
          <c:invertIfNegative val="0"/>
          <c:cat>
            <c:strRef>
              <c:f>Sheet1!$B$1:$I$1</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Sheet1!$B$2:$I$2</c:f>
              <c:numCache>
                <c:formatCode>#,##0</c:formatCode>
                <c:ptCount val="8"/>
                <c:pt idx="0">
                  <c:v>2030348</c:v>
                </c:pt>
                <c:pt idx="1">
                  <c:v>2078150</c:v>
                </c:pt>
                <c:pt idx="2">
                  <c:v>2119178</c:v>
                </c:pt>
                <c:pt idx="3" formatCode="General">
                  <c:v>2167815</c:v>
                </c:pt>
                <c:pt idx="4" formatCode="General">
                  <c:v>2212089</c:v>
                </c:pt>
                <c:pt idx="5" formatCode="General">
                  <c:v>2258762</c:v>
                </c:pt>
                <c:pt idx="6">
                  <c:v>2310696</c:v>
                </c:pt>
                <c:pt idx="7">
                  <c:v>2360448</c:v>
                </c:pt>
              </c:numCache>
            </c:numRef>
          </c:val>
        </c:ser>
        <c:ser>
          <c:idx val="1"/>
          <c:order val="1"/>
          <c:tx>
            <c:strRef>
              <c:f>Sheet1!$A$3</c:f>
              <c:strCache>
                <c:ptCount val="1"/>
                <c:pt idx="0">
                  <c:v>Non-PCT</c:v>
                </c:pt>
              </c:strCache>
            </c:strRef>
          </c:tx>
          <c:invertIfNegative val="0"/>
          <c:cat>
            <c:strRef>
              <c:f>Sheet1!$B$1:$I$1</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Sheet1!$B$3:$I$3</c:f>
              <c:numCache>
                <c:formatCode>#,##0</c:formatCode>
                <c:ptCount val="8"/>
                <c:pt idx="0">
                  <c:v>8594738</c:v>
                </c:pt>
                <c:pt idx="1">
                  <c:v>8727414</c:v>
                </c:pt>
                <c:pt idx="2">
                  <c:v>11897186</c:v>
                </c:pt>
                <c:pt idx="3">
                  <c:v>16481609</c:v>
                </c:pt>
                <c:pt idx="4" formatCode="General">
                  <c:v>16568807</c:v>
                </c:pt>
                <c:pt idx="5" formatCode="General">
                  <c:v>28906767</c:v>
                </c:pt>
                <c:pt idx="6">
                  <c:v>30163849</c:v>
                </c:pt>
                <c:pt idx="7">
                  <c:v>32580463</c:v>
                </c:pt>
              </c:numCache>
            </c:numRef>
          </c:val>
        </c:ser>
        <c:dLbls>
          <c:showLegendKey val="0"/>
          <c:showVal val="0"/>
          <c:showCatName val="0"/>
          <c:showSerName val="0"/>
          <c:showPercent val="0"/>
          <c:showBubbleSize val="0"/>
        </c:dLbls>
        <c:gapWidth val="150"/>
        <c:overlap val="100"/>
        <c:axId val="313410304"/>
        <c:axId val="313411840"/>
      </c:barChart>
      <c:dateAx>
        <c:axId val="313410304"/>
        <c:scaling>
          <c:orientation val="minMax"/>
        </c:scaling>
        <c:delete val="0"/>
        <c:axPos val="b"/>
        <c:numFmt formatCode="@" sourceLinked="1"/>
        <c:majorTickMark val="out"/>
        <c:minorTickMark val="none"/>
        <c:tickLblPos val="nextTo"/>
        <c:crossAx val="313411840"/>
        <c:crosses val="autoZero"/>
        <c:auto val="0"/>
        <c:lblOffset val="100"/>
        <c:baseTimeUnit val="months"/>
      </c:dateAx>
      <c:valAx>
        <c:axId val="313411840"/>
        <c:scaling>
          <c:orientation val="minMax"/>
        </c:scaling>
        <c:delete val="0"/>
        <c:axPos val="l"/>
        <c:majorGridlines/>
        <c:numFmt formatCode="#,##0" sourceLinked="1"/>
        <c:majorTickMark val="out"/>
        <c:minorTickMark val="none"/>
        <c:tickLblPos val="nextTo"/>
        <c:crossAx val="313410304"/>
        <c:crosses val="autoZero"/>
        <c:crossBetween val="between"/>
        <c:dispUnits>
          <c:builtInUnit val="millions"/>
          <c:dispUnitsLbl>
            <c:layout/>
            <c:txPr>
              <a:bodyPr/>
              <a:lstStyle/>
              <a:p>
                <a:pPr>
                  <a:defRPr sz="1200" baseline="0"/>
                </a:pPr>
                <a:endParaRPr lang="en-US"/>
              </a:p>
            </c:txPr>
          </c:dispUnitsLbl>
        </c:dispUnits>
      </c:valAx>
    </c:plotArea>
    <c:legend>
      <c:legendPos val="t"/>
      <c:layout/>
      <c:overlay val="0"/>
      <c:txPr>
        <a:bodyPr/>
        <a:lstStyle/>
        <a:p>
          <a:pPr>
            <a:defRPr sz="1800" baseline="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Sheet1!$A$30</c:f>
              <c:strCache>
                <c:ptCount val="1"/>
                <c:pt idx="0">
                  <c:v>Madrid</c:v>
                </c:pt>
              </c:strCache>
            </c:strRef>
          </c:tx>
          <c:invertIfNegative val="0"/>
          <c:cat>
            <c:strRef>
              <c:f>Sheet1!$B$29:$I$29</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Sheet1!$B$30:$I$30</c:f>
              <c:numCache>
                <c:formatCode>General</c:formatCode>
                <c:ptCount val="8"/>
                <c:pt idx="0" formatCode="#,##0">
                  <c:v>700000</c:v>
                </c:pt>
                <c:pt idx="1">
                  <c:v>710000</c:v>
                </c:pt>
                <c:pt idx="2" formatCode="#,##0">
                  <c:v>720000</c:v>
                </c:pt>
                <c:pt idx="3">
                  <c:v>730000</c:v>
                </c:pt>
                <c:pt idx="4">
                  <c:v>740000</c:v>
                </c:pt>
                <c:pt idx="5">
                  <c:v>750000</c:v>
                </c:pt>
                <c:pt idx="6" formatCode="#,##0">
                  <c:v>760000</c:v>
                </c:pt>
                <c:pt idx="7" formatCode="#,##0">
                  <c:v>770000</c:v>
                </c:pt>
              </c:numCache>
            </c:numRef>
          </c:val>
        </c:ser>
        <c:ser>
          <c:idx val="1"/>
          <c:order val="1"/>
          <c:tx>
            <c:strRef>
              <c:f>Sheet1!$A$31</c:f>
              <c:strCache>
                <c:ptCount val="1"/>
                <c:pt idx="0">
                  <c:v>Non-Madrid</c:v>
                </c:pt>
              </c:strCache>
            </c:strRef>
          </c:tx>
          <c:spPr>
            <a:solidFill>
              <a:srgbClr val="00B050"/>
            </a:solidFill>
          </c:spPr>
          <c:invertIfNegative val="0"/>
          <c:cat>
            <c:strRef>
              <c:f>Sheet1!$B$29:$I$29</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Sheet1!$B$31:$I$31</c:f>
              <c:numCache>
                <c:formatCode>#,##0</c:formatCode>
                <c:ptCount val="8"/>
                <c:pt idx="0">
                  <c:v>0</c:v>
                </c:pt>
                <c:pt idx="1">
                  <c:v>1280000</c:v>
                </c:pt>
                <c:pt idx="2">
                  <c:v>1280000</c:v>
                </c:pt>
                <c:pt idx="3">
                  <c:v>3270000</c:v>
                </c:pt>
                <c:pt idx="4" formatCode="General">
                  <c:v>10260000</c:v>
                </c:pt>
                <c:pt idx="5" formatCode="General">
                  <c:v>10260000</c:v>
                </c:pt>
                <c:pt idx="6">
                  <c:v>11240000</c:v>
                </c:pt>
                <c:pt idx="7">
                  <c:v>11240000</c:v>
                </c:pt>
              </c:numCache>
            </c:numRef>
          </c:val>
        </c:ser>
        <c:dLbls>
          <c:showLegendKey val="0"/>
          <c:showVal val="0"/>
          <c:showCatName val="0"/>
          <c:showSerName val="0"/>
          <c:showPercent val="0"/>
          <c:showBubbleSize val="0"/>
        </c:dLbls>
        <c:gapWidth val="150"/>
        <c:overlap val="100"/>
        <c:axId val="315501568"/>
        <c:axId val="315503360"/>
      </c:barChart>
      <c:catAx>
        <c:axId val="315501568"/>
        <c:scaling>
          <c:orientation val="minMax"/>
        </c:scaling>
        <c:delete val="0"/>
        <c:axPos val="b"/>
        <c:majorTickMark val="out"/>
        <c:minorTickMark val="none"/>
        <c:tickLblPos val="nextTo"/>
        <c:crossAx val="315503360"/>
        <c:crosses val="autoZero"/>
        <c:auto val="1"/>
        <c:lblAlgn val="ctr"/>
        <c:lblOffset val="100"/>
        <c:noMultiLvlLbl val="0"/>
      </c:catAx>
      <c:valAx>
        <c:axId val="315503360"/>
        <c:scaling>
          <c:orientation val="minMax"/>
        </c:scaling>
        <c:delete val="0"/>
        <c:axPos val="l"/>
        <c:majorGridlines/>
        <c:numFmt formatCode="#,##0" sourceLinked="1"/>
        <c:majorTickMark val="out"/>
        <c:minorTickMark val="none"/>
        <c:tickLblPos val="nextTo"/>
        <c:crossAx val="315501568"/>
        <c:crosses val="autoZero"/>
        <c:crossBetween val="between"/>
        <c:dispUnits>
          <c:builtInUnit val="millions"/>
          <c:dispUnitsLbl>
            <c:layout/>
            <c:txPr>
              <a:bodyPr/>
              <a:lstStyle/>
              <a:p>
                <a:pPr>
                  <a:defRPr sz="1200"/>
                </a:pPr>
                <a:endParaRPr lang="en-US"/>
              </a:p>
            </c:txPr>
          </c:dispUnitsLbl>
        </c:dispUnits>
      </c:valAx>
    </c:plotArea>
    <c:legend>
      <c:legendPos val="t"/>
      <c:layout/>
      <c:overlay val="0"/>
      <c:txPr>
        <a:bodyPr/>
        <a:lstStyle/>
        <a:p>
          <a:pPr>
            <a:defRPr sz="1800" b="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9D9C1-5794-43B8-B441-B8058C9E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293</Pages>
  <Words>125419</Words>
  <Characters>714892</Characters>
  <Application>Microsoft Office Word</Application>
  <DocSecurity>0</DocSecurity>
  <Lines>5957</Lines>
  <Paragraphs>1677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sobre el rendimiento de los programas en 2012/13</vt:lpstr>
      <vt:lpstr>Program Performance Report 2008-09, program 1</vt:lpstr>
    </vt:vector>
  </TitlesOfParts>
  <Company>WIPO</Company>
  <LinksUpToDate>false</LinksUpToDate>
  <CharactersWithSpaces>838634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el rendimiento de los programas en 2012/13</dc:title>
  <dc:subject>WO/PBC/22/8</dc:subject>
  <dc:creator>CEVALLOS DUQUE Nilo</dc:creator>
  <dc:description>TLF;  17/07/2014
JC y KP (Pre-QC);  LM (QC)</dc:description>
  <cp:lastModifiedBy>HALLER Mario</cp:lastModifiedBy>
  <cp:revision>4</cp:revision>
  <cp:lastPrinted>2014-09-30T13:52:00Z</cp:lastPrinted>
  <dcterms:created xsi:type="dcterms:W3CDTF">2014-09-30T13:51:00Z</dcterms:created>
  <dcterms:modified xsi:type="dcterms:W3CDTF">2014-09-30T13:54:00Z</dcterms:modified>
</cp:coreProperties>
</file>