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34E6B" w:rsidTr="008D3106">
        <w:tc>
          <w:tcPr>
            <w:tcW w:w="4513" w:type="dxa"/>
            <w:tcBorders>
              <w:bottom w:val="single" w:sz="4" w:space="0" w:color="auto"/>
            </w:tcBorders>
            <w:tcMar>
              <w:bottom w:w="170" w:type="dxa"/>
            </w:tcMar>
          </w:tcPr>
          <w:p w:rsidR="00EC4E49" w:rsidRPr="00B34E6B" w:rsidRDefault="00EC4E49" w:rsidP="00916EE2">
            <w:pPr>
              <w:rPr>
                <w:lang w:val="es-ES_tradnl"/>
              </w:rPr>
            </w:pPr>
            <w:bookmarkStart w:id="0" w:name="_GoBack"/>
            <w:bookmarkEnd w:id="0"/>
          </w:p>
        </w:tc>
        <w:tc>
          <w:tcPr>
            <w:tcW w:w="4337" w:type="dxa"/>
            <w:tcBorders>
              <w:bottom w:val="single" w:sz="4" w:space="0" w:color="auto"/>
            </w:tcBorders>
            <w:tcMar>
              <w:left w:w="0" w:type="dxa"/>
              <w:right w:w="0" w:type="dxa"/>
            </w:tcMar>
          </w:tcPr>
          <w:p w:rsidR="00EC4E49" w:rsidRPr="00B34E6B" w:rsidRDefault="00440FC7" w:rsidP="00916EE2">
            <w:pPr>
              <w:rPr>
                <w:lang w:val="es-ES_tradnl"/>
              </w:rPr>
            </w:pPr>
            <w:r w:rsidRPr="00B34E6B">
              <w:rPr>
                <w:noProof/>
                <w:lang w:eastAsia="en-US"/>
              </w:rPr>
              <w:drawing>
                <wp:inline distT="0" distB="0" distL="0" distR="0" wp14:anchorId="054E209B" wp14:editId="2145932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B34E6B" w:rsidRDefault="00440FC7" w:rsidP="00440FC7">
            <w:pPr>
              <w:jc w:val="right"/>
              <w:rPr>
                <w:lang w:val="es-ES_tradnl"/>
              </w:rPr>
            </w:pPr>
            <w:r w:rsidRPr="00B34E6B">
              <w:rPr>
                <w:b/>
                <w:sz w:val="40"/>
                <w:szCs w:val="40"/>
                <w:lang w:val="es-ES_tradnl"/>
              </w:rPr>
              <w:t>S</w:t>
            </w:r>
          </w:p>
        </w:tc>
      </w:tr>
      <w:tr w:rsidR="008D3106" w:rsidRPr="008B3BA1" w:rsidTr="00093ED8">
        <w:trPr>
          <w:trHeight w:hRule="exact" w:val="340"/>
        </w:trPr>
        <w:tc>
          <w:tcPr>
            <w:tcW w:w="9356" w:type="dxa"/>
            <w:gridSpan w:val="3"/>
            <w:tcBorders>
              <w:top w:val="single" w:sz="4" w:space="0" w:color="auto"/>
            </w:tcBorders>
            <w:tcMar>
              <w:top w:w="170" w:type="dxa"/>
              <w:left w:w="0" w:type="dxa"/>
              <w:right w:w="0" w:type="dxa"/>
            </w:tcMar>
            <w:vAlign w:val="bottom"/>
          </w:tcPr>
          <w:p w:rsidR="008D3106" w:rsidRPr="008B3BA1" w:rsidRDefault="008D3106" w:rsidP="00093ED8">
            <w:pPr>
              <w:jc w:val="right"/>
              <w:rPr>
                <w:rFonts w:ascii="Arial Black" w:hAnsi="Arial Black"/>
                <w:caps/>
                <w:sz w:val="15"/>
              </w:rPr>
            </w:pPr>
            <w:bookmarkStart w:id="1" w:name="TitleOfDoc"/>
            <w:bookmarkEnd w:id="1"/>
            <w:r w:rsidRPr="008B3BA1">
              <w:rPr>
                <w:rFonts w:ascii="Arial Black" w:hAnsi="Arial Black"/>
                <w:caps/>
                <w:sz w:val="15"/>
              </w:rPr>
              <w:t>a/54/</w:t>
            </w:r>
            <w:bookmarkStart w:id="2" w:name="Code"/>
            <w:bookmarkEnd w:id="2"/>
            <w:r w:rsidR="005F1C14">
              <w:rPr>
                <w:rFonts w:ascii="Arial Black" w:hAnsi="Arial Black"/>
                <w:caps/>
                <w:sz w:val="15"/>
              </w:rPr>
              <w:t>1</w:t>
            </w:r>
            <w:r w:rsidRPr="008B3BA1">
              <w:rPr>
                <w:rFonts w:ascii="Arial Black" w:hAnsi="Arial Black"/>
                <w:caps/>
                <w:sz w:val="15"/>
              </w:rPr>
              <w:t>2</w:t>
            </w:r>
          </w:p>
        </w:tc>
      </w:tr>
      <w:tr w:rsidR="008D3106" w:rsidRPr="008B3BA1" w:rsidTr="00093ED8">
        <w:trPr>
          <w:trHeight w:hRule="exact" w:val="170"/>
        </w:trPr>
        <w:tc>
          <w:tcPr>
            <w:tcW w:w="9356" w:type="dxa"/>
            <w:gridSpan w:val="3"/>
            <w:noWrap/>
            <w:tcMar>
              <w:left w:w="0" w:type="dxa"/>
              <w:right w:w="0" w:type="dxa"/>
            </w:tcMar>
            <w:vAlign w:val="bottom"/>
          </w:tcPr>
          <w:p w:rsidR="008D3106" w:rsidRPr="008B3BA1" w:rsidRDefault="008D3106" w:rsidP="00093ED8">
            <w:pPr>
              <w:jc w:val="right"/>
              <w:rPr>
                <w:rFonts w:ascii="Arial Black" w:hAnsi="Arial Black"/>
                <w:caps/>
                <w:sz w:val="15"/>
              </w:rPr>
            </w:pPr>
            <w:r w:rsidRPr="008B3BA1">
              <w:rPr>
                <w:rFonts w:ascii="Arial Black" w:hAnsi="Arial Black"/>
                <w:caps/>
                <w:sz w:val="15"/>
              </w:rPr>
              <w:t xml:space="preserve">ORIGINAL:  </w:t>
            </w:r>
            <w:bookmarkStart w:id="3" w:name="Original"/>
            <w:bookmarkEnd w:id="3"/>
            <w:r w:rsidRPr="008B3BA1">
              <w:rPr>
                <w:rFonts w:ascii="Arial Black" w:hAnsi="Arial Black"/>
                <w:caps/>
                <w:sz w:val="15"/>
              </w:rPr>
              <w:t>INGLÉS</w:t>
            </w:r>
          </w:p>
        </w:tc>
      </w:tr>
      <w:tr w:rsidR="008D3106" w:rsidRPr="008B3BA1" w:rsidTr="00093ED8">
        <w:trPr>
          <w:trHeight w:hRule="exact" w:val="198"/>
        </w:trPr>
        <w:tc>
          <w:tcPr>
            <w:tcW w:w="9356" w:type="dxa"/>
            <w:gridSpan w:val="3"/>
            <w:tcMar>
              <w:left w:w="0" w:type="dxa"/>
              <w:right w:w="0" w:type="dxa"/>
            </w:tcMar>
            <w:vAlign w:val="bottom"/>
          </w:tcPr>
          <w:p w:rsidR="008D3106" w:rsidRPr="008B3BA1" w:rsidRDefault="008D3106" w:rsidP="005F1C14">
            <w:pPr>
              <w:jc w:val="right"/>
              <w:rPr>
                <w:rFonts w:ascii="Arial Black" w:hAnsi="Arial Black"/>
                <w:caps/>
                <w:sz w:val="15"/>
              </w:rPr>
            </w:pPr>
            <w:r w:rsidRPr="008B3BA1">
              <w:rPr>
                <w:rFonts w:ascii="Arial Black" w:hAnsi="Arial Black"/>
                <w:caps/>
                <w:sz w:val="15"/>
              </w:rPr>
              <w:t xml:space="preserve">fecha:  </w:t>
            </w:r>
            <w:bookmarkStart w:id="4" w:name="Date"/>
            <w:bookmarkEnd w:id="4"/>
            <w:r w:rsidR="005F1C14">
              <w:rPr>
                <w:rFonts w:ascii="Arial Black" w:hAnsi="Arial Black"/>
                <w:caps/>
                <w:sz w:val="15"/>
              </w:rPr>
              <w:t>9 de septiembre</w:t>
            </w:r>
            <w:r w:rsidRPr="008B3BA1">
              <w:rPr>
                <w:rFonts w:ascii="Arial Black" w:hAnsi="Arial Black"/>
                <w:caps/>
                <w:sz w:val="15"/>
              </w:rPr>
              <w:t xml:space="preserve"> DE 2014</w:t>
            </w:r>
          </w:p>
        </w:tc>
      </w:tr>
    </w:tbl>
    <w:p w:rsidR="008D3106" w:rsidRPr="008B3BA1" w:rsidRDefault="008D3106" w:rsidP="008D3106"/>
    <w:p w:rsidR="008D3106" w:rsidRPr="008B3BA1" w:rsidRDefault="008D3106" w:rsidP="008D3106"/>
    <w:p w:rsidR="008D3106" w:rsidRPr="008B3BA1" w:rsidRDefault="008D3106" w:rsidP="008D3106"/>
    <w:p w:rsidR="008D3106" w:rsidRPr="008B3BA1" w:rsidRDefault="008D3106" w:rsidP="008D3106"/>
    <w:p w:rsidR="008D3106" w:rsidRPr="008B3BA1" w:rsidRDefault="008D3106" w:rsidP="008D3106"/>
    <w:p w:rsidR="008D3106" w:rsidRPr="008D3106" w:rsidRDefault="008D3106" w:rsidP="008D3106">
      <w:pPr>
        <w:rPr>
          <w:b/>
          <w:sz w:val="28"/>
          <w:szCs w:val="28"/>
          <w:lang w:val="es-ES"/>
        </w:rPr>
      </w:pPr>
      <w:r w:rsidRPr="008D3106">
        <w:rPr>
          <w:b/>
          <w:sz w:val="28"/>
          <w:szCs w:val="28"/>
          <w:lang w:val="es-ES"/>
        </w:rPr>
        <w:t>Asambleas de los Estados miembros de la OMPI</w:t>
      </w:r>
    </w:p>
    <w:p w:rsidR="008D3106" w:rsidRPr="008D3106" w:rsidRDefault="008D3106" w:rsidP="008D3106">
      <w:pPr>
        <w:rPr>
          <w:lang w:val="es-ES"/>
        </w:rPr>
      </w:pPr>
    </w:p>
    <w:p w:rsidR="008D3106" w:rsidRPr="008D3106" w:rsidRDefault="008D3106" w:rsidP="008D3106">
      <w:pPr>
        <w:rPr>
          <w:lang w:val="es-ES"/>
        </w:rPr>
      </w:pPr>
    </w:p>
    <w:p w:rsidR="008D3106" w:rsidRPr="008D3106" w:rsidRDefault="008D3106" w:rsidP="008D3106">
      <w:pPr>
        <w:rPr>
          <w:b/>
          <w:sz w:val="24"/>
          <w:szCs w:val="24"/>
          <w:lang w:val="es-ES"/>
        </w:rPr>
      </w:pPr>
      <w:r w:rsidRPr="008D3106">
        <w:rPr>
          <w:b/>
          <w:sz w:val="24"/>
          <w:szCs w:val="24"/>
          <w:lang w:val="es-ES"/>
        </w:rPr>
        <w:t>Quincuagésima cuarta serie de reuniones</w:t>
      </w:r>
    </w:p>
    <w:p w:rsidR="008D3106" w:rsidRPr="008D3106" w:rsidRDefault="008D3106" w:rsidP="008D3106">
      <w:pPr>
        <w:rPr>
          <w:b/>
          <w:sz w:val="24"/>
          <w:szCs w:val="24"/>
          <w:lang w:val="es-ES"/>
        </w:rPr>
      </w:pPr>
      <w:r w:rsidRPr="008D3106">
        <w:rPr>
          <w:b/>
          <w:sz w:val="24"/>
          <w:szCs w:val="24"/>
          <w:lang w:val="es-ES"/>
        </w:rPr>
        <w:t>Ginebra, 22 a 30 de septiembre de 2014</w:t>
      </w:r>
    </w:p>
    <w:p w:rsidR="008D3106" w:rsidRPr="008D3106" w:rsidRDefault="008D3106" w:rsidP="008D3106">
      <w:pPr>
        <w:rPr>
          <w:lang w:val="es-ES"/>
        </w:rPr>
      </w:pPr>
    </w:p>
    <w:p w:rsidR="008D3106" w:rsidRPr="008D3106" w:rsidRDefault="008D3106" w:rsidP="008D3106">
      <w:pPr>
        <w:rPr>
          <w:lang w:val="es-ES"/>
        </w:rPr>
      </w:pPr>
    </w:p>
    <w:p w:rsidR="008D3106" w:rsidRPr="008D3106" w:rsidRDefault="008D3106" w:rsidP="008D3106">
      <w:pPr>
        <w:rPr>
          <w:lang w:val="es-ES"/>
        </w:rPr>
      </w:pPr>
    </w:p>
    <w:p w:rsidR="008B2CC1" w:rsidRPr="00B34E6B" w:rsidRDefault="000307F3" w:rsidP="008B2CC1">
      <w:pPr>
        <w:rPr>
          <w:caps/>
          <w:sz w:val="24"/>
          <w:lang w:val="es-ES_tradnl"/>
        </w:rPr>
      </w:pPr>
      <w:r>
        <w:rPr>
          <w:caps/>
          <w:sz w:val="24"/>
          <w:lang w:val="es-ES_tradnl"/>
        </w:rPr>
        <w:t>OFICINAS EN EL EXTERIOR</w:t>
      </w:r>
    </w:p>
    <w:p w:rsidR="008B2CC1" w:rsidRPr="00B34E6B" w:rsidRDefault="008B2CC1" w:rsidP="008B2CC1">
      <w:pPr>
        <w:rPr>
          <w:lang w:val="es-ES_tradnl"/>
        </w:rPr>
      </w:pPr>
    </w:p>
    <w:p w:rsidR="008B2CC1" w:rsidRPr="002C4B0B" w:rsidRDefault="002C4B0B" w:rsidP="008B2CC1">
      <w:pPr>
        <w:rPr>
          <w:i/>
          <w:lang w:val="es-ES_tradnl"/>
        </w:rPr>
      </w:pPr>
      <w:bookmarkStart w:id="5" w:name="Prepared"/>
      <w:bookmarkEnd w:id="5"/>
      <w:r>
        <w:rPr>
          <w:i/>
          <w:lang w:val="es-ES_tradnl"/>
        </w:rPr>
        <w:t>Documento preparado por la Secretaría</w:t>
      </w:r>
    </w:p>
    <w:p w:rsidR="002928D3" w:rsidRDefault="002928D3">
      <w:pPr>
        <w:rPr>
          <w:lang w:val="es-ES_tradnl"/>
        </w:rPr>
      </w:pPr>
    </w:p>
    <w:p w:rsidR="002C4B0B" w:rsidRDefault="002C4B0B">
      <w:pPr>
        <w:rPr>
          <w:lang w:val="es-ES_tradnl"/>
        </w:rPr>
      </w:pPr>
    </w:p>
    <w:p w:rsidR="002C4B0B" w:rsidRPr="00B34E6B" w:rsidRDefault="002C4B0B">
      <w:pPr>
        <w:rPr>
          <w:lang w:val="es-ES_tradnl"/>
        </w:rPr>
      </w:pPr>
    </w:p>
    <w:p w:rsidR="00DC660E" w:rsidRDefault="000307F3" w:rsidP="00CB33B1">
      <w:pPr>
        <w:rPr>
          <w:lang w:val="es-ES_tradnl"/>
        </w:rPr>
      </w:pPr>
      <w:r>
        <w:rPr>
          <w:lang w:val="es-ES_tradnl"/>
        </w:rPr>
        <w:t>1.</w:t>
      </w:r>
      <w:r w:rsidR="005C0F71">
        <w:rPr>
          <w:lang w:val="es-ES_tradnl"/>
        </w:rPr>
        <w:tab/>
      </w:r>
      <w:r w:rsidR="00DC660E">
        <w:rPr>
          <w:lang w:val="es-ES_tradnl"/>
        </w:rPr>
        <w:t xml:space="preserve">El presente documento contiene el “Proyecto de principios rectores </w:t>
      </w:r>
      <w:r w:rsidR="00E42924">
        <w:rPr>
          <w:lang w:val="es-ES_tradnl"/>
        </w:rPr>
        <w:t>relativos a</w:t>
      </w:r>
      <w:r w:rsidR="00DC660E">
        <w:rPr>
          <w:lang w:val="es-ES_tradnl"/>
        </w:rPr>
        <w:t xml:space="preserve"> las oficinas </w:t>
      </w:r>
      <w:r w:rsidR="00E42924">
        <w:rPr>
          <w:lang w:val="es-ES_tradnl"/>
        </w:rPr>
        <w:t xml:space="preserve">de la OMPI </w:t>
      </w:r>
      <w:r w:rsidR="00DC660E">
        <w:rPr>
          <w:lang w:val="es-ES_tradnl"/>
        </w:rPr>
        <w:t xml:space="preserve">en el exterior” (que anteriormente figuraba en el documento WO/PBC/22/25) y la “Lista de países que han manifestado su voluntad de acoger una oficina </w:t>
      </w:r>
      <w:r w:rsidR="00E42924">
        <w:rPr>
          <w:lang w:val="es-ES_tradnl"/>
        </w:rPr>
        <w:t xml:space="preserve">de la OMPI </w:t>
      </w:r>
      <w:r w:rsidR="00F676E3">
        <w:rPr>
          <w:lang w:val="es-ES_tradnl"/>
        </w:rPr>
        <w:t xml:space="preserve">en </w:t>
      </w:r>
      <w:r w:rsidR="00DC660E">
        <w:rPr>
          <w:lang w:val="es-ES_tradnl"/>
        </w:rPr>
        <w:t xml:space="preserve">el exterior” (previamente consignada en el documento WO/PBC/22/LIST OF COUNTRIES), </w:t>
      </w:r>
      <w:r w:rsidR="00C57058">
        <w:rPr>
          <w:lang w:val="es-ES_tradnl"/>
        </w:rPr>
        <w:t>que se sometieron</w:t>
      </w:r>
      <w:r w:rsidR="00DC660E">
        <w:rPr>
          <w:lang w:val="es-ES_tradnl"/>
        </w:rPr>
        <w:t xml:space="preserve"> a la consideración del Comité del Programa y Presupuesto (PBC) en su vigésima segunda sesión (</w:t>
      </w:r>
      <w:r w:rsidR="00C57058">
        <w:rPr>
          <w:lang w:val="es-ES_tradnl"/>
        </w:rPr>
        <w:t>1 a 5 de septiembre de 2014)</w:t>
      </w:r>
      <w:r w:rsidR="00DC660E">
        <w:rPr>
          <w:lang w:val="es-ES_tradnl"/>
        </w:rPr>
        <w:t xml:space="preserve"> </w:t>
      </w:r>
      <w:r w:rsidR="00C57058">
        <w:rPr>
          <w:lang w:val="es-ES_tradnl"/>
        </w:rPr>
        <w:t>y posteriormente fueron actualizados, al menos en lo que respecta a la Lista.</w:t>
      </w:r>
      <w:r w:rsidR="00DC660E">
        <w:rPr>
          <w:lang w:val="es-ES_tradnl"/>
        </w:rPr>
        <w:t xml:space="preserve"> </w:t>
      </w:r>
    </w:p>
    <w:p w:rsidR="00DC660E" w:rsidRDefault="00DC660E" w:rsidP="00CB33B1">
      <w:pPr>
        <w:rPr>
          <w:lang w:val="es-ES_tradnl"/>
        </w:rPr>
      </w:pPr>
    </w:p>
    <w:p w:rsidR="00CB33B1" w:rsidRDefault="00C57058" w:rsidP="00CB33B1">
      <w:pPr>
        <w:rPr>
          <w:lang w:val="es-ES_tradnl"/>
        </w:rPr>
      </w:pPr>
      <w:r>
        <w:rPr>
          <w:lang w:val="es-ES_tradnl"/>
        </w:rPr>
        <w:t>2.</w:t>
      </w:r>
      <w:r>
        <w:rPr>
          <w:lang w:val="es-ES_tradnl"/>
        </w:rPr>
        <w:tab/>
      </w:r>
      <w:r w:rsidR="000307F3">
        <w:rPr>
          <w:lang w:val="es-ES_tradnl"/>
        </w:rPr>
        <w:t xml:space="preserve">Cabe recordar que, en su 52ª serie de reuniones, las Asambleas de los Estados miembros de la OMPI y de las Uniones que ella administra, en lo que a cada una </w:t>
      </w:r>
      <w:r w:rsidR="00B4227A">
        <w:rPr>
          <w:lang w:val="es-ES_tradnl"/>
        </w:rPr>
        <w:t xml:space="preserve">le </w:t>
      </w:r>
      <w:r w:rsidR="000307F3">
        <w:rPr>
          <w:lang w:val="es-ES_tradnl"/>
        </w:rPr>
        <w:t>concern</w:t>
      </w:r>
      <w:r w:rsidR="00F56395">
        <w:rPr>
          <w:lang w:val="es-ES_tradnl"/>
        </w:rPr>
        <w:t>ía</w:t>
      </w:r>
      <w:r w:rsidR="000307F3">
        <w:rPr>
          <w:lang w:val="es-ES_tradnl"/>
        </w:rPr>
        <w:t xml:space="preserve">, decidieron </w:t>
      </w:r>
      <w:r w:rsidR="000307F3" w:rsidRPr="000307F3">
        <w:rPr>
          <w:lang w:val="es-ES_tradnl"/>
        </w:rPr>
        <w:t>continuar las consultas abiertas</w:t>
      </w:r>
      <w:r w:rsidR="000307F3">
        <w:rPr>
          <w:lang w:val="es-ES_tradnl"/>
        </w:rPr>
        <w:t>,</w:t>
      </w:r>
      <w:r w:rsidR="000307F3" w:rsidRPr="000307F3">
        <w:rPr>
          <w:lang w:val="es-ES_tradnl"/>
        </w:rPr>
        <w:t xml:space="preserve"> bajo la dirección de la Presidenta de la Asamblea General</w:t>
      </w:r>
      <w:r w:rsidR="000307F3">
        <w:rPr>
          <w:lang w:val="es-ES_tradnl"/>
        </w:rPr>
        <w:t>,</w:t>
      </w:r>
      <w:r w:rsidR="000307F3" w:rsidRPr="000307F3">
        <w:rPr>
          <w:lang w:val="es-ES_tradnl"/>
        </w:rPr>
        <w:t xml:space="preserve"> acerca de los principios rectores propuestos en relación con las oficinas de la OMPI en el exterior, tal y como consta</w:t>
      </w:r>
      <w:r w:rsidR="00F56395">
        <w:rPr>
          <w:lang w:val="es-ES_tradnl"/>
        </w:rPr>
        <w:t>ba</w:t>
      </w:r>
      <w:r w:rsidR="000307F3" w:rsidRPr="000307F3">
        <w:rPr>
          <w:lang w:val="es-ES_tradnl"/>
        </w:rPr>
        <w:t>n en el Anexo del documento A/52/5, y acerca del establecimiento de oficinas de la OMPI en el exterior, teniendo en cuenta todas las propuestas, incluidos los documentos conexos y sin limitarse a los documentos presentados en la 51ª serie de reuniones de las Asambleas con arreglo al punto 14 del orden del día</w:t>
      </w:r>
      <w:r w:rsidR="00B4227A">
        <w:rPr>
          <w:lang w:val="es-ES_tradnl"/>
        </w:rPr>
        <w:t>, y en</w:t>
      </w:r>
      <w:r w:rsidR="000307F3" w:rsidRPr="000307F3">
        <w:rPr>
          <w:lang w:val="es-ES_tradnl"/>
        </w:rPr>
        <w:t xml:space="preserve"> la 52ª serie de reuniones de las Asambleas con arreglo al punto 5 del orden del día, así como las posturas y preocupaciones, también acerca del proceso, expresadas por los Estados miembros durante la sesión del PBC y de las </w:t>
      </w:r>
      <w:r w:rsidR="00B4227A">
        <w:rPr>
          <w:lang w:val="es-ES_tradnl"/>
        </w:rPr>
        <w:t xml:space="preserve">reuniones de las </w:t>
      </w:r>
      <w:r w:rsidR="000307F3" w:rsidRPr="000307F3">
        <w:rPr>
          <w:lang w:val="es-ES_tradnl"/>
        </w:rPr>
        <w:t>Asambleas, para examen y recomendación por el PBC y decisión por la Asamblea General en septiembre de 2014</w:t>
      </w:r>
      <w:r w:rsidR="000307F3">
        <w:rPr>
          <w:lang w:val="es-ES_tradnl"/>
        </w:rPr>
        <w:t xml:space="preserve"> (véase el párrafo 112 del documento A/52/6).</w:t>
      </w:r>
    </w:p>
    <w:p w:rsidR="005C0F71" w:rsidRDefault="005C0F71" w:rsidP="00CB33B1">
      <w:pPr>
        <w:rPr>
          <w:lang w:val="es-ES_tradnl"/>
        </w:rPr>
      </w:pPr>
    </w:p>
    <w:p w:rsidR="008F5C69" w:rsidRDefault="00C57058" w:rsidP="00CB33B1">
      <w:pPr>
        <w:rPr>
          <w:lang w:val="es-ES_tradnl"/>
        </w:rPr>
      </w:pPr>
      <w:r>
        <w:rPr>
          <w:lang w:val="es-ES_tradnl"/>
        </w:rPr>
        <w:t>3</w:t>
      </w:r>
      <w:r w:rsidR="008F5C69">
        <w:rPr>
          <w:lang w:val="es-ES_tradnl"/>
        </w:rPr>
        <w:t>.</w:t>
      </w:r>
      <w:r w:rsidR="008F5C69">
        <w:rPr>
          <w:lang w:val="es-ES_tradnl"/>
        </w:rPr>
        <w:tab/>
        <w:t>La Presidenta de la As</w:t>
      </w:r>
      <w:r w:rsidR="00B4227A">
        <w:rPr>
          <w:lang w:val="es-ES_tradnl"/>
        </w:rPr>
        <w:t>a</w:t>
      </w:r>
      <w:r w:rsidR="008F5C69">
        <w:rPr>
          <w:lang w:val="es-ES_tradnl"/>
        </w:rPr>
        <w:t xml:space="preserve">mblea General pidió al Sr. </w:t>
      </w:r>
      <w:proofErr w:type="spellStart"/>
      <w:r w:rsidR="008F5C69">
        <w:rPr>
          <w:lang w:val="es-ES_tradnl"/>
        </w:rPr>
        <w:t>Fit</w:t>
      </w:r>
      <w:r w:rsidR="005F1C14">
        <w:rPr>
          <w:lang w:val="es-ES_tradnl"/>
        </w:rPr>
        <w:t>s</w:t>
      </w:r>
      <w:r w:rsidR="008F5C69">
        <w:rPr>
          <w:lang w:val="es-ES_tradnl"/>
        </w:rPr>
        <w:t>chen</w:t>
      </w:r>
      <w:proofErr w:type="spellEnd"/>
      <w:r w:rsidR="008F5C69">
        <w:rPr>
          <w:lang w:val="es-ES_tradnl"/>
        </w:rPr>
        <w:t xml:space="preserve">, Embajador de Alemania, que facilite el proceso de consultas en torno a los asuntos relacionados con las oficinas de la OMPI en el exterior.  Tras ocho consultas abiertas celebradas entre mayo y julio de 2014, el Facilitador presentó el </w:t>
      </w:r>
      <w:r>
        <w:rPr>
          <w:lang w:val="es-ES_tradnl"/>
        </w:rPr>
        <w:t>documento titulado “Proyecto de principios rectores rela</w:t>
      </w:r>
      <w:r w:rsidR="00675307">
        <w:rPr>
          <w:lang w:val="es-ES_tradnl"/>
        </w:rPr>
        <w:t>tivos a</w:t>
      </w:r>
      <w:r>
        <w:rPr>
          <w:lang w:val="es-ES_tradnl"/>
        </w:rPr>
        <w:t xml:space="preserve"> las oficinas </w:t>
      </w:r>
      <w:r w:rsidR="00675307">
        <w:rPr>
          <w:lang w:val="es-ES_tradnl"/>
        </w:rPr>
        <w:t xml:space="preserve">de la OMPI </w:t>
      </w:r>
      <w:r>
        <w:rPr>
          <w:lang w:val="es-ES_tradnl"/>
        </w:rPr>
        <w:t>en el exterior”</w:t>
      </w:r>
      <w:r w:rsidR="008F5C69">
        <w:rPr>
          <w:lang w:val="es-ES_tradnl"/>
        </w:rPr>
        <w:t xml:space="preserve"> a la Presi</w:t>
      </w:r>
      <w:r w:rsidR="00B4227A">
        <w:rPr>
          <w:lang w:val="es-ES_tradnl"/>
        </w:rPr>
        <w:t>denta de la Asamblea General el 11 </w:t>
      </w:r>
      <w:r w:rsidR="008F5C69">
        <w:rPr>
          <w:lang w:val="es-ES_tradnl"/>
        </w:rPr>
        <w:t>de julio.</w:t>
      </w:r>
    </w:p>
    <w:p w:rsidR="005F1C14" w:rsidRDefault="00C57058" w:rsidP="005F1C14">
      <w:pPr>
        <w:tabs>
          <w:tab w:val="left" w:pos="567"/>
        </w:tabs>
        <w:rPr>
          <w:lang w:val="es-ES_tradnl"/>
        </w:rPr>
      </w:pPr>
      <w:r>
        <w:rPr>
          <w:lang w:val="es-ES_tradnl"/>
        </w:rPr>
        <w:lastRenderedPageBreak/>
        <w:t>4</w:t>
      </w:r>
      <w:r w:rsidR="005F1C14">
        <w:rPr>
          <w:lang w:val="es-ES_tradnl"/>
        </w:rPr>
        <w:t>.</w:t>
      </w:r>
      <w:r w:rsidR="005F1C14">
        <w:rPr>
          <w:lang w:val="es-ES_tradnl"/>
        </w:rPr>
        <w:tab/>
      </w:r>
      <w:r w:rsidR="005F1C14" w:rsidRPr="005F1C14">
        <w:rPr>
          <w:lang w:val="es-ES_tradnl"/>
        </w:rPr>
        <w:t>Las de</w:t>
      </w:r>
      <w:r w:rsidR="005F1C14">
        <w:rPr>
          <w:lang w:val="es-ES_tradnl"/>
        </w:rPr>
        <w:t>cisiones del PBC con respecto a las “Oficinas en el exterior” figura</w:t>
      </w:r>
      <w:r w:rsidR="005F1C14" w:rsidRPr="005F1C14">
        <w:rPr>
          <w:lang w:val="es-ES_tradnl"/>
        </w:rPr>
        <w:t xml:space="preserve">n en la </w:t>
      </w:r>
      <w:r w:rsidR="005F1C14">
        <w:rPr>
          <w:lang w:val="es-ES_tradnl"/>
        </w:rPr>
        <w:t>Lista</w:t>
      </w:r>
      <w:r w:rsidR="005F1C14" w:rsidRPr="005F1C14">
        <w:rPr>
          <w:lang w:val="es-ES_tradnl"/>
        </w:rPr>
        <w:t xml:space="preserve"> de las decisiones adoptadas por el </w:t>
      </w:r>
      <w:r w:rsidR="005F1C14">
        <w:rPr>
          <w:lang w:val="es-ES_tradnl"/>
        </w:rPr>
        <w:t>PBC</w:t>
      </w:r>
      <w:r w:rsidR="005F1C14" w:rsidRPr="005F1C14">
        <w:rPr>
          <w:lang w:val="es-ES_tradnl"/>
        </w:rPr>
        <w:t xml:space="preserve"> en su vigésima segunda</w:t>
      </w:r>
      <w:r w:rsidR="005F1C14">
        <w:rPr>
          <w:lang w:val="es-ES_tradnl"/>
        </w:rPr>
        <w:t xml:space="preserve"> sesión (1 a 5 de septiembre de </w:t>
      </w:r>
      <w:r w:rsidR="005F1C14" w:rsidRPr="005F1C14">
        <w:rPr>
          <w:lang w:val="es-ES_tradnl"/>
        </w:rPr>
        <w:t>2014) (documento A/54/5).</w:t>
      </w:r>
    </w:p>
    <w:p w:rsidR="008F5C69" w:rsidRDefault="008F5C69" w:rsidP="00CB33B1">
      <w:pPr>
        <w:rPr>
          <w:lang w:val="es-ES_tradnl"/>
        </w:rPr>
      </w:pPr>
    </w:p>
    <w:p w:rsidR="005C0F71" w:rsidRDefault="005C0F71" w:rsidP="00CB33B1">
      <w:pPr>
        <w:rPr>
          <w:lang w:val="es-ES_tradnl"/>
        </w:rPr>
      </w:pPr>
    </w:p>
    <w:p w:rsidR="005C0F71" w:rsidRDefault="005C0F71" w:rsidP="005C0F71">
      <w:pPr>
        <w:pStyle w:val="Endofdocument-Annex"/>
        <w:rPr>
          <w:lang w:val="es-ES_tradnl"/>
        </w:rPr>
      </w:pPr>
      <w:r>
        <w:rPr>
          <w:lang w:val="es-ES_tradnl"/>
        </w:rPr>
        <w:t>[Sigue</w:t>
      </w:r>
      <w:r w:rsidR="005F1C14">
        <w:rPr>
          <w:lang w:val="es-ES_tradnl"/>
        </w:rPr>
        <w:t>n los Anexos</w:t>
      </w:r>
      <w:r>
        <w:rPr>
          <w:lang w:val="es-ES_tradnl"/>
        </w:rPr>
        <w:t>]</w:t>
      </w:r>
    </w:p>
    <w:p w:rsidR="005F1C14" w:rsidRDefault="005F1C14" w:rsidP="005C0F71">
      <w:pPr>
        <w:pStyle w:val="Endofdocument-Annex"/>
        <w:rPr>
          <w:lang w:val="es-ES_tradnl"/>
        </w:rPr>
      </w:pPr>
    </w:p>
    <w:p w:rsidR="005F1C14" w:rsidRDefault="005F1C14" w:rsidP="005C0F71">
      <w:pPr>
        <w:rPr>
          <w:lang w:val="es-ES_tradnl"/>
        </w:rPr>
        <w:sectPr w:rsidR="005F1C14" w:rsidSect="005C0F71">
          <w:headerReference w:type="default" r:id="rId10"/>
          <w:endnotePr>
            <w:numFmt w:val="decimal"/>
          </w:endnotePr>
          <w:pgSz w:w="11907" w:h="16840" w:code="9"/>
          <w:pgMar w:top="567" w:right="1134" w:bottom="1418" w:left="1418" w:header="510" w:footer="1021" w:gutter="0"/>
          <w:cols w:space="720"/>
          <w:titlePg/>
          <w:docGrid w:linePitch="299"/>
        </w:sectPr>
      </w:pPr>
    </w:p>
    <w:p w:rsidR="005C0F71" w:rsidRDefault="005C0F71" w:rsidP="005C0F71">
      <w:pPr>
        <w:rPr>
          <w:lang w:val="es-ES_tradnl"/>
        </w:rPr>
      </w:pPr>
    </w:p>
    <w:p w:rsidR="005C0F71" w:rsidRDefault="005C0F71" w:rsidP="005C0F71">
      <w:pPr>
        <w:rPr>
          <w:lang w:val="es-ES_tradnl"/>
        </w:rPr>
      </w:pPr>
    </w:p>
    <w:p w:rsidR="004E2F2D" w:rsidRPr="000A0E17" w:rsidRDefault="004E2F2D" w:rsidP="00497DD9">
      <w:pPr>
        <w:tabs>
          <w:tab w:val="left" w:pos="6096"/>
        </w:tabs>
        <w:autoSpaceDE w:val="0"/>
        <w:autoSpaceDN w:val="0"/>
        <w:adjustRightInd w:val="0"/>
        <w:rPr>
          <w:rFonts w:eastAsia="Times New Roman"/>
          <w:i/>
          <w:szCs w:val="24"/>
          <w:lang w:val="es-ES_tradnl" w:eastAsia="en-US"/>
        </w:rPr>
      </w:pPr>
      <w:r w:rsidRPr="000A0E17">
        <w:rPr>
          <w:rFonts w:eastAsia="Times New Roman"/>
          <w:i/>
          <w:szCs w:val="24"/>
          <w:lang w:val="es-ES_tradnl" w:eastAsia="en-US"/>
        </w:rPr>
        <w:t>Facilitador</w:t>
      </w:r>
      <w:r>
        <w:rPr>
          <w:rFonts w:eastAsia="Times New Roman"/>
          <w:i/>
          <w:szCs w:val="24"/>
          <w:lang w:val="es-ES_tradnl" w:eastAsia="en-US"/>
        </w:rPr>
        <w:tab/>
      </w:r>
      <w:r w:rsidRPr="000A0E17">
        <w:rPr>
          <w:rFonts w:eastAsia="Times New Roman"/>
          <w:i/>
          <w:szCs w:val="24"/>
          <w:lang w:val="es-ES_tradnl" w:eastAsia="en-US"/>
        </w:rPr>
        <w:t xml:space="preserve">11 de </w:t>
      </w:r>
      <w:r>
        <w:rPr>
          <w:rFonts w:eastAsia="Times New Roman"/>
          <w:i/>
          <w:szCs w:val="24"/>
          <w:lang w:val="es-ES_tradnl" w:eastAsia="en-US"/>
        </w:rPr>
        <w:t>j</w:t>
      </w:r>
      <w:r w:rsidRPr="000A0E17">
        <w:rPr>
          <w:rFonts w:eastAsia="Times New Roman"/>
          <w:i/>
          <w:szCs w:val="24"/>
          <w:lang w:val="es-ES_tradnl" w:eastAsia="en-US"/>
        </w:rPr>
        <w:t>ulio de 2014, 18.15 horas</w:t>
      </w:r>
    </w:p>
    <w:p w:rsidR="004E2F2D" w:rsidRPr="006925A8" w:rsidRDefault="004E2F2D" w:rsidP="004E2F2D">
      <w:pPr>
        <w:tabs>
          <w:tab w:val="left" w:pos="3780"/>
        </w:tabs>
        <w:autoSpaceDE w:val="0"/>
        <w:autoSpaceDN w:val="0"/>
        <w:adjustRightInd w:val="0"/>
        <w:rPr>
          <w:rFonts w:eastAsia="Times New Roman"/>
          <w:szCs w:val="24"/>
          <w:lang w:val="es-ES_tradnl" w:eastAsia="en-US"/>
        </w:rPr>
      </w:pPr>
    </w:p>
    <w:p w:rsidR="004E2F2D" w:rsidRPr="006925A8" w:rsidRDefault="004E2F2D" w:rsidP="004E2F2D">
      <w:pPr>
        <w:tabs>
          <w:tab w:val="left" w:pos="3780"/>
        </w:tabs>
        <w:autoSpaceDE w:val="0"/>
        <w:autoSpaceDN w:val="0"/>
        <w:adjustRightInd w:val="0"/>
        <w:rPr>
          <w:rFonts w:eastAsia="Times New Roman"/>
          <w:szCs w:val="24"/>
          <w:lang w:val="es-ES_tradnl" w:eastAsia="en-US"/>
        </w:rPr>
      </w:pPr>
    </w:p>
    <w:p w:rsidR="004E2F2D" w:rsidRPr="006925A8" w:rsidRDefault="004E2F2D" w:rsidP="004E2F2D">
      <w:pPr>
        <w:tabs>
          <w:tab w:val="left" w:pos="3780"/>
        </w:tabs>
        <w:autoSpaceDE w:val="0"/>
        <w:autoSpaceDN w:val="0"/>
        <w:adjustRightInd w:val="0"/>
        <w:rPr>
          <w:rFonts w:eastAsia="Times New Roman"/>
          <w:b/>
          <w:szCs w:val="22"/>
          <w:lang w:val="es-ES_tradnl" w:eastAsia="en-US"/>
        </w:rPr>
      </w:pPr>
    </w:p>
    <w:p w:rsidR="004E2F2D" w:rsidRPr="006925A8" w:rsidRDefault="004E2F2D" w:rsidP="004E2F2D">
      <w:pPr>
        <w:tabs>
          <w:tab w:val="left" w:pos="3780"/>
        </w:tabs>
        <w:autoSpaceDE w:val="0"/>
        <w:autoSpaceDN w:val="0"/>
        <w:adjustRightInd w:val="0"/>
        <w:rPr>
          <w:rFonts w:eastAsia="Times New Roman"/>
          <w:b/>
          <w:szCs w:val="22"/>
          <w:lang w:val="es-ES_tradnl" w:eastAsia="en-US"/>
        </w:rPr>
      </w:pPr>
    </w:p>
    <w:p w:rsidR="004E2F2D" w:rsidRPr="004E2F2D" w:rsidRDefault="004B7713" w:rsidP="004E2F2D">
      <w:pPr>
        <w:tabs>
          <w:tab w:val="left" w:pos="3780"/>
        </w:tabs>
        <w:autoSpaceDE w:val="0"/>
        <w:autoSpaceDN w:val="0"/>
        <w:adjustRightInd w:val="0"/>
        <w:jc w:val="center"/>
        <w:rPr>
          <w:rFonts w:eastAsia="Times New Roman"/>
          <w:b/>
          <w:szCs w:val="22"/>
          <w:lang w:val="es-ES_tradnl" w:eastAsia="en-US"/>
        </w:rPr>
      </w:pPr>
      <w:r>
        <w:rPr>
          <w:rFonts w:eastAsia="Times New Roman"/>
          <w:b/>
          <w:szCs w:val="22"/>
          <w:lang w:val="es-ES_tradnl" w:eastAsia="en-US"/>
        </w:rPr>
        <w:t xml:space="preserve">PROYECTO DE </w:t>
      </w:r>
      <w:r w:rsidR="004E2F2D" w:rsidRPr="004E2F2D">
        <w:rPr>
          <w:rFonts w:eastAsia="Times New Roman"/>
          <w:b/>
          <w:szCs w:val="22"/>
          <w:lang w:val="es-ES_tradnl" w:eastAsia="en-US"/>
        </w:rPr>
        <w:t xml:space="preserve">PRINCIPIOS RECTORES RELATIVOS A LAS OFICINAS </w:t>
      </w:r>
      <w:r w:rsidR="004E2F2D">
        <w:rPr>
          <w:rFonts w:eastAsia="Times New Roman"/>
          <w:b/>
          <w:szCs w:val="22"/>
          <w:lang w:val="es-ES_tradnl" w:eastAsia="en-US"/>
        </w:rPr>
        <w:br/>
      </w:r>
      <w:r>
        <w:rPr>
          <w:rFonts w:eastAsia="Times New Roman"/>
          <w:b/>
          <w:szCs w:val="22"/>
          <w:lang w:val="es-ES_tradnl" w:eastAsia="en-US"/>
        </w:rPr>
        <w:t xml:space="preserve">DE LA OMPI </w:t>
      </w:r>
      <w:r w:rsidR="004E2F2D" w:rsidRPr="004E2F2D">
        <w:rPr>
          <w:rFonts w:eastAsia="Times New Roman"/>
          <w:b/>
          <w:szCs w:val="22"/>
          <w:lang w:val="es-ES_tradnl" w:eastAsia="en-US"/>
        </w:rPr>
        <w:t>EN EL EXTERIOR</w:t>
      </w:r>
    </w:p>
    <w:p w:rsidR="004E2F2D" w:rsidRPr="000A0E17" w:rsidRDefault="004E2F2D" w:rsidP="004E2F2D">
      <w:pPr>
        <w:tabs>
          <w:tab w:val="left" w:pos="3780"/>
        </w:tabs>
        <w:autoSpaceDE w:val="0"/>
        <w:autoSpaceDN w:val="0"/>
        <w:adjustRightInd w:val="0"/>
        <w:rPr>
          <w:rFonts w:eastAsia="Times New Roman"/>
          <w:szCs w:val="22"/>
          <w:lang w:val="es-ES_tradnl" w:eastAsia="en-US"/>
        </w:rPr>
      </w:pPr>
    </w:p>
    <w:p w:rsidR="004E2F2D" w:rsidRPr="000A0E17" w:rsidRDefault="004E2F2D" w:rsidP="004E2F2D">
      <w:pPr>
        <w:jc w:val="both"/>
        <w:rPr>
          <w:szCs w:val="22"/>
          <w:lang w:val="es-ES_tradnl"/>
        </w:rPr>
      </w:pPr>
    </w:p>
    <w:p w:rsidR="004E2F2D" w:rsidRPr="000A0E17" w:rsidRDefault="004E2F2D" w:rsidP="004E2F2D">
      <w:pPr>
        <w:tabs>
          <w:tab w:val="left" w:pos="567"/>
        </w:tabs>
        <w:rPr>
          <w:szCs w:val="22"/>
          <w:lang w:val="es-ES_tradnl"/>
        </w:rPr>
      </w:pPr>
      <w:r w:rsidRPr="000A0E17">
        <w:rPr>
          <w:szCs w:val="22"/>
          <w:lang w:val="es-ES_tradnl"/>
        </w:rPr>
        <w:t>1.</w:t>
      </w:r>
      <w:r>
        <w:rPr>
          <w:szCs w:val="22"/>
          <w:lang w:val="es-ES_tradnl"/>
        </w:rPr>
        <w:tab/>
      </w:r>
      <w:r w:rsidRPr="000A0E17">
        <w:rPr>
          <w:szCs w:val="22"/>
          <w:lang w:val="es-ES_tradnl"/>
        </w:rPr>
        <w:t xml:space="preserve">Los siguientes principios orientarán el papel de la Secretaría de la OMPI y la toma de decisiones de los Estados </w:t>
      </w:r>
      <w:r w:rsidR="00ED63AA">
        <w:rPr>
          <w:szCs w:val="22"/>
          <w:lang w:val="es-ES_tradnl"/>
        </w:rPr>
        <w:t>m</w:t>
      </w:r>
      <w:r w:rsidRPr="000A0E17">
        <w:rPr>
          <w:szCs w:val="22"/>
          <w:lang w:val="es-ES_tradnl"/>
        </w:rPr>
        <w:t>iembros para el establecimiento de una red de oficinas de la OMPI en el exterior [</w:t>
      </w:r>
      <w:proofErr w:type="gramStart"/>
      <w:r w:rsidRPr="000A0E17">
        <w:rPr>
          <w:szCs w:val="22"/>
          <w:lang w:val="es-ES_tradnl"/>
        </w:rPr>
        <w:t>,de</w:t>
      </w:r>
      <w:proofErr w:type="gramEnd"/>
      <w:r w:rsidRPr="000A0E17">
        <w:rPr>
          <w:szCs w:val="22"/>
          <w:lang w:val="es-ES_tradnl"/>
        </w:rPr>
        <w:t xml:space="preserve"> tamaño adecuado pero limitad</w:t>
      </w:r>
      <w:r w:rsidR="00B76E8B">
        <w:rPr>
          <w:szCs w:val="22"/>
          <w:lang w:val="es-ES_tradnl"/>
        </w:rPr>
        <w:t>a,] que pueda</w:t>
      </w:r>
      <w:r w:rsidRPr="000A0E17">
        <w:rPr>
          <w:szCs w:val="22"/>
          <w:lang w:val="es-ES_tradnl"/>
        </w:rPr>
        <w:t xml:space="preserve"> aportar un claro valor añadido, eficiencia y eficacia </w:t>
      </w:r>
      <w:r w:rsidR="00B76E8B">
        <w:rPr>
          <w:szCs w:val="22"/>
          <w:lang w:val="es-ES_tradnl"/>
        </w:rPr>
        <w:t>en la ejecución de los programas</w:t>
      </w:r>
      <w:r w:rsidRPr="000A0E17">
        <w:rPr>
          <w:szCs w:val="22"/>
          <w:lang w:val="es-ES_tradnl"/>
        </w:rPr>
        <w:t xml:space="preserve"> de una manera coordinada y complementaria con la </w:t>
      </w:r>
      <w:r w:rsidR="00ED63AA">
        <w:rPr>
          <w:szCs w:val="22"/>
          <w:lang w:val="es-ES_tradnl"/>
        </w:rPr>
        <w:t>s</w:t>
      </w:r>
      <w:r w:rsidRPr="000A0E17">
        <w:rPr>
          <w:szCs w:val="22"/>
          <w:lang w:val="es-ES_tradnl"/>
        </w:rPr>
        <w:t xml:space="preserve">ede de la OMPI, y que de no ser así no podría lograrse en el marco de las operaciones de la </w:t>
      </w:r>
      <w:r w:rsidR="00ED63AA">
        <w:rPr>
          <w:szCs w:val="22"/>
          <w:lang w:val="es-ES_tradnl"/>
        </w:rPr>
        <w:t>s</w:t>
      </w:r>
      <w:r w:rsidRPr="000A0E17">
        <w:rPr>
          <w:szCs w:val="22"/>
          <w:lang w:val="es-ES_tradnl"/>
        </w:rPr>
        <w:t>ede de la Organización.</w:t>
      </w:r>
    </w:p>
    <w:p w:rsidR="004E2F2D" w:rsidRPr="000A0E17" w:rsidRDefault="004E2F2D" w:rsidP="004E2F2D">
      <w:pPr>
        <w:rPr>
          <w:szCs w:val="22"/>
          <w:lang w:val="es-ES_tradnl"/>
        </w:rPr>
      </w:pPr>
    </w:p>
    <w:p w:rsidR="004E2F2D" w:rsidRPr="003752CD" w:rsidRDefault="004E2F2D" w:rsidP="004E2F2D">
      <w:pPr>
        <w:ind w:left="540" w:hanging="540"/>
        <w:rPr>
          <w:b/>
          <w:szCs w:val="22"/>
          <w:lang w:val="es-ES_tradnl"/>
        </w:rPr>
      </w:pPr>
      <w:r w:rsidRPr="003752CD">
        <w:rPr>
          <w:b/>
          <w:szCs w:val="22"/>
          <w:lang w:val="es-ES_tradnl"/>
        </w:rPr>
        <w:t>A.</w:t>
      </w:r>
      <w:r w:rsidRPr="003752CD">
        <w:rPr>
          <w:b/>
          <w:szCs w:val="22"/>
          <w:lang w:val="es-ES_tradnl"/>
        </w:rPr>
        <w:tab/>
        <w:t>Transparencia en los procedimientos y la toma de decisiones por parte de los Estados miembros para el establecimiento de nuevas oficinas en el exterior</w:t>
      </w:r>
    </w:p>
    <w:p w:rsidR="004E2F2D" w:rsidRPr="000A0E17" w:rsidRDefault="004E2F2D" w:rsidP="004E2F2D">
      <w:pPr>
        <w:rPr>
          <w:szCs w:val="22"/>
          <w:lang w:val="es-ES_tradnl"/>
        </w:rPr>
      </w:pPr>
    </w:p>
    <w:p w:rsidR="004E2F2D" w:rsidRPr="000A0E17" w:rsidRDefault="004E2F2D" w:rsidP="004E2F2D">
      <w:pPr>
        <w:tabs>
          <w:tab w:val="left" w:pos="567"/>
        </w:tabs>
        <w:rPr>
          <w:szCs w:val="22"/>
          <w:lang w:val="es-ES_tradnl"/>
        </w:rPr>
      </w:pPr>
      <w:r>
        <w:rPr>
          <w:szCs w:val="22"/>
          <w:lang w:val="es-ES_tradnl"/>
        </w:rPr>
        <w:t>2.</w:t>
      </w:r>
      <w:r w:rsidRPr="000A0E17">
        <w:rPr>
          <w:szCs w:val="22"/>
          <w:lang w:val="es-ES_tradnl"/>
        </w:rPr>
        <w:tab/>
        <w:t xml:space="preserve">Todo Estado miembro que desee acoger una oficina en el exterior, a título nacional o en nombre de un grupo de países o Grupo Regional si así </w:t>
      </w:r>
      <w:r w:rsidR="00ED63AA">
        <w:rPr>
          <w:szCs w:val="22"/>
          <w:lang w:val="es-ES_tradnl"/>
        </w:rPr>
        <w:t>lo acuerdan sus miembros</w:t>
      </w:r>
      <w:r w:rsidRPr="000A0E17">
        <w:rPr>
          <w:szCs w:val="22"/>
          <w:lang w:val="es-ES_tradnl"/>
        </w:rPr>
        <w:t xml:space="preserve">, deberá notificarlo por escrito al Presidente de la Asamblea General y al Director General.  El Presidente de la Asamblea General deberá informar sin demora a los Estados miembros de que ha recibido la notificación.  El presente párrafo no se aplica a los Estados miembros que ya hayan presentado las notificaciones por escrito, a título nacional o en nombre de un grupo de países o Grupo Regional. </w:t>
      </w:r>
    </w:p>
    <w:p w:rsidR="004E2F2D" w:rsidRPr="000A0E17" w:rsidRDefault="004E2F2D" w:rsidP="004E2F2D">
      <w:pPr>
        <w:rPr>
          <w:szCs w:val="22"/>
          <w:lang w:val="es-ES_tradnl"/>
        </w:rPr>
      </w:pPr>
    </w:p>
    <w:p w:rsidR="004E2F2D" w:rsidRPr="000A0E17" w:rsidRDefault="004E2F2D" w:rsidP="004E2F2D">
      <w:pPr>
        <w:tabs>
          <w:tab w:val="left" w:pos="567"/>
        </w:tabs>
        <w:rPr>
          <w:szCs w:val="22"/>
          <w:lang w:val="es-ES_tradnl"/>
        </w:rPr>
      </w:pPr>
      <w:r>
        <w:rPr>
          <w:szCs w:val="22"/>
          <w:lang w:val="es-ES_tradnl"/>
        </w:rPr>
        <w:t>3.</w:t>
      </w:r>
      <w:r w:rsidRPr="000A0E17">
        <w:rPr>
          <w:szCs w:val="22"/>
          <w:lang w:val="es-ES_tradnl"/>
        </w:rPr>
        <w:tab/>
        <w:t xml:space="preserve">El Estado miembro que desee acoger una oficina en el exterior, a título nacional o en nombre de un grupo de países o Grupo Regional si así </w:t>
      </w:r>
      <w:r w:rsidR="00ED63AA">
        <w:rPr>
          <w:szCs w:val="22"/>
          <w:lang w:val="es-ES_tradnl"/>
        </w:rPr>
        <w:t>lo acuerdan sus miembros</w:t>
      </w:r>
      <w:r w:rsidRPr="000A0E17">
        <w:rPr>
          <w:szCs w:val="22"/>
          <w:lang w:val="es-ES_tradnl"/>
        </w:rPr>
        <w:t xml:space="preserve">, deberá presentar </w:t>
      </w:r>
      <w:r w:rsidR="00ED63AA">
        <w:rPr>
          <w:szCs w:val="22"/>
          <w:lang w:val="es-ES_tradnl"/>
        </w:rPr>
        <w:t>una propuesta por conducto de</w:t>
      </w:r>
      <w:r w:rsidRPr="000A0E17">
        <w:rPr>
          <w:szCs w:val="22"/>
          <w:lang w:val="es-ES_tradnl"/>
        </w:rPr>
        <w:t>l Director General para que sea examinada por el Comité del Programa y Presupuesto (PBC).  Al preparar esa propuesta el Estado miembro podrá solicitar la asistencia de la Secretaría.  La Secretaría deberá presentar al PBC la notificación y la propuesta presentada</w:t>
      </w:r>
      <w:r w:rsidR="00ED63AA">
        <w:rPr>
          <w:szCs w:val="22"/>
          <w:lang w:val="es-ES_tradnl"/>
        </w:rPr>
        <w:t>s</w:t>
      </w:r>
      <w:r w:rsidRPr="000A0E17">
        <w:rPr>
          <w:szCs w:val="22"/>
          <w:lang w:val="es-ES_tradnl"/>
        </w:rPr>
        <w:t xml:space="preserve"> por el Estado miembro. </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3</w:t>
      </w:r>
      <w:r w:rsidR="003752CD" w:rsidRPr="003752CD">
        <w:rPr>
          <w:i/>
          <w:szCs w:val="22"/>
          <w:lang w:val="es-ES_tradnl"/>
        </w:rPr>
        <w:t>bis</w:t>
      </w:r>
      <w:r>
        <w:rPr>
          <w:szCs w:val="22"/>
          <w:lang w:val="es-ES_tradnl"/>
        </w:rPr>
        <w:t>.</w:t>
      </w:r>
      <w:r>
        <w:rPr>
          <w:szCs w:val="22"/>
          <w:lang w:val="es-ES_tradnl"/>
        </w:rPr>
        <w:tab/>
      </w:r>
      <w:r w:rsidRPr="000A0E17">
        <w:rPr>
          <w:szCs w:val="22"/>
          <w:lang w:val="es-ES_tradnl"/>
        </w:rPr>
        <w:t xml:space="preserve">La Secretaría proporcionará al PBC un informe separado y fáctico [técnico] sobre [la viabilidad de] la nueva oficina en el exterior propuesta y su concordancia con </w:t>
      </w:r>
      <w:r w:rsidR="00ED63AA">
        <w:rPr>
          <w:szCs w:val="22"/>
          <w:lang w:val="es-ES_tradnl"/>
        </w:rPr>
        <w:t>los presentes</w:t>
      </w:r>
      <w:r w:rsidRPr="000A0E17">
        <w:rPr>
          <w:szCs w:val="22"/>
          <w:lang w:val="es-ES_tradnl"/>
        </w:rPr>
        <w:t xml:space="preserve"> principios rectores.  En el documento también deberá figurar información pertinente </w:t>
      </w:r>
      <w:r w:rsidR="00ED63AA">
        <w:rPr>
          <w:szCs w:val="22"/>
          <w:lang w:val="es-ES_tradnl"/>
        </w:rPr>
        <w:t>en</w:t>
      </w:r>
      <w:r w:rsidRPr="000A0E17">
        <w:rPr>
          <w:szCs w:val="22"/>
          <w:lang w:val="es-ES_tradnl"/>
        </w:rPr>
        <w:t xml:space="preserve"> consideración de los párrafos 10</w:t>
      </w:r>
      <w:r w:rsidR="003752CD" w:rsidRPr="003752CD">
        <w:rPr>
          <w:i/>
          <w:szCs w:val="22"/>
          <w:lang w:val="es-ES_tradnl"/>
        </w:rPr>
        <w:t>bis</w:t>
      </w:r>
      <w:r w:rsidRPr="000A0E17">
        <w:rPr>
          <w:szCs w:val="22"/>
          <w:lang w:val="es-ES_tradnl"/>
        </w:rPr>
        <w:t xml:space="preserve"> y 17.  El PBC considerará la propuesta y el documento a fin de formular cualquier recomendación a la Asamblea General.</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4.</w:t>
      </w:r>
      <w:r w:rsidRPr="000A0E17">
        <w:rPr>
          <w:szCs w:val="22"/>
          <w:lang w:val="es-ES_tradnl"/>
        </w:rPr>
        <w:tab/>
        <w:t>La Asamblea General examinará el informe, incluidas las recomendaciones pertinentes</w:t>
      </w:r>
      <w:r w:rsidR="00ED63AA">
        <w:rPr>
          <w:szCs w:val="22"/>
          <w:lang w:val="es-ES_tradnl"/>
        </w:rPr>
        <w:t>,</w:t>
      </w:r>
      <w:r w:rsidRPr="000A0E17">
        <w:rPr>
          <w:szCs w:val="22"/>
          <w:lang w:val="es-ES_tradnl"/>
        </w:rPr>
        <w:t xml:space="preserve"> del PBC a fin de tomar una decisión final sobre el establecimiento de la nueva oficina en el exterior.</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5.</w:t>
      </w:r>
      <w:r w:rsidRPr="000A0E17">
        <w:rPr>
          <w:szCs w:val="22"/>
          <w:lang w:val="es-ES_tradnl"/>
        </w:rPr>
        <w:tab/>
        <w:t xml:space="preserve">Si la Asamblea General aprueba el establecimiento de una oficina en el exterior, el Comité de Coordinación considerará la aprobación de un proyecto de acuerdo entre el Director General en nombre de la OMPI y el país anfitrión, de conformidad con el artículo 12 del Convenio de la OMPI. </w:t>
      </w:r>
    </w:p>
    <w:p w:rsidR="004E2F2D" w:rsidRPr="006925A8" w:rsidRDefault="004E2F2D" w:rsidP="003752CD">
      <w:pPr>
        <w:rPr>
          <w:szCs w:val="22"/>
          <w:lang w:val="es-ES_tradnl"/>
        </w:rPr>
      </w:pPr>
    </w:p>
    <w:p w:rsidR="004E2F2D" w:rsidRPr="003752CD" w:rsidRDefault="004E2F2D" w:rsidP="00ED63AA">
      <w:pPr>
        <w:keepNext/>
        <w:keepLines/>
        <w:tabs>
          <w:tab w:val="left" w:pos="567"/>
        </w:tabs>
        <w:rPr>
          <w:b/>
          <w:szCs w:val="22"/>
          <w:lang w:val="es-ES_tradnl"/>
        </w:rPr>
      </w:pPr>
      <w:r w:rsidRPr="003752CD">
        <w:rPr>
          <w:b/>
          <w:szCs w:val="22"/>
          <w:lang w:val="es-ES_tradnl"/>
        </w:rPr>
        <w:lastRenderedPageBreak/>
        <w:t>B.</w:t>
      </w:r>
      <w:r w:rsidRPr="003752CD">
        <w:rPr>
          <w:b/>
          <w:szCs w:val="22"/>
          <w:lang w:val="es-ES_tradnl"/>
        </w:rPr>
        <w:tab/>
        <w:t>Razones para el establecimiento de oficinas en el exterior</w:t>
      </w:r>
    </w:p>
    <w:p w:rsidR="004E2F2D" w:rsidRPr="000A0E17" w:rsidRDefault="004E2F2D" w:rsidP="00ED63AA">
      <w:pPr>
        <w:keepNext/>
        <w:keepLines/>
        <w:tabs>
          <w:tab w:val="left" w:pos="567"/>
        </w:tabs>
        <w:rPr>
          <w:szCs w:val="22"/>
          <w:lang w:val="es-ES_tradnl"/>
        </w:rPr>
      </w:pPr>
    </w:p>
    <w:p w:rsidR="004E2F2D" w:rsidRPr="000A0E17" w:rsidRDefault="004E2F2D" w:rsidP="00ED63AA">
      <w:pPr>
        <w:keepNext/>
        <w:keepLines/>
        <w:tabs>
          <w:tab w:val="left" w:pos="567"/>
        </w:tabs>
        <w:rPr>
          <w:szCs w:val="22"/>
          <w:lang w:val="es-ES_tradnl"/>
        </w:rPr>
      </w:pPr>
      <w:r w:rsidRPr="000A0E17">
        <w:rPr>
          <w:szCs w:val="22"/>
          <w:lang w:val="es-ES_tradnl"/>
        </w:rPr>
        <w:t>6</w:t>
      </w:r>
      <w:r>
        <w:rPr>
          <w:szCs w:val="22"/>
          <w:lang w:val="es-ES_tradnl"/>
        </w:rPr>
        <w:t>.</w:t>
      </w:r>
      <w:r w:rsidRPr="000A0E17">
        <w:rPr>
          <w:szCs w:val="22"/>
          <w:lang w:val="es-ES_tradnl"/>
        </w:rPr>
        <w:tab/>
        <w:t xml:space="preserve">En la propuesta mencionada en el </w:t>
      </w:r>
      <w:r w:rsidR="00ED63AA">
        <w:rPr>
          <w:szCs w:val="22"/>
          <w:lang w:val="es-ES_tradnl"/>
        </w:rPr>
        <w:t>párraf</w:t>
      </w:r>
      <w:r w:rsidRPr="000A0E17">
        <w:rPr>
          <w:szCs w:val="22"/>
          <w:lang w:val="es-ES_tradnl"/>
        </w:rPr>
        <w:t>o 3 se deberán exponer los motivos y proponer un mandato para la oficina en el exterior que refleje: las necesidades, los objetivos y el alcance propuesto de las actividades, incluidas, en su caso, las actividades regionales, indicando el valor añadido en relación con la</w:t>
      </w:r>
      <w:r w:rsidR="00ED63AA">
        <w:rPr>
          <w:szCs w:val="22"/>
          <w:lang w:val="es-ES_tradnl"/>
        </w:rPr>
        <w:t xml:space="preserve"> ejecución de los programas</w:t>
      </w:r>
      <w:r w:rsidRPr="000A0E17">
        <w:rPr>
          <w:szCs w:val="22"/>
          <w:lang w:val="es-ES_tradnl"/>
        </w:rPr>
        <w:t xml:space="preserve"> de la Organización, con especial atención a las consideraciones expuestas en las secciones D y E.</w:t>
      </w:r>
    </w:p>
    <w:p w:rsidR="004E2F2D" w:rsidRPr="000A0E17" w:rsidRDefault="004E2F2D" w:rsidP="004E2F2D">
      <w:pPr>
        <w:tabs>
          <w:tab w:val="left" w:pos="567"/>
        </w:tabs>
        <w:rPr>
          <w:strike/>
          <w:szCs w:val="22"/>
          <w:lang w:val="es-ES_tradnl"/>
        </w:rPr>
      </w:pPr>
    </w:p>
    <w:p w:rsidR="004E2F2D" w:rsidRPr="000A0E17" w:rsidRDefault="004E2F2D" w:rsidP="004E2F2D">
      <w:pPr>
        <w:tabs>
          <w:tab w:val="left" w:pos="567"/>
        </w:tabs>
        <w:rPr>
          <w:szCs w:val="22"/>
          <w:lang w:val="es-ES_tradnl"/>
        </w:rPr>
      </w:pPr>
      <w:r>
        <w:rPr>
          <w:szCs w:val="22"/>
          <w:lang w:val="es-ES_tradnl"/>
        </w:rPr>
        <w:t>7.</w:t>
      </w:r>
      <w:r w:rsidRPr="000A0E17">
        <w:rPr>
          <w:szCs w:val="22"/>
          <w:lang w:val="es-ES_tradnl"/>
        </w:rPr>
        <w:tab/>
        <w:t>Reconociendo que el mandato de cada oficina en el exterior decidido por los Estados miembros de la OMPI podría diferir, el alcance básico de las actividades de una oficina en el exterior podrá consistir en:</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i)</w:t>
      </w:r>
      <w:r>
        <w:rPr>
          <w:szCs w:val="22"/>
          <w:lang w:val="es-ES_tradnl"/>
        </w:rPr>
        <w:tab/>
      </w:r>
      <w:r w:rsidRPr="000A0E17">
        <w:rPr>
          <w:szCs w:val="22"/>
          <w:lang w:val="es-ES_tradnl"/>
        </w:rPr>
        <w:t>Colaborar con la oficina nacional de P.I. a fin de apoyar y promover la ejecución de los programas de la Organización;</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ii)</w:t>
      </w:r>
      <w:r w:rsidRPr="000A0E17">
        <w:rPr>
          <w:szCs w:val="22"/>
          <w:lang w:val="es-ES_tradnl"/>
        </w:rPr>
        <w:tab/>
        <w:t>Mejorar la innovación y la creatividad, en particular mediante la promoción del uso efectivo de los servicios de P.I.;</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iii)</w:t>
      </w:r>
      <w:r w:rsidRPr="000A0E17">
        <w:rPr>
          <w:szCs w:val="22"/>
          <w:lang w:val="es-ES_tradnl"/>
        </w:rPr>
        <w:tab/>
        <w:t xml:space="preserve">Incentivar la sensibilización, la comprensión y el respeto de la P.I.; </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iv)</w:t>
      </w:r>
      <w:r w:rsidRPr="000A0E17">
        <w:rPr>
          <w:szCs w:val="22"/>
          <w:lang w:val="es-ES_tradnl"/>
        </w:rPr>
        <w:tab/>
        <w:t xml:space="preserve">Prestar servicios de atención al cliente a los usuarios de los servicios mundiales de P.I., incluidos los tratados y convenios administrados por la OMPI; </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v)</w:t>
      </w:r>
      <w:r w:rsidRPr="000A0E17">
        <w:rPr>
          <w:szCs w:val="22"/>
          <w:lang w:val="es-ES_tradnl"/>
        </w:rPr>
        <w:tab/>
        <w:t>Brindar asistencia en la utilización de la P.I. como instrumento de fomento del desarrollo y de la transferencia de tecnología;</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proofErr w:type="gramStart"/>
      <w:r w:rsidRPr="000A0E17">
        <w:rPr>
          <w:szCs w:val="22"/>
          <w:lang w:val="es-ES_tradnl"/>
        </w:rPr>
        <w:t>vi</w:t>
      </w:r>
      <w:proofErr w:type="gramEnd"/>
      <w:r w:rsidRPr="000A0E17">
        <w:rPr>
          <w:szCs w:val="22"/>
          <w:lang w:val="es-ES_tradnl"/>
        </w:rPr>
        <w:t>)</w:t>
      </w:r>
      <w:r w:rsidRPr="000A0E17">
        <w:rPr>
          <w:szCs w:val="22"/>
          <w:lang w:val="es-ES_tradnl"/>
        </w:rPr>
        <w:tab/>
        <w:t xml:space="preserve">Prestar apoyo técnico y en materia de políticas a las oficinas nacionales de P.I. para </w:t>
      </w:r>
      <w:r w:rsidR="00ED63AA">
        <w:rPr>
          <w:szCs w:val="22"/>
          <w:lang w:val="es-ES_tradnl"/>
        </w:rPr>
        <w:t>incrementar</w:t>
      </w:r>
      <w:r w:rsidRPr="000A0E17">
        <w:rPr>
          <w:szCs w:val="22"/>
          <w:lang w:val="es-ES_tradnl"/>
        </w:rPr>
        <w:t xml:space="preserve"> el uso de la P.I.;</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sidRPr="000A0E17">
        <w:rPr>
          <w:szCs w:val="22"/>
          <w:lang w:val="es-ES_tradnl"/>
        </w:rPr>
        <w:t>vii)</w:t>
      </w:r>
      <w:r w:rsidRPr="000A0E17">
        <w:rPr>
          <w:szCs w:val="22"/>
          <w:lang w:val="es-ES_tradnl"/>
        </w:rPr>
        <w:tab/>
        <w:t xml:space="preserve">Previa aprobación del PBC, la OMPI podrá examinar la posibilidad de que una oficina en el exterior se encargue de realizar otras actividades beneficiosas para los Estados miembros de la OMPI.  </w:t>
      </w:r>
    </w:p>
    <w:p w:rsidR="004E2F2D" w:rsidRPr="000A0E17" w:rsidRDefault="004E2F2D" w:rsidP="004E2F2D">
      <w:pPr>
        <w:rPr>
          <w:szCs w:val="22"/>
          <w:lang w:val="es-ES_tradnl"/>
        </w:rPr>
      </w:pPr>
    </w:p>
    <w:p w:rsidR="004E2F2D" w:rsidRPr="000A0E17" w:rsidRDefault="004E2F2D" w:rsidP="004E2F2D">
      <w:pPr>
        <w:tabs>
          <w:tab w:val="left" w:pos="567"/>
        </w:tabs>
        <w:rPr>
          <w:szCs w:val="22"/>
          <w:lang w:val="es-ES_tradnl"/>
        </w:rPr>
      </w:pPr>
      <w:r w:rsidRPr="000A0E17">
        <w:rPr>
          <w:szCs w:val="22"/>
          <w:lang w:val="es-ES_tradnl"/>
        </w:rPr>
        <w:t>8.</w:t>
      </w:r>
      <w:r w:rsidRPr="000A0E17">
        <w:rPr>
          <w:szCs w:val="22"/>
          <w:lang w:val="es-ES_tradnl"/>
        </w:rPr>
        <w:tab/>
      </w:r>
      <w:r w:rsidR="00ED63AA">
        <w:rPr>
          <w:szCs w:val="22"/>
          <w:lang w:val="es-ES_tradnl"/>
        </w:rPr>
        <w:t>L</w:t>
      </w:r>
      <w:r w:rsidRPr="000A0E17">
        <w:rPr>
          <w:szCs w:val="22"/>
          <w:lang w:val="es-ES_tradnl"/>
        </w:rPr>
        <w:t>as oficinas de la OMPI en el exterior no efectuarán actividades que guarden relación con la tramitación</w:t>
      </w:r>
      <w:r w:rsidRPr="000A0E17">
        <w:rPr>
          <w:rStyle w:val="FootnoteReference"/>
          <w:szCs w:val="22"/>
          <w:lang w:val="es-ES_tradnl"/>
        </w:rPr>
        <w:footnoteReference w:id="2"/>
      </w:r>
      <w:r w:rsidRPr="000A0E17">
        <w:rPr>
          <w:szCs w:val="22"/>
          <w:lang w:val="es-ES_tradnl"/>
        </w:rPr>
        <w:t xml:space="preserve"> de solicitudes internacionales presentadas en virtud del PCT, de los Sistemas de Madrid y de La Haya, o toda transacción financiera conexa.  </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9.</w:t>
      </w:r>
      <w:r>
        <w:rPr>
          <w:szCs w:val="22"/>
          <w:lang w:val="es-ES_tradnl"/>
        </w:rPr>
        <w:tab/>
      </w:r>
      <w:r w:rsidRPr="000A0E17">
        <w:rPr>
          <w:szCs w:val="22"/>
          <w:lang w:val="es-ES_tradnl"/>
        </w:rPr>
        <w:t>Las oficinas en el exterior podrán complementar las actividades de las autoridades nacionales de P.I. pero no asumirán obligaciones que en principio son responsabilidad de tales autoridades.</w:t>
      </w:r>
    </w:p>
    <w:p w:rsidR="004E2F2D" w:rsidRPr="000A0E17" w:rsidRDefault="004E2F2D" w:rsidP="004E2F2D">
      <w:pPr>
        <w:tabs>
          <w:tab w:val="left" w:pos="567"/>
        </w:tabs>
        <w:ind w:left="360" w:hanging="360"/>
        <w:rPr>
          <w:szCs w:val="22"/>
          <w:lang w:val="es-ES_tradnl"/>
        </w:rPr>
      </w:pPr>
    </w:p>
    <w:p w:rsidR="004E2F2D" w:rsidRPr="003752CD" w:rsidRDefault="004E2F2D" w:rsidP="004E2F2D">
      <w:pPr>
        <w:tabs>
          <w:tab w:val="left" w:pos="567"/>
        </w:tabs>
        <w:rPr>
          <w:b/>
          <w:szCs w:val="22"/>
          <w:lang w:val="es-ES_tradnl"/>
        </w:rPr>
      </w:pPr>
      <w:r w:rsidRPr="003752CD">
        <w:rPr>
          <w:b/>
          <w:szCs w:val="22"/>
          <w:lang w:val="es-ES_tradnl"/>
        </w:rPr>
        <w:t>C.</w:t>
      </w:r>
      <w:r w:rsidRPr="003752CD">
        <w:rPr>
          <w:b/>
          <w:szCs w:val="22"/>
          <w:lang w:val="es-ES_tradnl"/>
        </w:rPr>
        <w:tab/>
        <w:t>Actividad regional</w:t>
      </w:r>
    </w:p>
    <w:p w:rsidR="004E2F2D" w:rsidRPr="000A0E17" w:rsidRDefault="004E2F2D" w:rsidP="004E2F2D">
      <w:pPr>
        <w:tabs>
          <w:tab w:val="left" w:pos="567"/>
        </w:tabs>
        <w:rPr>
          <w:szCs w:val="22"/>
          <w:lang w:val="es-ES_tradnl"/>
        </w:rPr>
      </w:pPr>
    </w:p>
    <w:p w:rsidR="004E2F2D" w:rsidRPr="000A0E17" w:rsidRDefault="004E2F2D" w:rsidP="004E2F2D">
      <w:pPr>
        <w:pStyle w:val="CommentText"/>
        <w:tabs>
          <w:tab w:val="left" w:pos="567"/>
        </w:tabs>
        <w:rPr>
          <w:sz w:val="22"/>
          <w:szCs w:val="22"/>
          <w:lang w:val="es-ES_tradnl"/>
        </w:rPr>
      </w:pPr>
      <w:r w:rsidRPr="000A0E17">
        <w:rPr>
          <w:sz w:val="22"/>
          <w:szCs w:val="22"/>
          <w:lang w:val="es-ES_tradnl"/>
        </w:rPr>
        <w:t>10.</w:t>
      </w:r>
      <w:r>
        <w:rPr>
          <w:sz w:val="22"/>
          <w:szCs w:val="22"/>
          <w:lang w:val="es-ES_tradnl"/>
        </w:rPr>
        <w:tab/>
      </w:r>
      <w:r w:rsidRPr="000A0E17">
        <w:rPr>
          <w:sz w:val="22"/>
          <w:szCs w:val="22"/>
          <w:lang w:val="es-ES_tradnl"/>
        </w:rPr>
        <w:t xml:space="preserve">El mandato de la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w:t>
      </w:r>
    </w:p>
    <w:p w:rsidR="004E2F2D" w:rsidRPr="000A0E17" w:rsidRDefault="004E2F2D" w:rsidP="00632CA9">
      <w:pPr>
        <w:pStyle w:val="CommentText"/>
        <w:tabs>
          <w:tab w:val="left" w:pos="567"/>
        </w:tabs>
        <w:rPr>
          <w:sz w:val="22"/>
          <w:szCs w:val="22"/>
          <w:lang w:val="es-ES_tradnl"/>
        </w:rPr>
      </w:pPr>
    </w:p>
    <w:p w:rsidR="004E2F2D" w:rsidRPr="000A0E17" w:rsidRDefault="004E2F2D" w:rsidP="00632CA9">
      <w:pPr>
        <w:pStyle w:val="CommentText"/>
        <w:tabs>
          <w:tab w:val="left" w:pos="709"/>
        </w:tabs>
        <w:rPr>
          <w:sz w:val="22"/>
          <w:szCs w:val="22"/>
          <w:lang w:val="es-ES_tradnl"/>
        </w:rPr>
      </w:pPr>
      <w:r w:rsidRPr="000A0E17">
        <w:rPr>
          <w:sz w:val="22"/>
          <w:szCs w:val="22"/>
          <w:lang w:val="es-ES_tradnl"/>
        </w:rPr>
        <w:t>10</w:t>
      </w:r>
      <w:r w:rsidR="003752CD" w:rsidRPr="003752CD">
        <w:rPr>
          <w:i/>
          <w:sz w:val="22"/>
          <w:szCs w:val="22"/>
          <w:lang w:val="es-ES_tradnl"/>
        </w:rPr>
        <w:t>bis</w:t>
      </w:r>
      <w:r w:rsidRPr="000A0E17">
        <w:rPr>
          <w:sz w:val="22"/>
          <w:szCs w:val="22"/>
          <w:lang w:val="es-ES_tradnl"/>
        </w:rPr>
        <w:t>.</w:t>
      </w:r>
      <w:r>
        <w:rPr>
          <w:sz w:val="22"/>
          <w:szCs w:val="22"/>
          <w:lang w:val="es-ES_tradnl"/>
        </w:rPr>
        <w:tab/>
      </w:r>
      <w:r w:rsidRPr="000A0E17">
        <w:rPr>
          <w:sz w:val="22"/>
          <w:szCs w:val="22"/>
          <w:lang w:val="es-ES_tradnl"/>
        </w:rPr>
        <w:t>Esas actividades no irán en desmedro de los derechos de cualquier otro país de la misma región en lo que atañe a las actividades programáticas regulares de la OMPI, especialmente a escala nacional, incluida la prestación de cualquier asistencia jurídica o técnica a esos países directamente de</w:t>
      </w:r>
      <w:r w:rsidR="00ED63AA">
        <w:rPr>
          <w:sz w:val="22"/>
          <w:szCs w:val="22"/>
          <w:lang w:val="es-ES_tradnl"/>
        </w:rPr>
        <w:t>sde</w:t>
      </w:r>
      <w:r w:rsidRPr="000A0E17">
        <w:rPr>
          <w:sz w:val="22"/>
          <w:szCs w:val="22"/>
          <w:lang w:val="es-ES_tradnl"/>
        </w:rPr>
        <w:t xml:space="preserve"> la sede de la OMPI.</w:t>
      </w:r>
    </w:p>
    <w:p w:rsidR="004E2F2D" w:rsidRPr="000A0E17" w:rsidRDefault="004E2F2D" w:rsidP="004E2F2D">
      <w:pPr>
        <w:rPr>
          <w:szCs w:val="22"/>
          <w:lang w:val="es-ES_tradnl"/>
        </w:rPr>
      </w:pPr>
    </w:p>
    <w:p w:rsidR="004E2F2D" w:rsidRPr="003752CD" w:rsidRDefault="004E2F2D" w:rsidP="004E2F2D">
      <w:pPr>
        <w:tabs>
          <w:tab w:val="left" w:pos="567"/>
        </w:tabs>
        <w:rPr>
          <w:b/>
          <w:szCs w:val="22"/>
          <w:lang w:val="es-ES_tradnl"/>
        </w:rPr>
      </w:pPr>
      <w:r w:rsidRPr="003752CD">
        <w:rPr>
          <w:rFonts w:eastAsia="MS Mincho"/>
          <w:b/>
          <w:szCs w:val="22"/>
          <w:lang w:val="es-ES_tradnl" w:eastAsia="en-US"/>
        </w:rPr>
        <w:t>D.</w:t>
      </w:r>
      <w:r w:rsidRPr="003752CD">
        <w:rPr>
          <w:rFonts w:eastAsia="MS Mincho"/>
          <w:b/>
          <w:szCs w:val="22"/>
          <w:lang w:val="es-ES_tradnl" w:eastAsia="en-US"/>
        </w:rPr>
        <w:tab/>
      </w:r>
      <w:r w:rsidRPr="003752CD">
        <w:rPr>
          <w:b/>
          <w:szCs w:val="22"/>
          <w:lang w:val="es-ES_tradnl"/>
        </w:rPr>
        <w:t xml:space="preserve">Sostenibilidad financiera y presupuestaria </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11.</w:t>
      </w:r>
      <w:r>
        <w:rPr>
          <w:szCs w:val="22"/>
          <w:lang w:val="es-ES_tradnl"/>
        </w:rPr>
        <w:tab/>
      </w:r>
      <w:r w:rsidRPr="000A0E17">
        <w:rPr>
          <w:szCs w:val="22"/>
          <w:lang w:val="es-ES_tradnl"/>
        </w:rPr>
        <w:t>Reconociendo los distintos niveles de desarrollo de los Estados miembros y la necesidad de salvaguardar recursos para las oficinas regionales</w:t>
      </w:r>
      <w:r w:rsidR="00ED63AA">
        <w:rPr>
          <w:szCs w:val="22"/>
          <w:lang w:val="es-ES_tradnl"/>
        </w:rPr>
        <w:t xml:space="preserve"> de la sede</w:t>
      </w:r>
      <w:r w:rsidRPr="000A0E17">
        <w:rPr>
          <w:szCs w:val="22"/>
          <w:lang w:val="es-ES_tradnl"/>
        </w:rPr>
        <w:t xml:space="preserve"> sin acarrear perjuicio a los Estados miembros que decidan tratar directamente con la sede de la OMPI, en el inform</w:t>
      </w:r>
      <w:r w:rsidR="003752CD">
        <w:rPr>
          <w:szCs w:val="22"/>
          <w:lang w:val="es-ES_tradnl"/>
        </w:rPr>
        <w:t xml:space="preserve">e </w:t>
      </w:r>
      <w:r w:rsidR="00ED63AA">
        <w:rPr>
          <w:szCs w:val="22"/>
          <w:lang w:val="es-ES_tradnl"/>
        </w:rPr>
        <w:t>contemplado en e</w:t>
      </w:r>
      <w:r w:rsidR="003752CD">
        <w:rPr>
          <w:szCs w:val="22"/>
          <w:lang w:val="es-ES_tradnl"/>
        </w:rPr>
        <w:t>l párrafo </w:t>
      </w:r>
      <w:r w:rsidRPr="000A0E17">
        <w:rPr>
          <w:szCs w:val="22"/>
          <w:lang w:val="es-ES_tradnl"/>
        </w:rPr>
        <w:t>3</w:t>
      </w:r>
      <w:r w:rsidR="003752CD" w:rsidRPr="003752CD">
        <w:rPr>
          <w:i/>
          <w:szCs w:val="22"/>
          <w:lang w:val="es-ES_tradnl"/>
        </w:rPr>
        <w:t>bis</w:t>
      </w:r>
      <w:r w:rsidRPr="000A0E17">
        <w:rPr>
          <w:szCs w:val="22"/>
          <w:lang w:val="es-ES_tradnl"/>
        </w:rPr>
        <w:t xml:space="preserve"> se indicará, basándose en los hechos, la viabilidad técnica de la oficina en el exterior propuesta en lo que concierne a los elementos siguientes:  </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sidRPr="000A0E17">
        <w:rPr>
          <w:szCs w:val="22"/>
          <w:lang w:val="es-ES_tradnl"/>
        </w:rPr>
        <w:t>i)</w:t>
      </w:r>
      <w:r w:rsidRPr="000A0E17">
        <w:rPr>
          <w:szCs w:val="22"/>
          <w:lang w:val="es-ES_tradnl"/>
        </w:rPr>
        <w:tab/>
        <w:t xml:space="preserve">las repercusiones presupuestarias del establecimiento de la oficina en el exterior, y ello incluye la sostenibilidad financiera y presupuestaria y sus costos recurrentes; </w:t>
      </w:r>
    </w:p>
    <w:p w:rsidR="004E2F2D" w:rsidRPr="000A0E17" w:rsidRDefault="004E2F2D" w:rsidP="004E2F2D">
      <w:pPr>
        <w:rPr>
          <w:szCs w:val="22"/>
          <w:lang w:val="es-ES_tradnl"/>
        </w:rPr>
      </w:pPr>
    </w:p>
    <w:p w:rsidR="004E2F2D" w:rsidRPr="000A0E17" w:rsidRDefault="004E2F2D" w:rsidP="004E2F2D">
      <w:pPr>
        <w:ind w:left="1134" w:hanging="567"/>
        <w:rPr>
          <w:szCs w:val="22"/>
          <w:lang w:val="es-ES_tradnl"/>
        </w:rPr>
      </w:pPr>
      <w:r>
        <w:rPr>
          <w:szCs w:val="22"/>
          <w:lang w:val="es-ES_tradnl"/>
        </w:rPr>
        <w:t>ii)</w:t>
      </w:r>
      <w:r>
        <w:rPr>
          <w:szCs w:val="22"/>
          <w:lang w:val="es-ES_tradnl"/>
        </w:rPr>
        <w:tab/>
      </w:r>
      <w:r w:rsidRPr="000A0E17">
        <w:rPr>
          <w:szCs w:val="22"/>
          <w:lang w:val="es-ES_tradnl"/>
        </w:rPr>
        <w:t>la posibilidad de lograr ahorros mediante mejoras de la eficiencia a partir de la actividad propuesta de la oficina en el exterior.</w:t>
      </w:r>
    </w:p>
    <w:p w:rsidR="004E2F2D" w:rsidRPr="000A0E17" w:rsidRDefault="004E2F2D" w:rsidP="004E2F2D">
      <w:pPr>
        <w:rPr>
          <w:szCs w:val="22"/>
          <w:lang w:val="es-ES_tradnl"/>
        </w:rPr>
      </w:pPr>
    </w:p>
    <w:p w:rsidR="004E2F2D" w:rsidRPr="000A0E17" w:rsidRDefault="004E2F2D" w:rsidP="004E2F2D">
      <w:pPr>
        <w:rPr>
          <w:szCs w:val="22"/>
          <w:lang w:val="es-ES_tradnl"/>
        </w:rPr>
      </w:pPr>
      <w:r w:rsidRPr="000A0E17">
        <w:rPr>
          <w:szCs w:val="22"/>
          <w:lang w:val="es-ES_tradnl"/>
        </w:rPr>
        <w:t>El informe contemplado en el párrafo 3</w:t>
      </w:r>
      <w:r w:rsidR="003752CD" w:rsidRPr="003752CD">
        <w:rPr>
          <w:i/>
          <w:szCs w:val="22"/>
          <w:lang w:val="es-ES_tradnl"/>
        </w:rPr>
        <w:t>bis</w:t>
      </w:r>
      <w:r w:rsidRPr="000A0E17">
        <w:rPr>
          <w:szCs w:val="22"/>
          <w:lang w:val="es-ES_tradnl"/>
        </w:rPr>
        <w:t xml:space="preserve"> se hará sin perjuicio de la decisión política final que podrán adoptar los Estados miembros en relación con cualquier ofrecimiento para acoger una oficina de la OMPI en el exterior.</w:t>
      </w:r>
    </w:p>
    <w:p w:rsidR="004E2F2D" w:rsidRPr="000A0E17" w:rsidRDefault="004E2F2D" w:rsidP="004E2F2D">
      <w:pPr>
        <w:rPr>
          <w:szCs w:val="22"/>
          <w:lang w:val="es-ES_tradnl"/>
        </w:rPr>
      </w:pPr>
    </w:p>
    <w:p w:rsidR="004E2F2D" w:rsidRPr="000A0E17" w:rsidRDefault="004E2F2D" w:rsidP="009F3183">
      <w:pPr>
        <w:tabs>
          <w:tab w:val="left" w:pos="709"/>
        </w:tabs>
        <w:rPr>
          <w:szCs w:val="22"/>
          <w:lang w:val="es-ES_tradnl"/>
        </w:rPr>
      </w:pPr>
      <w:r>
        <w:rPr>
          <w:szCs w:val="22"/>
          <w:lang w:val="es-ES_tradnl"/>
        </w:rPr>
        <w:t>11</w:t>
      </w:r>
      <w:r w:rsidR="003752CD" w:rsidRPr="003752CD">
        <w:rPr>
          <w:i/>
          <w:szCs w:val="22"/>
          <w:lang w:val="es-ES_tradnl"/>
        </w:rPr>
        <w:t>bis</w:t>
      </w:r>
      <w:r w:rsidRPr="000A0E17">
        <w:rPr>
          <w:szCs w:val="22"/>
          <w:lang w:val="es-ES_tradnl"/>
        </w:rPr>
        <w:t>.</w:t>
      </w:r>
      <w:r w:rsidR="009F3183">
        <w:rPr>
          <w:szCs w:val="22"/>
          <w:lang w:val="es-ES_tradnl"/>
        </w:rPr>
        <w:tab/>
      </w:r>
      <w:r w:rsidRPr="000A0E17">
        <w:rPr>
          <w:szCs w:val="22"/>
          <w:lang w:val="es-ES_tradnl"/>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12.</w:t>
      </w:r>
      <w:r w:rsidRPr="000A0E17">
        <w:rPr>
          <w:szCs w:val="22"/>
          <w:lang w:val="es-ES_tradnl"/>
        </w:rPr>
        <w:tab/>
        <w:t>La capacidad de mantener la sostenibilidad financiera y presupuestaria de la red de oficinas de la OMPI en el exterior dependerá de si dicha red contribuye a la consecución de los resultados programáticos, la eficacia de su funcionamiento en función de los costos y la situación financiera imperante en la Organización, y la Secretaría deberá mantener a los Estados miembros adecuadamente informados acerca de esa consideración.</w:t>
      </w:r>
    </w:p>
    <w:p w:rsidR="003752CD" w:rsidRPr="000A0E17" w:rsidRDefault="003752CD" w:rsidP="004E2F2D">
      <w:pPr>
        <w:tabs>
          <w:tab w:val="left" w:pos="567"/>
        </w:tabs>
        <w:rPr>
          <w:szCs w:val="22"/>
          <w:lang w:val="es-ES_tradnl"/>
        </w:rPr>
      </w:pPr>
    </w:p>
    <w:p w:rsidR="004E2F2D" w:rsidRPr="003752CD" w:rsidRDefault="004E2F2D" w:rsidP="004E2F2D">
      <w:pPr>
        <w:tabs>
          <w:tab w:val="left" w:pos="567"/>
        </w:tabs>
        <w:rPr>
          <w:b/>
          <w:szCs w:val="22"/>
          <w:lang w:val="es-ES_tradnl"/>
        </w:rPr>
      </w:pPr>
      <w:r w:rsidRPr="003752CD">
        <w:rPr>
          <w:rFonts w:eastAsia="MS Mincho"/>
          <w:b/>
          <w:szCs w:val="22"/>
          <w:lang w:val="es-ES_tradnl" w:eastAsia="en-US"/>
        </w:rPr>
        <w:t>E.</w:t>
      </w:r>
      <w:r w:rsidRPr="003752CD">
        <w:rPr>
          <w:b/>
          <w:szCs w:val="22"/>
          <w:lang w:val="es-ES_tradnl"/>
        </w:rPr>
        <w:tab/>
        <w:t>Aspectos geográficos</w:t>
      </w:r>
      <w:r w:rsidR="00497DD9">
        <w:rPr>
          <w:b/>
          <w:szCs w:val="22"/>
          <w:lang w:val="es-ES_tradnl"/>
        </w:rPr>
        <w:t xml:space="preserve"> </w:t>
      </w:r>
      <w:r w:rsidRPr="003752CD">
        <w:rPr>
          <w:b/>
          <w:szCs w:val="22"/>
          <w:lang w:val="es-ES_tradnl"/>
        </w:rPr>
        <w:t>/</w:t>
      </w:r>
      <w:r w:rsidR="00497DD9">
        <w:rPr>
          <w:b/>
          <w:szCs w:val="22"/>
          <w:lang w:val="es-ES_tradnl"/>
        </w:rPr>
        <w:t xml:space="preserve"> </w:t>
      </w:r>
      <w:r w:rsidRPr="003752CD">
        <w:rPr>
          <w:b/>
          <w:szCs w:val="22"/>
          <w:lang w:val="es-ES_tradnl"/>
        </w:rPr>
        <w:t>de ubicación</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spacing w:line="240" w:lineRule="atLeast"/>
        <w:ind w:right="102"/>
        <w:rPr>
          <w:szCs w:val="22"/>
          <w:lang w:val="es-ES_tradnl"/>
        </w:rPr>
      </w:pPr>
      <w:r>
        <w:rPr>
          <w:szCs w:val="22"/>
          <w:lang w:val="es-ES_tradnl"/>
        </w:rPr>
        <w:t>13.</w:t>
      </w:r>
      <w:r w:rsidRPr="000A0E17">
        <w:rPr>
          <w:szCs w:val="22"/>
          <w:lang w:val="es-ES_tradnl"/>
        </w:rPr>
        <w:tab/>
        <w:t xml:space="preserve">En cuanto a la ubicación de las eventuales oficinas en el exterior, deberá tomarse debidamente en consideración el principio de disponer de una red sostenible, equitativa y eficiente desde el punto de vista geográfico.  Cada una de las oficinas en el exterior deberá contar con un área geográfica de operaciones claramente definida.  </w:t>
      </w:r>
    </w:p>
    <w:p w:rsidR="004E2F2D" w:rsidRPr="000A0E17" w:rsidRDefault="004E2F2D" w:rsidP="004E2F2D">
      <w:pPr>
        <w:tabs>
          <w:tab w:val="left" w:pos="567"/>
        </w:tabs>
        <w:spacing w:line="240" w:lineRule="atLeast"/>
        <w:ind w:right="102"/>
        <w:rPr>
          <w:szCs w:val="22"/>
          <w:lang w:val="es-ES_tradnl"/>
        </w:rPr>
      </w:pPr>
    </w:p>
    <w:p w:rsidR="004E2F2D" w:rsidRPr="000A0E17" w:rsidRDefault="004E2F2D" w:rsidP="004E2F2D">
      <w:pPr>
        <w:tabs>
          <w:tab w:val="left" w:pos="567"/>
        </w:tabs>
        <w:spacing w:line="240" w:lineRule="atLeast"/>
        <w:ind w:right="102"/>
        <w:rPr>
          <w:szCs w:val="22"/>
          <w:lang w:val="es-ES_tradnl"/>
        </w:rPr>
      </w:pPr>
      <w:r>
        <w:rPr>
          <w:szCs w:val="22"/>
          <w:lang w:val="es-ES_tradnl"/>
        </w:rPr>
        <w:t>14.</w:t>
      </w:r>
      <w:r w:rsidRPr="000A0E17">
        <w:rPr>
          <w:szCs w:val="22"/>
          <w:lang w:val="es-ES_tradnl"/>
        </w:rPr>
        <w:tab/>
        <w:t xml:space="preserve">Deberán tomarse debidamente en consideración los aspectos de desarrollo, las regiones que carecen de oficinas en el exterior, o los lugares en que están ubicados los usuarios de los principales servicios mundiales de P.I.  </w:t>
      </w:r>
    </w:p>
    <w:p w:rsidR="004E2F2D" w:rsidRPr="000A0E17" w:rsidRDefault="004E2F2D" w:rsidP="004E2F2D">
      <w:pPr>
        <w:tabs>
          <w:tab w:val="left" w:pos="567"/>
          <w:tab w:val="left" w:pos="7668"/>
        </w:tabs>
        <w:spacing w:line="240" w:lineRule="atLeast"/>
        <w:ind w:right="102"/>
        <w:rPr>
          <w:szCs w:val="22"/>
          <w:lang w:val="es-ES_tradnl"/>
        </w:rPr>
      </w:pPr>
    </w:p>
    <w:p w:rsidR="004E2F2D" w:rsidRPr="000A0E17" w:rsidRDefault="004E2F2D" w:rsidP="004E2F2D">
      <w:pPr>
        <w:tabs>
          <w:tab w:val="left" w:pos="567"/>
        </w:tabs>
        <w:spacing w:line="240" w:lineRule="atLeast"/>
        <w:ind w:right="102"/>
        <w:rPr>
          <w:szCs w:val="22"/>
          <w:lang w:val="es-ES_tradnl"/>
        </w:rPr>
      </w:pPr>
      <w:r>
        <w:rPr>
          <w:szCs w:val="22"/>
          <w:lang w:val="es-ES_tradnl"/>
        </w:rPr>
        <w:t>15.</w:t>
      </w:r>
      <w:r w:rsidRPr="000A0E17">
        <w:rPr>
          <w:szCs w:val="22"/>
          <w:lang w:val="es-ES_tradnl"/>
        </w:rPr>
        <w:tab/>
        <w:t>La existencia de una oficina en el exterior en una región, o incluso en un país vecino, no constituirá de por sí un motivo para rechazar la petición presentada por un Estado miembro de esa región a fin de que la Asamblea General la considere y tome una decisión al respecto.</w:t>
      </w:r>
    </w:p>
    <w:p w:rsidR="004E2F2D" w:rsidRPr="000A0E17" w:rsidRDefault="004E2F2D" w:rsidP="009F3183">
      <w:pPr>
        <w:keepNext/>
        <w:keepLines/>
        <w:tabs>
          <w:tab w:val="left" w:pos="567"/>
        </w:tabs>
        <w:spacing w:line="240" w:lineRule="atLeast"/>
        <w:ind w:right="102"/>
        <w:rPr>
          <w:szCs w:val="22"/>
          <w:lang w:val="es-ES_tradnl"/>
        </w:rPr>
      </w:pPr>
    </w:p>
    <w:p w:rsidR="004E2F2D" w:rsidRPr="000A0E17" w:rsidRDefault="004E2F2D" w:rsidP="009F3183">
      <w:pPr>
        <w:keepNext/>
        <w:keepLines/>
        <w:tabs>
          <w:tab w:val="left" w:pos="567"/>
        </w:tabs>
        <w:rPr>
          <w:szCs w:val="22"/>
          <w:lang w:val="es-ES_tradnl"/>
        </w:rPr>
      </w:pPr>
      <w:r w:rsidRPr="000A0E17">
        <w:rPr>
          <w:szCs w:val="22"/>
          <w:lang w:val="es-ES_tradnl"/>
        </w:rPr>
        <w:t>16.</w:t>
      </w:r>
      <w:r w:rsidRPr="000A0E17">
        <w:rPr>
          <w:szCs w:val="22"/>
          <w:lang w:val="es-ES_tradnl"/>
        </w:rPr>
        <w:tab/>
        <w:t>El establecimiento de una nueva oficina en el exterior no menoscabará el alcance de una oficina existente en lo que se refiere a realizar actividades programáticas de la OMPI, aprobadas, en su país anfitrión o con el grupo de países o grupo regional, según lo acordado por los Estados miembros intervinientes.</w:t>
      </w:r>
    </w:p>
    <w:p w:rsidR="004E2F2D" w:rsidRPr="000A0E17" w:rsidRDefault="004E2F2D" w:rsidP="004E2F2D">
      <w:pPr>
        <w:tabs>
          <w:tab w:val="left" w:pos="567"/>
        </w:tabs>
        <w:rPr>
          <w:szCs w:val="22"/>
          <w:lang w:val="es-ES_tradnl"/>
        </w:rPr>
      </w:pPr>
    </w:p>
    <w:p w:rsidR="004E2F2D" w:rsidRPr="000A0E17" w:rsidRDefault="004E2F2D" w:rsidP="004E2F2D">
      <w:pPr>
        <w:pStyle w:val="CommentText"/>
        <w:tabs>
          <w:tab w:val="left" w:pos="567"/>
        </w:tabs>
        <w:rPr>
          <w:sz w:val="22"/>
          <w:szCs w:val="22"/>
          <w:lang w:val="es-ES_tradnl"/>
        </w:rPr>
      </w:pPr>
      <w:r>
        <w:rPr>
          <w:sz w:val="22"/>
          <w:szCs w:val="22"/>
          <w:lang w:val="es-ES_tradnl"/>
        </w:rPr>
        <w:t>17.</w:t>
      </w:r>
      <w:r w:rsidRPr="000A0E17">
        <w:rPr>
          <w:sz w:val="22"/>
          <w:szCs w:val="22"/>
          <w:lang w:val="es-ES_tradnl"/>
        </w:rPr>
        <w:tab/>
        <w:t>El establecimiento de una oficina en un determinado Estado miembro no menoscabará los derechos de otros Estados miembros de la misma región geográfica ni las relaciones que mantengan con la sede de la OMPI.</w:t>
      </w:r>
    </w:p>
    <w:p w:rsidR="004E2F2D" w:rsidRPr="000A0E17" w:rsidRDefault="004E2F2D" w:rsidP="004E2F2D">
      <w:pPr>
        <w:tabs>
          <w:tab w:val="left" w:pos="567"/>
        </w:tabs>
        <w:rPr>
          <w:szCs w:val="22"/>
          <w:lang w:val="es-ES_tradnl"/>
        </w:rPr>
      </w:pPr>
    </w:p>
    <w:p w:rsidR="004E2F2D" w:rsidRPr="003752CD" w:rsidRDefault="004E2F2D" w:rsidP="00632CA9">
      <w:pPr>
        <w:keepNext/>
        <w:keepLines/>
        <w:tabs>
          <w:tab w:val="left" w:pos="567"/>
        </w:tabs>
        <w:rPr>
          <w:b/>
          <w:szCs w:val="22"/>
          <w:lang w:val="es-ES_tradnl"/>
        </w:rPr>
      </w:pPr>
      <w:r w:rsidRPr="003752CD">
        <w:rPr>
          <w:b/>
          <w:szCs w:val="22"/>
          <w:lang w:val="es-ES_tradnl"/>
        </w:rPr>
        <w:lastRenderedPageBreak/>
        <w:t>F.</w:t>
      </w:r>
      <w:r w:rsidRPr="003752CD">
        <w:rPr>
          <w:b/>
          <w:szCs w:val="22"/>
          <w:lang w:val="es-ES_tradnl"/>
        </w:rPr>
        <w:tab/>
        <w:t>Rendición de cuentas</w:t>
      </w:r>
      <w:r w:rsidR="00497DD9">
        <w:rPr>
          <w:b/>
          <w:szCs w:val="22"/>
          <w:lang w:val="es-ES_tradnl"/>
        </w:rPr>
        <w:t xml:space="preserve"> </w:t>
      </w:r>
      <w:r w:rsidRPr="003752CD">
        <w:rPr>
          <w:b/>
          <w:szCs w:val="22"/>
          <w:lang w:val="es-ES_tradnl"/>
        </w:rPr>
        <w:t>/</w:t>
      </w:r>
      <w:r w:rsidR="00497DD9">
        <w:rPr>
          <w:b/>
          <w:szCs w:val="22"/>
          <w:lang w:val="es-ES_tradnl"/>
        </w:rPr>
        <w:t xml:space="preserve"> </w:t>
      </w:r>
      <w:r w:rsidRPr="003752CD">
        <w:rPr>
          <w:b/>
          <w:szCs w:val="22"/>
          <w:lang w:val="es-ES_tradnl"/>
        </w:rPr>
        <w:t>presentación de informes de las oficinas en el exterior</w:t>
      </w:r>
    </w:p>
    <w:p w:rsidR="004E2F2D" w:rsidRPr="000A0E17" w:rsidRDefault="004E2F2D" w:rsidP="00632CA9">
      <w:pPr>
        <w:keepNext/>
        <w:keepLines/>
        <w:tabs>
          <w:tab w:val="left" w:pos="567"/>
        </w:tabs>
        <w:rPr>
          <w:szCs w:val="22"/>
          <w:lang w:val="es-ES_tradnl"/>
        </w:rPr>
      </w:pPr>
    </w:p>
    <w:p w:rsidR="004E2F2D" w:rsidRPr="000A0E17" w:rsidRDefault="004E2F2D" w:rsidP="00632CA9">
      <w:pPr>
        <w:keepNext/>
        <w:keepLines/>
        <w:tabs>
          <w:tab w:val="left" w:pos="567"/>
        </w:tabs>
        <w:spacing w:line="240" w:lineRule="atLeast"/>
        <w:ind w:right="102"/>
        <w:rPr>
          <w:szCs w:val="22"/>
          <w:lang w:val="es-ES_tradnl"/>
        </w:rPr>
      </w:pPr>
      <w:r>
        <w:rPr>
          <w:szCs w:val="22"/>
          <w:lang w:val="es-ES_tradnl"/>
        </w:rPr>
        <w:t>18.</w:t>
      </w:r>
      <w:r w:rsidRPr="000A0E17">
        <w:rPr>
          <w:szCs w:val="22"/>
          <w:lang w:val="es-ES_tradnl"/>
        </w:rPr>
        <w:tab/>
        <w:t xml:space="preserve">Todas las oficinas en el exterior forman parte integral del marco de gestión por resultados y el marco reglamentario de la OMPI.  Una vez establecidas y en funcionamiento, su rendimiento y actividades se supervisarán y evaluarán a partir de los indicadores de rendimiento y los objetivos establecidos, y se informará al respecto al PBC que, a su vez, transmitirá a la Asamblea General las recomendaciones que juzgue oportunas. </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Pr>
          <w:szCs w:val="22"/>
          <w:lang w:val="es-ES_tradnl"/>
        </w:rPr>
        <w:t>19.</w:t>
      </w:r>
      <w:r w:rsidRPr="000A0E17">
        <w:rPr>
          <w:szCs w:val="22"/>
          <w:lang w:val="es-ES_tradnl"/>
        </w:rPr>
        <w:tab/>
        <w:t xml:space="preserve">La OMPI adquirirá directamente mediante sus procedimientos normales el equipo de T.I. necesario para todas sus oficinas en el exterior. </w:t>
      </w:r>
    </w:p>
    <w:p w:rsidR="004E2F2D" w:rsidRPr="000A0E17" w:rsidRDefault="004E2F2D" w:rsidP="004E2F2D">
      <w:pPr>
        <w:tabs>
          <w:tab w:val="left" w:pos="567"/>
        </w:tabs>
        <w:rPr>
          <w:szCs w:val="22"/>
          <w:lang w:val="es-ES_tradnl"/>
        </w:rPr>
      </w:pPr>
    </w:p>
    <w:p w:rsidR="004E2F2D" w:rsidRPr="003752CD" w:rsidRDefault="004E2F2D" w:rsidP="004E2F2D">
      <w:pPr>
        <w:tabs>
          <w:tab w:val="left" w:pos="567"/>
        </w:tabs>
        <w:rPr>
          <w:b/>
          <w:szCs w:val="22"/>
          <w:lang w:val="es-ES_tradnl"/>
        </w:rPr>
      </w:pPr>
      <w:r w:rsidRPr="003752CD">
        <w:rPr>
          <w:b/>
          <w:szCs w:val="22"/>
          <w:lang w:val="es-ES_tradnl"/>
        </w:rPr>
        <w:t>G.</w:t>
      </w:r>
      <w:r w:rsidRPr="003752CD">
        <w:rPr>
          <w:b/>
          <w:szCs w:val="22"/>
          <w:lang w:val="es-ES_tradnl"/>
        </w:rPr>
        <w:tab/>
        <w:t>Aplicación y revisión</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 w:val="left" w:pos="720"/>
          <w:tab w:val="left" w:pos="2737"/>
        </w:tabs>
        <w:rPr>
          <w:szCs w:val="22"/>
          <w:lang w:val="es-ES_tradnl"/>
        </w:rPr>
      </w:pPr>
      <w:r w:rsidRPr="000A0E17">
        <w:rPr>
          <w:szCs w:val="22"/>
          <w:lang w:val="es-ES_tradnl"/>
        </w:rPr>
        <w:t>20.</w:t>
      </w:r>
      <w:r w:rsidRPr="000A0E17">
        <w:rPr>
          <w:szCs w:val="22"/>
          <w:lang w:val="es-ES_tradnl"/>
        </w:rPr>
        <w:tab/>
        <w:t>Los presentes principios rectores se aplicarán en todos los casos a las oficinas en el exterior existentes y que puedan existir en el futuro.</w:t>
      </w:r>
    </w:p>
    <w:p w:rsidR="004E2F2D" w:rsidRPr="000A0E17" w:rsidRDefault="004E2F2D" w:rsidP="004E2F2D">
      <w:pPr>
        <w:tabs>
          <w:tab w:val="left" w:pos="567"/>
          <w:tab w:val="left" w:pos="720"/>
          <w:tab w:val="left" w:pos="2737"/>
        </w:tabs>
        <w:rPr>
          <w:szCs w:val="22"/>
          <w:lang w:val="es-ES_tradnl"/>
        </w:rPr>
      </w:pPr>
    </w:p>
    <w:p w:rsidR="004E2F2D" w:rsidRPr="000A0E17" w:rsidRDefault="004E2F2D" w:rsidP="004E2F2D">
      <w:pPr>
        <w:tabs>
          <w:tab w:val="left" w:pos="567"/>
        </w:tabs>
        <w:rPr>
          <w:szCs w:val="22"/>
          <w:lang w:val="es-ES_tradnl"/>
        </w:rPr>
      </w:pPr>
      <w:r w:rsidRPr="000A0E17">
        <w:rPr>
          <w:szCs w:val="22"/>
          <w:lang w:val="es-ES_tradnl"/>
        </w:rPr>
        <w:t>21.</w:t>
      </w:r>
      <w:r w:rsidRPr="000A0E17">
        <w:rPr>
          <w:szCs w:val="22"/>
          <w:lang w:val="es-ES_tradnl"/>
        </w:rPr>
        <w:tab/>
        <w:t>Para dar cabida a la evolución de las circunstancias imperantes en el entorno de trabajo de la OMPI, los presentes principios rectores serán revisados y aprobados por decisión de la Asamblea General.</w:t>
      </w:r>
    </w:p>
    <w:p w:rsidR="004E2F2D" w:rsidRPr="000A0E17" w:rsidRDefault="004E2F2D" w:rsidP="004E2F2D">
      <w:pPr>
        <w:tabs>
          <w:tab w:val="left" w:pos="567"/>
        </w:tabs>
        <w:rPr>
          <w:szCs w:val="22"/>
          <w:lang w:val="es-ES_tradnl"/>
        </w:rPr>
      </w:pPr>
    </w:p>
    <w:p w:rsidR="004E2F2D" w:rsidRPr="000A0E17" w:rsidRDefault="004E2F2D" w:rsidP="004E2F2D">
      <w:pPr>
        <w:tabs>
          <w:tab w:val="left" w:pos="567"/>
        </w:tabs>
        <w:rPr>
          <w:szCs w:val="22"/>
          <w:lang w:val="es-ES_tradnl"/>
        </w:rPr>
      </w:pPr>
      <w:r w:rsidRPr="000A0E17">
        <w:rPr>
          <w:szCs w:val="22"/>
          <w:lang w:val="es-ES_tradnl"/>
        </w:rPr>
        <w:t>[22.</w:t>
      </w:r>
      <w:r w:rsidRPr="000A0E17">
        <w:rPr>
          <w:szCs w:val="22"/>
          <w:lang w:val="es-ES_tradnl"/>
        </w:rPr>
        <w:tab/>
      </w:r>
      <w:r w:rsidR="00497DD9" w:rsidRPr="000A0E17">
        <w:rPr>
          <w:szCs w:val="22"/>
          <w:lang w:val="es-ES_tradnl"/>
        </w:rPr>
        <w:t xml:space="preserve">Evaluación </w:t>
      </w:r>
      <w:r w:rsidRPr="000A0E17">
        <w:rPr>
          <w:szCs w:val="22"/>
          <w:lang w:val="es-ES_tradnl"/>
        </w:rPr>
        <w:t>/ valoración del funcionamiento de la red de oficinas en el exterior</w:t>
      </w:r>
      <w:r w:rsidR="00497DD9">
        <w:rPr>
          <w:szCs w:val="22"/>
          <w:lang w:val="es-ES_tradnl"/>
        </w:rPr>
        <w:t>.</w:t>
      </w:r>
    </w:p>
    <w:p w:rsidR="004E2F2D" w:rsidRPr="000A0E17" w:rsidRDefault="004E2F2D" w:rsidP="003752CD">
      <w:pPr>
        <w:rPr>
          <w:szCs w:val="22"/>
          <w:lang w:val="es-ES_tradnl"/>
        </w:rPr>
      </w:pPr>
    </w:p>
    <w:p w:rsidR="004E2F2D" w:rsidRPr="000A0E17" w:rsidRDefault="004E2F2D" w:rsidP="004E2F2D">
      <w:pPr>
        <w:rPr>
          <w:szCs w:val="22"/>
          <w:lang w:val="es-ES_tradnl"/>
        </w:rPr>
      </w:pPr>
      <w:r w:rsidRPr="000A0E17">
        <w:rPr>
          <w:szCs w:val="22"/>
          <w:u w:val="single"/>
          <w:lang w:val="es-ES_tradnl"/>
        </w:rPr>
        <w:t>Grupo Africano</w:t>
      </w:r>
      <w:proofErr w:type="gramStart"/>
      <w:r w:rsidRPr="000A0E17">
        <w:rPr>
          <w:szCs w:val="22"/>
          <w:lang w:val="es-ES_tradnl"/>
        </w:rPr>
        <w:t xml:space="preserve">: </w:t>
      </w:r>
      <w:r w:rsidR="00497DD9">
        <w:rPr>
          <w:szCs w:val="22"/>
          <w:lang w:val="es-ES_tradnl"/>
        </w:rPr>
        <w:t xml:space="preserve"> </w:t>
      </w:r>
      <w:r w:rsidRPr="000A0E17">
        <w:rPr>
          <w:szCs w:val="22"/>
          <w:lang w:val="es-ES_tradnl"/>
        </w:rPr>
        <w:t>“</w:t>
      </w:r>
      <w:proofErr w:type="gramEnd"/>
      <w:r w:rsidRPr="000A0E17">
        <w:rPr>
          <w:szCs w:val="22"/>
          <w:lang w:val="es-ES_tradnl"/>
        </w:rPr>
        <w:t>El PBC examinará toda la red de oficinas en el exterior.  El PBC decidirá los plazos y el mandato de dicho examen en función de la disponibilidad de los recursos y el presupuesto asignado.”</w:t>
      </w:r>
    </w:p>
    <w:p w:rsidR="004E2F2D" w:rsidRPr="000A0E17" w:rsidRDefault="004E2F2D" w:rsidP="004E2F2D">
      <w:pPr>
        <w:rPr>
          <w:szCs w:val="22"/>
          <w:lang w:val="es-ES_tradnl"/>
        </w:rPr>
      </w:pPr>
    </w:p>
    <w:p w:rsidR="004E2F2D" w:rsidRPr="000A0E17" w:rsidRDefault="004E2F2D" w:rsidP="004E2F2D">
      <w:pPr>
        <w:rPr>
          <w:rFonts w:cs="Times New Roman"/>
          <w:szCs w:val="22"/>
          <w:lang w:val="es-ES_tradnl" w:eastAsia="ja-JP"/>
        </w:rPr>
      </w:pPr>
      <w:r w:rsidRPr="000A0E17">
        <w:rPr>
          <w:szCs w:val="22"/>
          <w:u w:val="single"/>
          <w:lang w:val="es-ES_tradnl"/>
        </w:rPr>
        <w:t>Grupo B</w:t>
      </w:r>
      <w:r w:rsidRPr="000A0E17">
        <w:rPr>
          <w:szCs w:val="22"/>
          <w:lang w:val="es-ES_tradnl"/>
        </w:rPr>
        <w:t>:</w:t>
      </w:r>
      <w:r w:rsidR="00497DD9">
        <w:rPr>
          <w:szCs w:val="22"/>
          <w:lang w:val="es-ES_tradnl"/>
        </w:rPr>
        <w:t xml:space="preserve"> </w:t>
      </w:r>
      <w:r w:rsidRPr="000A0E17">
        <w:rPr>
          <w:szCs w:val="22"/>
          <w:lang w:val="es-ES_tradnl"/>
        </w:rPr>
        <w:t xml:space="preserve"> “</w:t>
      </w:r>
      <w:r w:rsidRPr="000A0E17">
        <w:rPr>
          <w:rFonts w:cs="Times New Roman"/>
          <w:szCs w:val="22"/>
          <w:lang w:val="es-ES_tradnl" w:eastAsia="ja-JP"/>
        </w:rPr>
        <w:t xml:space="preserve">i). </w:t>
      </w:r>
      <w:r w:rsidR="009F3183">
        <w:rPr>
          <w:rFonts w:cs="Times New Roman"/>
          <w:szCs w:val="22"/>
          <w:lang w:val="es-ES_tradnl" w:eastAsia="ja-JP"/>
        </w:rPr>
        <w:t xml:space="preserve"> </w:t>
      </w:r>
      <w:r w:rsidRPr="000A0E17">
        <w:rPr>
          <w:rFonts w:cs="Times New Roman"/>
          <w:szCs w:val="22"/>
          <w:lang w:val="es-ES_tradnl" w:eastAsia="ja-JP"/>
        </w:rPr>
        <w:t>Reconociendo la capacidad limitada de la Organización de abrir nuevas oficinas en el exterior</w:t>
      </w:r>
      <w:r w:rsidR="00497DD9">
        <w:rPr>
          <w:rFonts w:cs="Times New Roman"/>
          <w:szCs w:val="22"/>
          <w:lang w:val="es-ES_tradnl" w:eastAsia="ja-JP"/>
        </w:rPr>
        <w:t>,</w:t>
      </w:r>
      <w:r w:rsidRPr="000A0E17">
        <w:rPr>
          <w:rFonts w:cs="Times New Roman"/>
          <w:szCs w:val="22"/>
          <w:lang w:val="es-ES_tradnl" w:eastAsia="ja-JP"/>
        </w:rPr>
        <w:t xml:space="preserve"> y respetando un enfoque gradual y prudente al establecer oficinas en el exterior, no se abrirán más de 2 nuevas oficinas en el exterior por bienio, durante los bienios  2014-15, 2016-17 y 2018-19.  </w:t>
      </w:r>
    </w:p>
    <w:p w:rsidR="004E2F2D" w:rsidRPr="000A0E17" w:rsidRDefault="004E2F2D" w:rsidP="004E2F2D">
      <w:pPr>
        <w:rPr>
          <w:rFonts w:cs="Times New Roman"/>
          <w:szCs w:val="22"/>
          <w:lang w:val="es-ES_tradnl" w:eastAsia="ja-JP"/>
        </w:rPr>
      </w:pPr>
    </w:p>
    <w:p w:rsidR="004E2F2D" w:rsidRPr="000A0E17" w:rsidRDefault="004E2F2D" w:rsidP="003752CD">
      <w:pPr>
        <w:tabs>
          <w:tab w:val="left" w:pos="567"/>
        </w:tabs>
        <w:ind w:left="567"/>
        <w:rPr>
          <w:rFonts w:cs="Times New Roman"/>
          <w:szCs w:val="22"/>
          <w:lang w:val="es-ES_tradnl" w:eastAsia="ja-JP"/>
        </w:rPr>
      </w:pPr>
      <w:r>
        <w:rPr>
          <w:rFonts w:cs="Times New Roman"/>
          <w:szCs w:val="22"/>
          <w:lang w:val="es-ES_tradnl" w:eastAsia="ja-JP"/>
        </w:rPr>
        <w:t>ii)</w:t>
      </w:r>
      <w:r>
        <w:rPr>
          <w:rFonts w:cs="Times New Roman"/>
          <w:szCs w:val="22"/>
          <w:lang w:val="es-ES_tradnl" w:eastAsia="ja-JP"/>
        </w:rPr>
        <w:tab/>
      </w:r>
      <w:r w:rsidRPr="000A0E17">
        <w:rPr>
          <w:rFonts w:cs="Times New Roman"/>
          <w:szCs w:val="22"/>
          <w:lang w:val="es-ES_tradnl" w:eastAsia="ja-JP"/>
        </w:rPr>
        <w:t>A fin de que la OMPI absorba las nuevas oficinas en el exterior y las haga operativas, no se abrirán nuevas oficinas en el exterior en el bienio 2020-2021 y posteriormente hasta que el PBC y la Asamblea General hayan considerado las conclusiones y recomendaciones de un examen externo independiente de la red existente de oficinas en el exterior y hayan adoptado una nueva decisión sobre el tamaño de la red.</w:t>
      </w:r>
    </w:p>
    <w:p w:rsidR="004E2F2D" w:rsidRPr="000A0E17" w:rsidRDefault="004E2F2D" w:rsidP="003752CD">
      <w:pPr>
        <w:tabs>
          <w:tab w:val="left" w:pos="567"/>
        </w:tabs>
        <w:ind w:left="567"/>
        <w:rPr>
          <w:rFonts w:cs="Times New Roman"/>
          <w:szCs w:val="22"/>
          <w:lang w:val="es-ES_tradnl" w:eastAsia="ja-JP"/>
        </w:rPr>
      </w:pPr>
    </w:p>
    <w:p w:rsidR="004E2F2D" w:rsidRPr="000A0E17" w:rsidRDefault="004E2F2D" w:rsidP="003752CD">
      <w:pPr>
        <w:tabs>
          <w:tab w:val="left" w:pos="567"/>
        </w:tabs>
        <w:ind w:left="567"/>
        <w:rPr>
          <w:rFonts w:cs="Times New Roman"/>
          <w:szCs w:val="22"/>
          <w:lang w:val="es-ES_tradnl" w:eastAsia="ja-JP"/>
        </w:rPr>
      </w:pPr>
      <w:r>
        <w:rPr>
          <w:rFonts w:cs="Times New Roman"/>
          <w:szCs w:val="22"/>
          <w:lang w:val="es-ES_tradnl" w:eastAsia="ja-JP"/>
        </w:rPr>
        <w:t>iii)</w:t>
      </w:r>
      <w:r>
        <w:rPr>
          <w:rFonts w:cs="Times New Roman"/>
          <w:szCs w:val="22"/>
          <w:lang w:val="es-ES_tradnl" w:eastAsia="ja-JP"/>
        </w:rPr>
        <w:tab/>
      </w:r>
      <w:r w:rsidR="00497DD9">
        <w:rPr>
          <w:rFonts w:cs="Times New Roman"/>
          <w:szCs w:val="22"/>
          <w:lang w:val="es-ES_tradnl" w:eastAsia="ja-JP"/>
        </w:rPr>
        <w:t>En el examen</w:t>
      </w:r>
      <w:r w:rsidRPr="000A0E17">
        <w:rPr>
          <w:rFonts w:cs="Times New Roman"/>
          <w:szCs w:val="22"/>
          <w:lang w:val="es-ES_tradnl" w:eastAsia="ja-JP"/>
        </w:rPr>
        <w:t xml:space="preserve">, que tendrá que realizarse al final del bienio de 2020-2021, </w:t>
      </w:r>
      <w:r w:rsidR="00497DD9">
        <w:rPr>
          <w:rFonts w:cs="Times New Roman"/>
          <w:szCs w:val="22"/>
          <w:lang w:val="es-ES_tradnl" w:eastAsia="ja-JP"/>
        </w:rPr>
        <w:t xml:space="preserve">se </w:t>
      </w:r>
      <w:r w:rsidRPr="000A0E17">
        <w:rPr>
          <w:rFonts w:cs="Times New Roman"/>
          <w:szCs w:val="22"/>
          <w:lang w:val="es-ES_tradnl" w:eastAsia="ja-JP"/>
        </w:rPr>
        <w:t xml:space="preserve">evaluará en qué medida la red en su conjunto logra sus objetivos generales de </w:t>
      </w:r>
      <w:r w:rsidRPr="000A0E17">
        <w:rPr>
          <w:szCs w:val="22"/>
          <w:lang w:val="es-ES_tradnl"/>
        </w:rPr>
        <w:t xml:space="preserve">aportar un claro valor añadido, eficiencia y eficacia para el logro de las metas estratégicas de la Organización de una manera coordinada y complementaria con la </w:t>
      </w:r>
      <w:r w:rsidR="00497DD9" w:rsidRPr="000A0E17">
        <w:rPr>
          <w:szCs w:val="22"/>
          <w:lang w:val="es-ES_tradnl"/>
        </w:rPr>
        <w:t xml:space="preserve">sede </w:t>
      </w:r>
      <w:r w:rsidRPr="000A0E17">
        <w:rPr>
          <w:szCs w:val="22"/>
          <w:lang w:val="es-ES_tradnl"/>
        </w:rPr>
        <w:t xml:space="preserve">de la OMPI, y que de no ser así no podrían lograrse en el marco de las operaciones de la </w:t>
      </w:r>
      <w:r w:rsidR="00497DD9" w:rsidRPr="000A0E17">
        <w:rPr>
          <w:szCs w:val="22"/>
          <w:lang w:val="es-ES_tradnl"/>
        </w:rPr>
        <w:t xml:space="preserve">sede </w:t>
      </w:r>
      <w:r w:rsidRPr="000A0E17">
        <w:rPr>
          <w:szCs w:val="22"/>
          <w:lang w:val="es-ES_tradnl"/>
        </w:rPr>
        <w:t>de la Organización.]</w:t>
      </w:r>
    </w:p>
    <w:p w:rsidR="004E2F2D" w:rsidRDefault="004E2F2D" w:rsidP="004E2F2D">
      <w:pPr>
        <w:rPr>
          <w:szCs w:val="22"/>
          <w:lang w:val="es-ES_tradnl"/>
        </w:rPr>
      </w:pPr>
    </w:p>
    <w:p w:rsidR="004E2F2D" w:rsidRDefault="004E2F2D" w:rsidP="00632CA9">
      <w:pPr>
        <w:rPr>
          <w:szCs w:val="22"/>
          <w:lang w:val="es-ES_tradnl"/>
        </w:rPr>
      </w:pPr>
      <w:r w:rsidRPr="000A0E17">
        <w:rPr>
          <w:szCs w:val="22"/>
          <w:u w:val="single"/>
          <w:lang w:val="es-ES_tradnl"/>
        </w:rPr>
        <w:t>Chile</w:t>
      </w:r>
      <w:r w:rsidR="00497DD9">
        <w:rPr>
          <w:szCs w:val="22"/>
          <w:u w:val="single"/>
          <w:lang w:val="es-ES_tradnl"/>
        </w:rPr>
        <w:t xml:space="preserve"> </w:t>
      </w:r>
      <w:r w:rsidRPr="000A0E17">
        <w:rPr>
          <w:szCs w:val="22"/>
          <w:u w:val="single"/>
          <w:lang w:val="es-ES_tradnl"/>
        </w:rPr>
        <w:t>/</w:t>
      </w:r>
      <w:r w:rsidR="00497DD9">
        <w:rPr>
          <w:szCs w:val="22"/>
          <w:u w:val="single"/>
          <w:lang w:val="es-ES_tradnl"/>
        </w:rPr>
        <w:t xml:space="preserve"> </w:t>
      </w:r>
      <w:r w:rsidRPr="000A0E17">
        <w:rPr>
          <w:szCs w:val="22"/>
          <w:u w:val="single"/>
          <w:lang w:val="es-ES_tradnl"/>
        </w:rPr>
        <w:t>México</w:t>
      </w:r>
      <w:r w:rsidR="00497DD9">
        <w:rPr>
          <w:szCs w:val="22"/>
          <w:u w:val="single"/>
          <w:lang w:val="es-ES_tradnl"/>
        </w:rPr>
        <w:t xml:space="preserve"> </w:t>
      </w:r>
      <w:r w:rsidRPr="000A0E17">
        <w:rPr>
          <w:szCs w:val="22"/>
          <w:u w:val="single"/>
          <w:lang w:val="es-ES_tradnl"/>
        </w:rPr>
        <w:t>/</w:t>
      </w:r>
      <w:r w:rsidR="00497DD9">
        <w:rPr>
          <w:szCs w:val="22"/>
          <w:u w:val="single"/>
          <w:lang w:val="es-ES_tradnl"/>
        </w:rPr>
        <w:t xml:space="preserve"> </w:t>
      </w:r>
      <w:r w:rsidRPr="000A0E17">
        <w:rPr>
          <w:szCs w:val="22"/>
          <w:u w:val="single"/>
          <w:lang w:val="es-ES_tradnl"/>
        </w:rPr>
        <w:t>Panamá</w:t>
      </w:r>
      <w:proofErr w:type="gramStart"/>
      <w:r w:rsidRPr="000A0E17">
        <w:rPr>
          <w:szCs w:val="22"/>
          <w:lang w:val="es-ES_tradnl"/>
        </w:rPr>
        <w:t xml:space="preserve">: </w:t>
      </w:r>
      <w:r w:rsidR="00497DD9">
        <w:rPr>
          <w:szCs w:val="22"/>
          <w:lang w:val="es-ES_tradnl"/>
        </w:rPr>
        <w:t xml:space="preserve"> “</w:t>
      </w:r>
      <w:proofErr w:type="gramEnd"/>
      <w:r w:rsidRPr="000A0E17">
        <w:rPr>
          <w:szCs w:val="22"/>
          <w:lang w:val="es-ES_tradnl"/>
        </w:rPr>
        <w:t>El PBC examinará el tamaño y los resultados de toda la red de oficinas en el exterior tras la adopción de estos principios rectores en el momento en que lo decida y, en función de los resultados de dicho examen, tomará las decisiones necesarias para velar por que la red funcione eficientemente y logre sus objetivos.</w:t>
      </w:r>
      <w:r w:rsidR="00497DD9">
        <w:rPr>
          <w:szCs w:val="22"/>
          <w:lang w:val="es-ES_tradnl"/>
        </w:rPr>
        <w:t>”</w:t>
      </w:r>
      <w:r w:rsidRPr="000A0E17">
        <w:rPr>
          <w:szCs w:val="22"/>
          <w:lang w:val="es-ES_tradnl"/>
        </w:rPr>
        <w:t>]</w:t>
      </w:r>
    </w:p>
    <w:p w:rsidR="003752CD" w:rsidRDefault="003752CD" w:rsidP="003752CD">
      <w:pPr>
        <w:rPr>
          <w:szCs w:val="22"/>
          <w:lang w:val="es-ES_tradnl"/>
        </w:rPr>
      </w:pPr>
    </w:p>
    <w:p w:rsidR="00497DD9" w:rsidRPr="00363C2A" w:rsidRDefault="00497DD9" w:rsidP="003752CD">
      <w:pPr>
        <w:rPr>
          <w:szCs w:val="22"/>
          <w:lang w:val="es-ES_tradnl"/>
        </w:rPr>
      </w:pPr>
    </w:p>
    <w:p w:rsidR="005F1C14" w:rsidRDefault="005C0F71" w:rsidP="005C0F71">
      <w:pPr>
        <w:pStyle w:val="Endofdocument-Annex"/>
        <w:rPr>
          <w:lang w:val="es-ES_tradnl"/>
        </w:rPr>
      </w:pPr>
      <w:r>
        <w:rPr>
          <w:lang w:val="es-ES_tradnl"/>
        </w:rPr>
        <w:t>[</w:t>
      </w:r>
      <w:r w:rsidR="005F1C14">
        <w:rPr>
          <w:lang w:val="es-ES_tradnl"/>
        </w:rPr>
        <w:t>Sigue el Anexo II</w:t>
      </w:r>
      <w:r>
        <w:rPr>
          <w:lang w:val="es-ES_tradnl"/>
        </w:rPr>
        <w:t>]</w:t>
      </w:r>
    </w:p>
    <w:p w:rsidR="005946B7" w:rsidRDefault="005946B7" w:rsidP="005C0F71">
      <w:pPr>
        <w:pStyle w:val="Endofdocument-Annex"/>
        <w:rPr>
          <w:lang w:val="es-ES_tradnl"/>
        </w:rPr>
      </w:pPr>
    </w:p>
    <w:p w:rsidR="005946B7" w:rsidRDefault="005946B7" w:rsidP="005C0F71">
      <w:pPr>
        <w:pStyle w:val="Endofdocument-Annex"/>
        <w:rPr>
          <w:lang w:val="es-ES_tradnl"/>
        </w:rPr>
        <w:sectPr w:rsidR="005946B7" w:rsidSect="005F1C1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F56395" w:rsidRDefault="00F56395" w:rsidP="00E42924">
      <w:pPr>
        <w:pStyle w:val="Endofdocument-Annex"/>
        <w:ind w:left="0"/>
        <w:jc w:val="center"/>
        <w:rPr>
          <w:lang w:val="es-ES_tradnl"/>
        </w:rPr>
      </w:pPr>
    </w:p>
    <w:p w:rsidR="00F56395" w:rsidRDefault="00F56395" w:rsidP="00E42924">
      <w:pPr>
        <w:pStyle w:val="Endofdocument-Annex"/>
        <w:ind w:left="0"/>
        <w:jc w:val="center"/>
        <w:rPr>
          <w:lang w:val="es-ES_tradnl"/>
        </w:rPr>
      </w:pPr>
    </w:p>
    <w:p w:rsidR="00F56395" w:rsidRDefault="00F56395" w:rsidP="00E42924">
      <w:pPr>
        <w:pStyle w:val="Endofdocument-Annex"/>
        <w:ind w:left="0"/>
        <w:jc w:val="center"/>
        <w:rPr>
          <w:lang w:val="es-ES_tradnl"/>
        </w:rPr>
      </w:pPr>
    </w:p>
    <w:p w:rsidR="00F56395" w:rsidRDefault="00F56395" w:rsidP="00E42924">
      <w:pPr>
        <w:pStyle w:val="Endofdocument-Annex"/>
        <w:ind w:left="0"/>
        <w:jc w:val="center"/>
        <w:rPr>
          <w:lang w:val="es-ES_tradnl"/>
        </w:rPr>
      </w:pPr>
    </w:p>
    <w:p w:rsidR="00F56395" w:rsidRDefault="00F56395" w:rsidP="00E42924">
      <w:pPr>
        <w:pStyle w:val="Endofdocument-Annex"/>
        <w:ind w:left="0"/>
        <w:jc w:val="center"/>
        <w:rPr>
          <w:lang w:val="es-ES_tradnl"/>
        </w:rPr>
      </w:pPr>
    </w:p>
    <w:p w:rsidR="005C0F71" w:rsidRDefault="00E42924" w:rsidP="00E42924">
      <w:pPr>
        <w:pStyle w:val="Endofdocument-Annex"/>
        <w:ind w:left="0"/>
        <w:jc w:val="center"/>
        <w:rPr>
          <w:lang w:val="es-ES_tradnl"/>
        </w:rPr>
      </w:pPr>
      <w:r>
        <w:rPr>
          <w:lang w:val="es-ES_tradnl"/>
        </w:rPr>
        <w:t>LISTA DE PAÍSES QUE HAN MANIFESTADO SU VOLUNTAD</w:t>
      </w:r>
    </w:p>
    <w:p w:rsidR="00E42924" w:rsidRDefault="00E42924" w:rsidP="00E42924">
      <w:pPr>
        <w:pStyle w:val="Endofdocument-Annex"/>
        <w:ind w:left="0"/>
        <w:jc w:val="center"/>
        <w:rPr>
          <w:lang w:val="es-ES_tradnl"/>
        </w:rPr>
      </w:pPr>
      <w:r>
        <w:rPr>
          <w:lang w:val="es-ES_tradnl"/>
        </w:rPr>
        <w:t>DE ACOGER UNA OFICINA DE LA OMPI EN EL EXTERIOR</w:t>
      </w:r>
      <w:r w:rsidR="005946B7">
        <w:rPr>
          <w:lang w:val="es-ES_tradnl"/>
        </w:rPr>
        <w:t xml:space="preserve"> </w:t>
      </w:r>
      <w:r w:rsidR="005946B7">
        <w:rPr>
          <w:rStyle w:val="FootnoteReference"/>
          <w:lang w:val="es-ES_tradnl"/>
        </w:rPr>
        <w:footnoteReference w:id="3"/>
      </w:r>
    </w:p>
    <w:p w:rsidR="00E42924" w:rsidRDefault="00E42924" w:rsidP="00E42924">
      <w:pPr>
        <w:pStyle w:val="Endofdocument-Annex"/>
        <w:ind w:left="0"/>
        <w:jc w:val="center"/>
        <w:rPr>
          <w:lang w:val="es-ES_tradnl"/>
        </w:rPr>
      </w:pPr>
    </w:p>
    <w:p w:rsidR="00E42924" w:rsidRDefault="00E42924" w:rsidP="00E42924">
      <w:pPr>
        <w:pStyle w:val="Endofdocument-Annex"/>
        <w:ind w:left="0"/>
        <w:jc w:val="center"/>
        <w:rPr>
          <w:lang w:val="es-ES_tradnl"/>
        </w:rPr>
      </w:pPr>
      <w:r>
        <w:rPr>
          <w:lang w:val="es-ES_tradnl"/>
        </w:rPr>
        <w:t>Preparada y actualizada por la Secretaría de la OMPI el 4 de septiembre de 2014</w:t>
      </w:r>
    </w:p>
    <w:p w:rsidR="00E42924" w:rsidRDefault="00E42924" w:rsidP="00E42924">
      <w:pPr>
        <w:pStyle w:val="Endofdocument-Annex"/>
        <w:ind w:left="0"/>
        <w:jc w:val="center"/>
        <w:rPr>
          <w:lang w:val="es-ES_tradnl"/>
        </w:rPr>
      </w:pPr>
    </w:p>
    <w:p w:rsidR="00AE32E6" w:rsidRDefault="00AE32E6" w:rsidP="00F56395">
      <w:pPr>
        <w:pStyle w:val="Endofdocument-Annex"/>
        <w:ind w:left="567" w:hanging="567"/>
        <w:rPr>
          <w:lang w:val="es-ES_tradnl"/>
        </w:rPr>
      </w:pPr>
      <w:r>
        <w:rPr>
          <w:lang w:val="es-ES_tradnl"/>
        </w:rPr>
        <w:t>A</w:t>
      </w:r>
      <w:r w:rsidR="00F56395">
        <w:rPr>
          <w:lang w:val="es-ES_tradnl"/>
        </w:rPr>
        <w:t>.</w:t>
      </w:r>
      <w:r>
        <w:rPr>
          <w:lang w:val="es-ES_tradnl"/>
        </w:rPr>
        <w:tab/>
        <w:t>Peticiones oficiales por escrito (siguiendo el orden alfabético del nombre del país</w:t>
      </w:r>
      <w:r w:rsidR="00F56395">
        <w:rPr>
          <w:lang w:val="es-ES_tradnl"/>
        </w:rPr>
        <w:t xml:space="preserve"> en inglés</w:t>
      </w:r>
      <w:r>
        <w:rPr>
          <w:lang w:val="es-ES_tradnl"/>
        </w:rPr>
        <w:t>)</w:t>
      </w:r>
      <w:r w:rsidR="00855565">
        <w:rPr>
          <w:lang w:val="es-ES_tradnl"/>
        </w:rPr>
        <w:t>:</w:t>
      </w:r>
    </w:p>
    <w:p w:rsidR="00AE32E6" w:rsidRDefault="00AE32E6" w:rsidP="00AE32E6">
      <w:pPr>
        <w:pStyle w:val="Endofdocument-Annex"/>
        <w:ind w:left="0"/>
        <w:rPr>
          <w:lang w:val="es-ES_tradnl"/>
        </w:rPr>
      </w:pPr>
    </w:p>
    <w:p w:rsidR="00AE32E6" w:rsidRDefault="00AE32E6" w:rsidP="00F56395">
      <w:pPr>
        <w:numPr>
          <w:ilvl w:val="0"/>
          <w:numId w:val="11"/>
        </w:numPr>
        <w:spacing w:after="120" w:line="276" w:lineRule="auto"/>
        <w:ind w:left="1134" w:hanging="567"/>
        <w:rPr>
          <w:lang w:val="es-ES_tradnl"/>
        </w:rPr>
      </w:pPr>
      <w:r w:rsidRPr="00F56395">
        <w:t>Argelia</w:t>
      </w:r>
      <w:r>
        <w:rPr>
          <w:lang w:val="es-ES_tradnl"/>
        </w:rPr>
        <w:t xml:space="preserve"> (carta de la Misión Permanente de 20 de enero de 2010)</w:t>
      </w:r>
    </w:p>
    <w:p w:rsidR="00AE32E6" w:rsidRDefault="00AE32E6" w:rsidP="00F56395">
      <w:pPr>
        <w:numPr>
          <w:ilvl w:val="0"/>
          <w:numId w:val="11"/>
        </w:numPr>
        <w:spacing w:after="120" w:line="276" w:lineRule="auto"/>
        <w:ind w:left="1134" w:hanging="567"/>
        <w:rPr>
          <w:lang w:val="es-ES_tradnl"/>
        </w:rPr>
      </w:pPr>
      <w:r w:rsidRPr="00F56395">
        <w:t>Azerbai</w:t>
      </w:r>
      <w:r w:rsidR="00A935DD" w:rsidRPr="00F56395">
        <w:t>yá</w:t>
      </w:r>
      <w:r w:rsidRPr="00F56395">
        <w:t>n</w:t>
      </w:r>
      <w:r>
        <w:rPr>
          <w:lang w:val="es-ES_tradnl"/>
        </w:rPr>
        <w:t xml:space="preserve"> (cartas con una propuesta de la Misión Permanente, de 11 de febrero y 27 de agosto de 2014)</w:t>
      </w:r>
    </w:p>
    <w:p w:rsidR="00AE32E6" w:rsidRDefault="00AE32E6" w:rsidP="00F56395">
      <w:pPr>
        <w:numPr>
          <w:ilvl w:val="0"/>
          <w:numId w:val="11"/>
        </w:numPr>
        <w:spacing w:after="120" w:line="276" w:lineRule="auto"/>
        <w:ind w:left="1134" w:hanging="567"/>
        <w:rPr>
          <w:lang w:val="es-ES_tradnl"/>
        </w:rPr>
      </w:pPr>
      <w:r w:rsidRPr="00F56395">
        <w:t>Chile</w:t>
      </w:r>
      <w:r>
        <w:rPr>
          <w:lang w:val="es-ES_tradnl"/>
        </w:rPr>
        <w:t xml:space="preserve"> (carta del Embajador, de 18 de mayo de 2010, con una carta adjunta de</w:t>
      </w:r>
      <w:r w:rsidR="00EE234A">
        <w:rPr>
          <w:lang w:val="es-ES_tradnl"/>
        </w:rPr>
        <w:t>l</w:t>
      </w:r>
      <w:r>
        <w:rPr>
          <w:lang w:val="es-ES_tradnl"/>
        </w:rPr>
        <w:t xml:space="preserve"> entonces President</w:t>
      </w:r>
      <w:r w:rsidR="00EE234A">
        <w:rPr>
          <w:lang w:val="es-ES_tradnl"/>
        </w:rPr>
        <w:t>e</w:t>
      </w:r>
      <w:r>
        <w:rPr>
          <w:lang w:val="es-ES_tradnl"/>
        </w:rPr>
        <w:t xml:space="preserve"> de Chile, con fecha de abril de 2010) </w:t>
      </w:r>
    </w:p>
    <w:p w:rsidR="00AE32E6" w:rsidRDefault="00AE32E6" w:rsidP="00F56395">
      <w:pPr>
        <w:numPr>
          <w:ilvl w:val="0"/>
          <w:numId w:val="11"/>
        </w:numPr>
        <w:spacing w:after="120" w:line="276" w:lineRule="auto"/>
        <w:ind w:left="1134" w:hanging="567"/>
        <w:rPr>
          <w:lang w:val="es-ES_tradnl"/>
        </w:rPr>
      </w:pPr>
      <w:r>
        <w:rPr>
          <w:lang w:val="es-ES_tradnl"/>
        </w:rPr>
        <w:t>Egipto (carta de la Misión Permanente de 7 de enero de 2011)</w:t>
      </w:r>
    </w:p>
    <w:p w:rsidR="00AE32E6" w:rsidRDefault="00AE32E6" w:rsidP="00F56395">
      <w:pPr>
        <w:numPr>
          <w:ilvl w:val="0"/>
          <w:numId w:val="11"/>
        </w:numPr>
        <w:spacing w:after="120" w:line="276" w:lineRule="auto"/>
        <w:ind w:left="1134" w:hanging="567"/>
        <w:rPr>
          <w:lang w:val="es-ES_tradnl"/>
        </w:rPr>
      </w:pPr>
      <w:r>
        <w:rPr>
          <w:lang w:val="es-ES_tradnl"/>
        </w:rPr>
        <w:t>Etiopía (carta de la Misión Permanente de 25 de marzo de 2013)</w:t>
      </w:r>
    </w:p>
    <w:p w:rsidR="00AE32E6" w:rsidRDefault="00AE32E6" w:rsidP="00F56395">
      <w:pPr>
        <w:numPr>
          <w:ilvl w:val="0"/>
          <w:numId w:val="11"/>
        </w:numPr>
        <w:spacing w:after="120" w:line="276" w:lineRule="auto"/>
        <w:ind w:left="1134" w:hanging="567"/>
        <w:rPr>
          <w:lang w:val="es-ES_tradnl"/>
        </w:rPr>
      </w:pPr>
      <w:r>
        <w:rPr>
          <w:lang w:val="es-ES_tradnl"/>
        </w:rPr>
        <w:t>India (carta del Ministro de</w:t>
      </w:r>
      <w:r w:rsidR="004B7713">
        <w:rPr>
          <w:lang w:val="es-ES_tradnl"/>
        </w:rPr>
        <w:t xml:space="preserve"> </w:t>
      </w:r>
      <w:r>
        <w:rPr>
          <w:lang w:val="es-ES_tradnl"/>
        </w:rPr>
        <w:t xml:space="preserve"> Industria y Comercio de 2 de agosto de 201</w:t>
      </w:r>
      <w:r w:rsidR="00A935DD">
        <w:rPr>
          <w:lang w:val="es-ES_tradnl"/>
        </w:rPr>
        <w:t>3</w:t>
      </w:r>
      <w:r>
        <w:rPr>
          <w:lang w:val="es-ES_tradnl"/>
        </w:rPr>
        <w:t>)</w:t>
      </w:r>
    </w:p>
    <w:p w:rsidR="00A935DD" w:rsidRDefault="00A935DD" w:rsidP="00F56395">
      <w:pPr>
        <w:numPr>
          <w:ilvl w:val="0"/>
          <w:numId w:val="11"/>
        </w:numPr>
        <w:spacing w:after="120" w:line="276" w:lineRule="auto"/>
        <w:ind w:left="1134" w:hanging="567"/>
        <w:rPr>
          <w:lang w:val="es-ES_tradnl"/>
        </w:rPr>
      </w:pPr>
      <w:r>
        <w:rPr>
          <w:lang w:val="es-ES_tradnl"/>
        </w:rPr>
        <w:t>Irán (República Islámica del) (carta de la Misión Permanente de 6 de septiembre de 2013)</w:t>
      </w:r>
    </w:p>
    <w:p w:rsidR="00A935DD" w:rsidRDefault="00A935DD" w:rsidP="00F56395">
      <w:pPr>
        <w:numPr>
          <w:ilvl w:val="0"/>
          <w:numId w:val="11"/>
        </w:numPr>
        <w:spacing w:after="120" w:line="276" w:lineRule="auto"/>
        <w:ind w:left="1134" w:hanging="567"/>
        <w:rPr>
          <w:lang w:val="es-ES_tradnl"/>
        </w:rPr>
      </w:pPr>
      <w:r>
        <w:rPr>
          <w:lang w:val="es-ES_tradnl"/>
        </w:rPr>
        <w:t>México (carta de la Misión Permanente de 15 de enero de 2010)</w:t>
      </w:r>
    </w:p>
    <w:p w:rsidR="00A935DD" w:rsidRDefault="00A935DD" w:rsidP="00F56395">
      <w:pPr>
        <w:numPr>
          <w:ilvl w:val="0"/>
          <w:numId w:val="11"/>
        </w:numPr>
        <w:spacing w:after="120" w:line="276" w:lineRule="auto"/>
        <w:ind w:left="1134" w:hanging="567"/>
        <w:rPr>
          <w:lang w:val="es-ES_tradnl"/>
        </w:rPr>
      </w:pPr>
      <w:r>
        <w:rPr>
          <w:lang w:val="es-ES_tradnl"/>
        </w:rPr>
        <w:t>Marruecos (carta del Ministro de Comunicaciones de 28 de noviembre de 2011)</w:t>
      </w:r>
    </w:p>
    <w:p w:rsidR="00A935DD" w:rsidRDefault="00A935DD" w:rsidP="00F56395">
      <w:pPr>
        <w:numPr>
          <w:ilvl w:val="0"/>
          <w:numId w:val="11"/>
        </w:numPr>
        <w:spacing w:after="120" w:line="276" w:lineRule="auto"/>
        <w:ind w:left="1134" w:hanging="567"/>
        <w:rPr>
          <w:lang w:val="es-ES_tradnl"/>
        </w:rPr>
      </w:pPr>
      <w:r>
        <w:rPr>
          <w:lang w:val="es-ES_tradnl"/>
        </w:rPr>
        <w:t xml:space="preserve">Nigeria (carta del Director General de la </w:t>
      </w:r>
      <w:r w:rsidRPr="00A935DD">
        <w:rPr>
          <w:lang w:val="es-ES_tradnl"/>
        </w:rPr>
        <w:t>Comisión de Derecho de Autor de Nigeria</w:t>
      </w:r>
      <w:r w:rsidR="00F56395">
        <w:rPr>
          <w:lang w:val="es-ES_tradnl"/>
        </w:rPr>
        <w:t>, de </w:t>
      </w:r>
      <w:r>
        <w:rPr>
          <w:lang w:val="es-ES_tradnl"/>
        </w:rPr>
        <w:t>25 de septiembre de 2009)</w:t>
      </w:r>
    </w:p>
    <w:p w:rsidR="00A935DD" w:rsidRDefault="00A935DD" w:rsidP="00F56395">
      <w:pPr>
        <w:numPr>
          <w:ilvl w:val="0"/>
          <w:numId w:val="11"/>
        </w:numPr>
        <w:spacing w:after="120" w:line="276" w:lineRule="auto"/>
        <w:ind w:left="1134" w:hanging="567"/>
        <w:rPr>
          <w:lang w:val="es-ES_tradnl"/>
        </w:rPr>
      </w:pPr>
      <w:r>
        <w:rPr>
          <w:lang w:val="es-ES_tradnl"/>
        </w:rPr>
        <w:t>Panamá (carta del Ministro de Relaciones Exteriores de 14 de septiembre de 20</w:t>
      </w:r>
      <w:r w:rsidR="00EE234A">
        <w:rPr>
          <w:lang w:val="es-ES_tradnl"/>
        </w:rPr>
        <w:t>07</w:t>
      </w:r>
      <w:r>
        <w:rPr>
          <w:lang w:val="es-ES_tradnl"/>
        </w:rPr>
        <w:t>)</w:t>
      </w:r>
    </w:p>
    <w:p w:rsidR="00A935DD" w:rsidRDefault="00A935DD" w:rsidP="00F56395">
      <w:pPr>
        <w:numPr>
          <w:ilvl w:val="0"/>
          <w:numId w:val="11"/>
        </w:numPr>
        <w:spacing w:after="120" w:line="276" w:lineRule="auto"/>
        <w:ind w:left="1134" w:hanging="567"/>
        <w:rPr>
          <w:lang w:val="es-ES_tradnl"/>
        </w:rPr>
      </w:pPr>
      <w:r>
        <w:rPr>
          <w:lang w:val="es-ES_tradnl"/>
        </w:rPr>
        <w:t xml:space="preserve">República de Corea (carta del </w:t>
      </w:r>
      <w:r w:rsidR="004B7713">
        <w:rPr>
          <w:lang w:val="es-ES_tradnl"/>
        </w:rPr>
        <w:t>Director</w:t>
      </w:r>
      <w:r w:rsidR="00855565">
        <w:rPr>
          <w:lang w:val="es-ES_tradnl"/>
        </w:rPr>
        <w:t xml:space="preserve"> de la </w:t>
      </w:r>
      <w:r w:rsidR="00855565" w:rsidRPr="00855565">
        <w:rPr>
          <w:lang w:val="es-ES_tradnl"/>
        </w:rPr>
        <w:t>Oficina de Propiedad Intelectual</w:t>
      </w:r>
      <w:r w:rsidR="00855565">
        <w:rPr>
          <w:lang w:val="es-ES_tradnl"/>
        </w:rPr>
        <w:t>,</w:t>
      </w:r>
      <w:r>
        <w:rPr>
          <w:lang w:val="es-ES_tradnl"/>
        </w:rPr>
        <w:t xml:space="preserve"> de </w:t>
      </w:r>
      <w:r w:rsidR="00855565">
        <w:rPr>
          <w:lang w:val="es-ES_tradnl"/>
        </w:rPr>
        <w:t>15 de febrero</w:t>
      </w:r>
      <w:r>
        <w:rPr>
          <w:lang w:val="es-ES_tradnl"/>
        </w:rPr>
        <w:t xml:space="preserve"> de 2011)</w:t>
      </w:r>
    </w:p>
    <w:p w:rsidR="00855565" w:rsidRDefault="00855565" w:rsidP="00F56395">
      <w:pPr>
        <w:numPr>
          <w:ilvl w:val="0"/>
          <w:numId w:val="11"/>
        </w:numPr>
        <w:spacing w:after="120" w:line="276" w:lineRule="auto"/>
        <w:ind w:left="1134" w:hanging="567"/>
        <w:rPr>
          <w:lang w:val="es-ES_tradnl"/>
        </w:rPr>
      </w:pPr>
      <w:r>
        <w:rPr>
          <w:lang w:val="es-ES_tradnl"/>
        </w:rPr>
        <w:t>Rumania (carta del Primer Ministro, de 6 de diciembre de 2013, para confirmar las peticiones formuladas oralmente en 2010)</w:t>
      </w:r>
    </w:p>
    <w:p w:rsidR="00855565" w:rsidRDefault="00855565" w:rsidP="00F56395">
      <w:pPr>
        <w:numPr>
          <w:ilvl w:val="0"/>
          <w:numId w:val="11"/>
        </w:numPr>
        <w:spacing w:after="120" w:line="276" w:lineRule="auto"/>
        <w:ind w:left="1134" w:hanging="567"/>
        <w:rPr>
          <w:lang w:val="es-ES_tradnl"/>
        </w:rPr>
      </w:pPr>
      <w:r>
        <w:rPr>
          <w:lang w:val="es-ES_tradnl"/>
        </w:rPr>
        <w:t>Túnez (carta de la Misión Permanente de 14 de julio de 201</w:t>
      </w:r>
      <w:r w:rsidR="00EE234A">
        <w:rPr>
          <w:lang w:val="es-ES_tradnl"/>
        </w:rPr>
        <w:t>4</w:t>
      </w:r>
      <w:r>
        <w:rPr>
          <w:lang w:val="es-ES_tradnl"/>
        </w:rPr>
        <w:t>)</w:t>
      </w:r>
    </w:p>
    <w:p w:rsidR="00855565" w:rsidRDefault="00855565" w:rsidP="00F56395">
      <w:pPr>
        <w:numPr>
          <w:ilvl w:val="0"/>
          <w:numId w:val="11"/>
        </w:numPr>
        <w:spacing w:after="120" w:line="276" w:lineRule="auto"/>
        <w:ind w:left="1134" w:hanging="567"/>
        <w:rPr>
          <w:lang w:val="es-ES_tradnl"/>
        </w:rPr>
      </w:pPr>
      <w:r>
        <w:rPr>
          <w:lang w:val="es-ES_tradnl"/>
        </w:rPr>
        <w:t>Turquía (carta de la Misión Permanente de 27 de noviembre de 2013)</w:t>
      </w:r>
    </w:p>
    <w:p w:rsidR="00855565" w:rsidRDefault="00855565">
      <w:pPr>
        <w:rPr>
          <w:lang w:val="es-ES_tradnl"/>
        </w:rPr>
      </w:pPr>
    </w:p>
    <w:p w:rsidR="00855565" w:rsidRDefault="00855565" w:rsidP="00F56395">
      <w:pPr>
        <w:pStyle w:val="Endofdocument-Annex"/>
        <w:ind w:left="567" w:hanging="564"/>
        <w:jc w:val="both"/>
        <w:rPr>
          <w:lang w:val="es-ES_tradnl"/>
        </w:rPr>
      </w:pPr>
      <w:r>
        <w:rPr>
          <w:lang w:val="es-ES_tradnl"/>
        </w:rPr>
        <w:t>B</w:t>
      </w:r>
      <w:r w:rsidR="00F56395">
        <w:rPr>
          <w:lang w:val="es-ES_tradnl"/>
        </w:rPr>
        <w:t>.</w:t>
      </w:r>
      <w:r>
        <w:rPr>
          <w:lang w:val="es-ES_tradnl"/>
        </w:rPr>
        <w:tab/>
        <w:t>Peticiones formuladas oralmente por altos responsables del país (siguiendo el orden alfabético del nombre del país</w:t>
      </w:r>
      <w:r w:rsidR="004B7713">
        <w:rPr>
          <w:lang w:val="es-ES_tradnl"/>
        </w:rPr>
        <w:t xml:space="preserve"> en inglés</w:t>
      </w:r>
      <w:r>
        <w:rPr>
          <w:lang w:val="es-ES_tradnl"/>
        </w:rPr>
        <w:t>):</w:t>
      </w:r>
    </w:p>
    <w:p w:rsidR="00161DC0" w:rsidRDefault="00161DC0" w:rsidP="00855565">
      <w:pPr>
        <w:pStyle w:val="Endofdocument-Annex"/>
        <w:ind w:left="570"/>
        <w:jc w:val="both"/>
        <w:rPr>
          <w:lang w:val="es-ES_tradnl"/>
        </w:rPr>
      </w:pPr>
    </w:p>
    <w:p w:rsidR="00161DC0" w:rsidRDefault="00161DC0" w:rsidP="00F56395">
      <w:pPr>
        <w:numPr>
          <w:ilvl w:val="0"/>
          <w:numId w:val="12"/>
        </w:numPr>
        <w:tabs>
          <w:tab w:val="left" w:pos="1134"/>
        </w:tabs>
        <w:spacing w:after="120" w:line="276" w:lineRule="auto"/>
        <w:ind w:left="567" w:firstLine="0"/>
        <w:rPr>
          <w:lang w:val="es-ES_tradnl"/>
        </w:rPr>
      </w:pPr>
      <w:r w:rsidRPr="00F56395">
        <w:t>Bangladesh</w:t>
      </w:r>
    </w:p>
    <w:p w:rsidR="00161DC0" w:rsidRDefault="00161DC0" w:rsidP="00F56395">
      <w:pPr>
        <w:numPr>
          <w:ilvl w:val="0"/>
          <w:numId w:val="12"/>
        </w:numPr>
        <w:tabs>
          <w:tab w:val="left" w:pos="1134"/>
        </w:tabs>
        <w:spacing w:after="120" w:line="276" w:lineRule="auto"/>
        <w:ind w:left="567" w:firstLine="0"/>
        <w:rPr>
          <w:lang w:val="es-ES_tradnl"/>
        </w:rPr>
      </w:pPr>
      <w:r w:rsidRPr="00F56395">
        <w:t>Camerún</w:t>
      </w:r>
    </w:p>
    <w:p w:rsidR="00161DC0" w:rsidRDefault="00161DC0" w:rsidP="00F56395">
      <w:pPr>
        <w:numPr>
          <w:ilvl w:val="0"/>
          <w:numId w:val="12"/>
        </w:numPr>
        <w:tabs>
          <w:tab w:val="left" w:pos="1134"/>
        </w:tabs>
        <w:spacing w:after="120" w:line="276" w:lineRule="auto"/>
        <w:ind w:left="567" w:firstLine="0"/>
        <w:rPr>
          <w:lang w:val="es-ES_tradnl"/>
        </w:rPr>
      </w:pPr>
      <w:r w:rsidRPr="00F56395">
        <w:t>Jordania</w:t>
      </w:r>
    </w:p>
    <w:p w:rsidR="00161DC0" w:rsidRDefault="00161DC0" w:rsidP="00F56395">
      <w:pPr>
        <w:numPr>
          <w:ilvl w:val="0"/>
          <w:numId w:val="12"/>
        </w:numPr>
        <w:tabs>
          <w:tab w:val="left" w:pos="1134"/>
        </w:tabs>
        <w:spacing w:after="120" w:line="276" w:lineRule="auto"/>
        <w:ind w:left="567" w:firstLine="0"/>
        <w:rPr>
          <w:lang w:val="es-ES_tradnl"/>
        </w:rPr>
      </w:pPr>
      <w:r w:rsidRPr="00F56395">
        <w:lastRenderedPageBreak/>
        <w:t>Perú</w:t>
      </w:r>
    </w:p>
    <w:p w:rsidR="00161DC0" w:rsidRDefault="00161DC0" w:rsidP="00F56395">
      <w:pPr>
        <w:numPr>
          <w:ilvl w:val="0"/>
          <w:numId w:val="12"/>
        </w:numPr>
        <w:tabs>
          <w:tab w:val="left" w:pos="1134"/>
        </w:tabs>
        <w:spacing w:after="120" w:line="276" w:lineRule="auto"/>
        <w:ind w:left="567" w:firstLine="0"/>
        <w:rPr>
          <w:lang w:val="es-ES_tradnl"/>
        </w:rPr>
      </w:pPr>
      <w:r w:rsidRPr="00F56395">
        <w:t>Senegal</w:t>
      </w:r>
    </w:p>
    <w:p w:rsidR="00161DC0" w:rsidRDefault="00161DC0" w:rsidP="00F56395">
      <w:pPr>
        <w:numPr>
          <w:ilvl w:val="0"/>
          <w:numId w:val="12"/>
        </w:numPr>
        <w:tabs>
          <w:tab w:val="left" w:pos="1134"/>
        </w:tabs>
        <w:spacing w:after="120" w:line="276" w:lineRule="auto"/>
        <w:ind w:left="567" w:firstLine="0"/>
        <w:rPr>
          <w:lang w:val="es-ES_tradnl"/>
        </w:rPr>
      </w:pPr>
      <w:r w:rsidRPr="00F56395">
        <w:t>Sudáfrica</w:t>
      </w:r>
    </w:p>
    <w:p w:rsidR="00161DC0" w:rsidRDefault="00161DC0" w:rsidP="00F56395">
      <w:pPr>
        <w:numPr>
          <w:ilvl w:val="0"/>
          <w:numId w:val="12"/>
        </w:numPr>
        <w:tabs>
          <w:tab w:val="left" w:pos="1134"/>
        </w:tabs>
        <w:spacing w:after="120" w:line="276" w:lineRule="auto"/>
        <w:ind w:left="567" w:firstLine="0"/>
        <w:rPr>
          <w:lang w:val="es-ES_tradnl"/>
        </w:rPr>
      </w:pPr>
      <w:r>
        <w:rPr>
          <w:lang w:val="es-ES_tradnl"/>
        </w:rPr>
        <w:t>Estados Unidos de América</w:t>
      </w:r>
    </w:p>
    <w:p w:rsidR="00161DC0" w:rsidRDefault="00161DC0" w:rsidP="00F56395">
      <w:pPr>
        <w:numPr>
          <w:ilvl w:val="0"/>
          <w:numId w:val="12"/>
        </w:numPr>
        <w:tabs>
          <w:tab w:val="left" w:pos="1134"/>
        </w:tabs>
        <w:spacing w:after="120" w:line="276" w:lineRule="auto"/>
        <w:ind w:left="567" w:firstLine="0"/>
        <w:rPr>
          <w:lang w:val="es-ES_tradnl"/>
        </w:rPr>
      </w:pPr>
      <w:proofErr w:type="spellStart"/>
      <w:r>
        <w:rPr>
          <w:lang w:val="es-ES_tradnl"/>
        </w:rPr>
        <w:t>Zimbabwe</w:t>
      </w:r>
      <w:proofErr w:type="spellEnd"/>
    </w:p>
    <w:p w:rsidR="00161DC0" w:rsidRDefault="00161DC0" w:rsidP="00161DC0">
      <w:pPr>
        <w:pStyle w:val="Endofdocument-Annex"/>
        <w:jc w:val="both"/>
        <w:rPr>
          <w:lang w:val="es-ES_tradnl"/>
        </w:rPr>
      </w:pPr>
    </w:p>
    <w:p w:rsidR="00161DC0" w:rsidRDefault="00161DC0" w:rsidP="00161DC0">
      <w:pPr>
        <w:pStyle w:val="Endofdocument-Annex"/>
        <w:jc w:val="both"/>
        <w:rPr>
          <w:lang w:val="es-ES_tradnl"/>
        </w:rPr>
      </w:pPr>
    </w:p>
    <w:p w:rsidR="00161DC0" w:rsidRDefault="00161DC0" w:rsidP="00161DC0">
      <w:pPr>
        <w:pStyle w:val="Endofdocument-Annex"/>
        <w:jc w:val="both"/>
        <w:rPr>
          <w:lang w:val="es-ES_tradnl"/>
        </w:rPr>
      </w:pPr>
    </w:p>
    <w:p w:rsidR="00161DC0" w:rsidRDefault="00161DC0" w:rsidP="00161DC0">
      <w:pPr>
        <w:pStyle w:val="Endofdocument-Annex"/>
        <w:jc w:val="both"/>
        <w:rPr>
          <w:lang w:val="es-ES_tradnl"/>
        </w:rPr>
      </w:pPr>
    </w:p>
    <w:p w:rsidR="00161DC0" w:rsidRDefault="00F56395" w:rsidP="00161DC0">
      <w:pPr>
        <w:pStyle w:val="Endofdocument-Annex"/>
        <w:jc w:val="both"/>
        <w:rPr>
          <w:lang w:val="es-ES_tradnl"/>
        </w:rPr>
      </w:pPr>
      <w:r>
        <w:rPr>
          <w:lang w:val="es-ES_tradnl"/>
        </w:rPr>
        <w:t>[</w:t>
      </w:r>
      <w:r w:rsidR="00161DC0">
        <w:rPr>
          <w:lang w:val="es-ES_tradnl"/>
        </w:rPr>
        <w:t xml:space="preserve">Fin del Anexo II y </w:t>
      </w:r>
      <w:r>
        <w:rPr>
          <w:lang w:val="es-ES_tradnl"/>
        </w:rPr>
        <w:t>del documento]</w:t>
      </w:r>
    </w:p>
    <w:sectPr w:rsidR="00161DC0" w:rsidSect="005F1C14">
      <w:headerReference w:type="default" r:id="rId13"/>
      <w:head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72D" w:rsidRDefault="000A472D">
      <w:r>
        <w:separator/>
      </w:r>
    </w:p>
  </w:endnote>
  <w:endnote w:type="continuationSeparator" w:id="0">
    <w:p w:rsidR="000A472D" w:rsidRDefault="000A472D" w:rsidP="003B38C1">
      <w:r>
        <w:separator/>
      </w:r>
    </w:p>
    <w:p w:rsidR="000A472D" w:rsidRPr="003B38C1" w:rsidRDefault="000A472D" w:rsidP="003B38C1">
      <w:pPr>
        <w:spacing w:after="60"/>
        <w:rPr>
          <w:sz w:val="17"/>
        </w:rPr>
      </w:pPr>
      <w:r>
        <w:rPr>
          <w:sz w:val="17"/>
        </w:rPr>
        <w:t>[Endnote continued from previous page]</w:t>
      </w:r>
    </w:p>
  </w:endnote>
  <w:endnote w:type="continuationNotice" w:id="1">
    <w:p w:rsidR="000A472D" w:rsidRPr="003B38C1" w:rsidRDefault="000A472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72D" w:rsidRDefault="000A472D">
      <w:r>
        <w:separator/>
      </w:r>
    </w:p>
  </w:footnote>
  <w:footnote w:type="continuationSeparator" w:id="0">
    <w:p w:rsidR="000A472D" w:rsidRDefault="000A472D" w:rsidP="008B60B2">
      <w:r>
        <w:separator/>
      </w:r>
    </w:p>
    <w:p w:rsidR="000A472D" w:rsidRPr="00ED77FB" w:rsidRDefault="000A472D" w:rsidP="008B60B2">
      <w:pPr>
        <w:spacing w:after="60"/>
        <w:rPr>
          <w:sz w:val="17"/>
          <w:szCs w:val="17"/>
        </w:rPr>
      </w:pPr>
      <w:r w:rsidRPr="00ED77FB">
        <w:rPr>
          <w:sz w:val="17"/>
          <w:szCs w:val="17"/>
        </w:rPr>
        <w:t>[Footnote continued from previous page]</w:t>
      </w:r>
    </w:p>
  </w:footnote>
  <w:footnote w:type="continuationNotice" w:id="1">
    <w:p w:rsidR="000A472D" w:rsidRPr="00ED77FB" w:rsidRDefault="000A472D" w:rsidP="008B60B2">
      <w:pPr>
        <w:spacing w:before="60"/>
        <w:jc w:val="right"/>
        <w:rPr>
          <w:sz w:val="17"/>
          <w:szCs w:val="17"/>
        </w:rPr>
      </w:pPr>
      <w:r w:rsidRPr="00ED77FB">
        <w:rPr>
          <w:sz w:val="17"/>
          <w:szCs w:val="17"/>
        </w:rPr>
        <w:t>[Footnote continued on next page]</w:t>
      </w:r>
    </w:p>
  </w:footnote>
  <w:footnote w:id="2">
    <w:p w:rsidR="004E2F2D" w:rsidRPr="001B0760" w:rsidRDefault="004E2F2D" w:rsidP="004E2F2D">
      <w:pPr>
        <w:pStyle w:val="FootnoteText"/>
        <w:rPr>
          <w:lang w:val="es-ES_tradnl"/>
        </w:rPr>
      </w:pPr>
      <w:r>
        <w:rPr>
          <w:rStyle w:val="FootnoteReference"/>
        </w:rPr>
        <w:footnoteRef/>
      </w:r>
      <w:r w:rsidRPr="006925A8">
        <w:rPr>
          <w:lang w:val="es-ES_tradnl"/>
        </w:rPr>
        <w:t xml:space="preserve"> </w:t>
      </w:r>
      <w:r>
        <w:rPr>
          <w:lang w:val="es-ES_tradnl"/>
        </w:rPr>
        <w:tab/>
        <w:t>Por ejemplo</w:t>
      </w:r>
      <w:proofErr w:type="gramStart"/>
      <w:r>
        <w:rPr>
          <w:lang w:val="es-ES_tradnl"/>
        </w:rPr>
        <w:t>:  recepción</w:t>
      </w:r>
      <w:proofErr w:type="gramEnd"/>
      <w:r>
        <w:rPr>
          <w:lang w:val="es-ES_tradnl"/>
        </w:rPr>
        <w:t>, transmisión, revisión, búsqueda y examen, tramitación, publicación, cesión o transferencia de derechos sobre licencias, renovación y/o almacenamiento.</w:t>
      </w:r>
    </w:p>
  </w:footnote>
  <w:footnote w:id="3">
    <w:p w:rsidR="005946B7" w:rsidRPr="005946B7" w:rsidRDefault="005946B7">
      <w:pPr>
        <w:pStyle w:val="FootnoteText"/>
        <w:rPr>
          <w:lang w:val="es-ES"/>
        </w:rPr>
      </w:pPr>
      <w:r>
        <w:rPr>
          <w:rStyle w:val="FootnoteReference"/>
        </w:rPr>
        <w:footnoteRef/>
      </w:r>
      <w:r>
        <w:t xml:space="preserve"> </w:t>
      </w:r>
      <w:r>
        <w:rPr>
          <w:lang w:val="es-ES"/>
        </w:rPr>
        <w:tab/>
        <w:t>En esta lista figuran únicamente las solicitudes pendientes.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77" w:rsidRPr="008A58E7" w:rsidRDefault="00F56395" w:rsidP="00BC3D77">
    <w:pPr>
      <w:pStyle w:val="Header"/>
      <w:jc w:val="right"/>
      <w:rPr>
        <w:lang w:val="es-ES"/>
      </w:rPr>
    </w:pPr>
    <w:r>
      <w:rPr>
        <w:lang w:val="es-ES"/>
      </w:rPr>
      <w:t>A/54/12</w:t>
    </w:r>
  </w:p>
  <w:p w:rsidR="00BC3D77" w:rsidRPr="008A58E7" w:rsidRDefault="00DD3C45" w:rsidP="00BC3D77">
    <w:pPr>
      <w:pStyle w:val="Header"/>
      <w:jc w:val="right"/>
      <w:rPr>
        <w:lang w:val="es-ES"/>
      </w:rPr>
    </w:pPr>
    <w:proofErr w:type="gramStart"/>
    <w:r w:rsidRPr="008A58E7">
      <w:rPr>
        <w:lang w:val="es-ES"/>
      </w:rPr>
      <w:t>p</w:t>
    </w:r>
    <w:r w:rsidR="008A58E7" w:rsidRPr="008A58E7">
      <w:rPr>
        <w:lang w:val="es-ES"/>
      </w:rPr>
      <w:t>ágina</w:t>
    </w:r>
    <w:proofErr w:type="gramEnd"/>
    <w:r w:rsidR="005B2D34" w:rsidRPr="008A58E7">
      <w:rPr>
        <w:lang w:val="es-ES"/>
      </w:rPr>
      <w:t xml:space="preserve"> </w:t>
    </w:r>
    <w:sdt>
      <w:sdtPr>
        <w:rPr>
          <w:lang w:val="es-ES"/>
        </w:rPr>
        <w:id w:val="-840078137"/>
        <w:docPartObj>
          <w:docPartGallery w:val="Page Numbers (Top of Page)"/>
          <w:docPartUnique/>
        </w:docPartObj>
      </w:sdtPr>
      <w:sdtEndPr>
        <w:rPr>
          <w:noProof/>
        </w:rPr>
      </w:sdtEndPr>
      <w:sdtContent>
        <w:r w:rsidR="005B2D34" w:rsidRPr="008A58E7">
          <w:rPr>
            <w:lang w:val="es-ES"/>
          </w:rPr>
          <w:fldChar w:fldCharType="begin"/>
        </w:r>
        <w:r w:rsidR="005B2D34" w:rsidRPr="008A58E7">
          <w:rPr>
            <w:lang w:val="es-ES"/>
          </w:rPr>
          <w:instrText xml:space="preserve"> PAGE   \* MERGEFORMAT </w:instrText>
        </w:r>
        <w:r w:rsidR="005B2D34" w:rsidRPr="008A58E7">
          <w:rPr>
            <w:lang w:val="es-ES"/>
          </w:rPr>
          <w:fldChar w:fldCharType="separate"/>
        </w:r>
        <w:r w:rsidR="00C000B4">
          <w:rPr>
            <w:noProof/>
            <w:lang w:val="es-ES"/>
          </w:rPr>
          <w:t>2</w:t>
        </w:r>
        <w:r w:rsidR="005B2D34" w:rsidRPr="008A58E7">
          <w:rPr>
            <w:noProof/>
            <w:lang w:val="es-ES"/>
          </w:rPr>
          <w:fldChar w:fldCharType="end"/>
        </w:r>
      </w:sdtContent>
    </w:sdt>
  </w:p>
  <w:p w:rsidR="001408FE" w:rsidRPr="008A58E7" w:rsidRDefault="00C000B4" w:rsidP="006D7D80">
    <w:pPr>
      <w:pStyle w:val="Head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14" w:rsidRPr="008A58E7" w:rsidRDefault="005F1C14" w:rsidP="00BC3D77">
    <w:pPr>
      <w:pStyle w:val="Header"/>
      <w:jc w:val="right"/>
      <w:rPr>
        <w:lang w:val="es-ES"/>
      </w:rPr>
    </w:pPr>
    <w:r>
      <w:rPr>
        <w:lang w:val="es-ES"/>
      </w:rPr>
      <w:t>A/54/12</w:t>
    </w:r>
  </w:p>
  <w:p w:rsidR="005F1C14" w:rsidRPr="008A58E7" w:rsidRDefault="005F1C14" w:rsidP="005F1C14">
    <w:pPr>
      <w:pStyle w:val="Header"/>
      <w:ind w:left="720"/>
      <w:jc w:val="right"/>
      <w:rPr>
        <w:lang w:val="es-ES"/>
      </w:rPr>
    </w:pPr>
    <w:r>
      <w:rPr>
        <w:lang w:val="es-ES"/>
      </w:rPr>
      <w:t xml:space="preserve">Anexo I, </w:t>
    </w:r>
    <w:r w:rsidRPr="008A58E7">
      <w:rPr>
        <w:lang w:val="es-ES"/>
      </w:rPr>
      <w:t xml:space="preserve">página </w:t>
    </w:r>
    <w:sdt>
      <w:sdtPr>
        <w:rPr>
          <w:lang w:val="es-ES"/>
        </w:rPr>
        <w:id w:val="477580690"/>
        <w:docPartObj>
          <w:docPartGallery w:val="Page Numbers (Top of Page)"/>
          <w:docPartUnique/>
        </w:docPartObj>
      </w:sdtPr>
      <w:sdtEndPr>
        <w:rPr>
          <w:noProof/>
        </w:rPr>
      </w:sdtEndPr>
      <w:sdtContent>
        <w:r w:rsidRPr="008A58E7">
          <w:rPr>
            <w:lang w:val="es-ES"/>
          </w:rPr>
          <w:fldChar w:fldCharType="begin"/>
        </w:r>
        <w:r w:rsidRPr="008A58E7">
          <w:rPr>
            <w:lang w:val="es-ES"/>
          </w:rPr>
          <w:instrText xml:space="preserve"> PAGE   \* MERGEFORMAT </w:instrText>
        </w:r>
        <w:r w:rsidRPr="008A58E7">
          <w:rPr>
            <w:lang w:val="es-ES"/>
          </w:rPr>
          <w:fldChar w:fldCharType="separate"/>
        </w:r>
        <w:r w:rsidR="00C000B4">
          <w:rPr>
            <w:noProof/>
            <w:lang w:val="es-ES"/>
          </w:rPr>
          <w:t>4</w:t>
        </w:r>
        <w:r w:rsidRPr="008A58E7">
          <w:rPr>
            <w:noProof/>
            <w:lang w:val="es-ES"/>
          </w:rPr>
          <w:fldChar w:fldCharType="end"/>
        </w:r>
      </w:sdtContent>
    </w:sdt>
  </w:p>
  <w:p w:rsidR="005F1C14" w:rsidRPr="008A58E7" w:rsidRDefault="005F1C14" w:rsidP="006D7D80">
    <w:pPr>
      <w:pStyle w:val="Head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14" w:rsidRDefault="005F1C14" w:rsidP="005F1C14">
    <w:pPr>
      <w:pStyle w:val="Header"/>
      <w:jc w:val="right"/>
    </w:pPr>
    <w:r>
      <w:t>A/54/12</w:t>
    </w:r>
  </w:p>
  <w:p w:rsidR="005F1C14" w:rsidRDefault="005F1C14" w:rsidP="005F1C14">
    <w:pPr>
      <w:pStyle w:val="Header"/>
      <w:jc w:val="right"/>
    </w:pPr>
    <w:r>
      <w:t>ANEXO I</w:t>
    </w:r>
  </w:p>
  <w:p w:rsidR="005F1C14" w:rsidRDefault="005F1C14" w:rsidP="005F1C1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95" w:rsidRPr="008A58E7" w:rsidRDefault="00F56395" w:rsidP="00BC3D77">
    <w:pPr>
      <w:pStyle w:val="Header"/>
      <w:jc w:val="right"/>
      <w:rPr>
        <w:lang w:val="es-ES"/>
      </w:rPr>
    </w:pPr>
    <w:r>
      <w:rPr>
        <w:lang w:val="es-ES"/>
      </w:rPr>
      <w:t>A/54/12</w:t>
    </w:r>
  </w:p>
  <w:p w:rsidR="00F56395" w:rsidRPr="008A58E7" w:rsidRDefault="00F56395" w:rsidP="005F1C14">
    <w:pPr>
      <w:pStyle w:val="Header"/>
      <w:ind w:left="720"/>
      <w:jc w:val="right"/>
      <w:rPr>
        <w:lang w:val="es-ES"/>
      </w:rPr>
    </w:pPr>
    <w:r>
      <w:rPr>
        <w:lang w:val="es-ES"/>
      </w:rPr>
      <w:t xml:space="preserve">Anexo II, </w:t>
    </w:r>
    <w:r w:rsidRPr="008A58E7">
      <w:rPr>
        <w:lang w:val="es-ES"/>
      </w:rPr>
      <w:t xml:space="preserve">página </w:t>
    </w:r>
    <w:sdt>
      <w:sdtPr>
        <w:rPr>
          <w:lang w:val="es-ES"/>
        </w:rPr>
        <w:id w:val="-1036504233"/>
        <w:docPartObj>
          <w:docPartGallery w:val="Page Numbers (Top of Page)"/>
          <w:docPartUnique/>
        </w:docPartObj>
      </w:sdtPr>
      <w:sdtEndPr>
        <w:rPr>
          <w:noProof/>
        </w:rPr>
      </w:sdtEndPr>
      <w:sdtContent>
        <w:r w:rsidRPr="008A58E7">
          <w:rPr>
            <w:lang w:val="es-ES"/>
          </w:rPr>
          <w:fldChar w:fldCharType="begin"/>
        </w:r>
        <w:r w:rsidRPr="008A58E7">
          <w:rPr>
            <w:lang w:val="es-ES"/>
          </w:rPr>
          <w:instrText xml:space="preserve"> PAGE   \* MERGEFORMAT </w:instrText>
        </w:r>
        <w:r w:rsidRPr="008A58E7">
          <w:rPr>
            <w:lang w:val="es-ES"/>
          </w:rPr>
          <w:fldChar w:fldCharType="separate"/>
        </w:r>
        <w:r w:rsidR="00C000B4">
          <w:rPr>
            <w:noProof/>
            <w:lang w:val="es-ES"/>
          </w:rPr>
          <w:t>2</w:t>
        </w:r>
        <w:r w:rsidRPr="008A58E7">
          <w:rPr>
            <w:noProof/>
            <w:lang w:val="es-ES"/>
          </w:rPr>
          <w:fldChar w:fldCharType="end"/>
        </w:r>
      </w:sdtContent>
    </w:sdt>
  </w:p>
  <w:p w:rsidR="00F56395" w:rsidRPr="008A58E7" w:rsidRDefault="00F56395" w:rsidP="006D7D80">
    <w:pPr>
      <w:pStyle w:val="Heade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14" w:rsidRDefault="005F1C14" w:rsidP="005F1C14">
    <w:pPr>
      <w:pStyle w:val="Header"/>
      <w:jc w:val="right"/>
    </w:pPr>
    <w:r>
      <w:t>A/54/12</w:t>
    </w:r>
  </w:p>
  <w:p w:rsidR="005F1C14" w:rsidRDefault="005F1C14" w:rsidP="005F1C14">
    <w:pPr>
      <w:pStyle w:val="Header"/>
      <w:jc w:val="right"/>
    </w:pPr>
    <w:r>
      <w:t>ANEXO II</w:t>
    </w:r>
  </w:p>
  <w:p w:rsidR="005F1C14" w:rsidRDefault="005F1C14" w:rsidP="005F1C1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8F4B80"/>
    <w:multiLevelType w:val="hybridMultilevel"/>
    <w:tmpl w:val="5A2A6C48"/>
    <w:lvl w:ilvl="0" w:tplc="A968658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172E7833"/>
    <w:multiLevelType w:val="hybridMultilevel"/>
    <w:tmpl w:val="4878A620"/>
    <w:lvl w:ilvl="0" w:tplc="33D4D0B4">
      <w:start w:val="1"/>
      <w:numFmt w:val="decimal"/>
      <w:lvlText w:val="%1."/>
      <w:lvlJc w:val="left"/>
      <w:pPr>
        <w:ind w:left="930" w:hanging="570"/>
      </w:pPr>
      <w:rPr>
        <w:rFonts w:hint="default"/>
      </w:rPr>
    </w:lvl>
    <w:lvl w:ilvl="1" w:tplc="04090017">
      <w:start w:val="1"/>
      <w:numFmt w:val="lowerLetter"/>
      <w:lvlText w:val="%2)"/>
      <w:lvlJc w:val="left"/>
      <w:pPr>
        <w:ind w:left="1440" w:hanging="360"/>
      </w:pPr>
      <w:rPr>
        <w:rFonts w:hint="default"/>
        <w:lang w:val="es-E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BDD136D"/>
    <w:multiLevelType w:val="hybridMultilevel"/>
    <w:tmpl w:val="094016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DE44D83"/>
    <w:multiLevelType w:val="hybridMultilevel"/>
    <w:tmpl w:val="2446E30E"/>
    <w:lvl w:ilvl="0" w:tplc="AF003D2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42D937EB"/>
    <w:multiLevelType w:val="hybridMultilevel"/>
    <w:tmpl w:val="E716E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042081"/>
    <w:multiLevelType w:val="multilevel"/>
    <w:tmpl w:val="16E2542E"/>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1"/>
  </w:num>
  <w:num w:numId="6">
    <w:abstractNumId w:val="6"/>
  </w:num>
  <w:num w:numId="7">
    <w:abstractNumId w:val="3"/>
  </w:num>
  <w:num w:numId="8">
    <w:abstractNumId w:val="11"/>
  </w:num>
  <w:num w:numId="9">
    <w:abstractNumId w:val="5"/>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B1"/>
    <w:rsid w:val="00000814"/>
    <w:rsid w:val="0001226D"/>
    <w:rsid w:val="000307F3"/>
    <w:rsid w:val="00032B9D"/>
    <w:rsid w:val="00043CAA"/>
    <w:rsid w:val="00044498"/>
    <w:rsid w:val="00072277"/>
    <w:rsid w:val="00075432"/>
    <w:rsid w:val="000875A1"/>
    <w:rsid w:val="000968ED"/>
    <w:rsid w:val="000A472D"/>
    <w:rsid w:val="000B5F41"/>
    <w:rsid w:val="000B6436"/>
    <w:rsid w:val="000C1395"/>
    <w:rsid w:val="000F5E56"/>
    <w:rsid w:val="00105436"/>
    <w:rsid w:val="001362EE"/>
    <w:rsid w:val="001459D6"/>
    <w:rsid w:val="00157599"/>
    <w:rsid w:val="00161DC0"/>
    <w:rsid w:val="00164B91"/>
    <w:rsid w:val="001737D1"/>
    <w:rsid w:val="001832A6"/>
    <w:rsid w:val="00190B93"/>
    <w:rsid w:val="001F18C2"/>
    <w:rsid w:val="001F24AE"/>
    <w:rsid w:val="00217F23"/>
    <w:rsid w:val="00234343"/>
    <w:rsid w:val="002361BA"/>
    <w:rsid w:val="00237761"/>
    <w:rsid w:val="00241913"/>
    <w:rsid w:val="00263414"/>
    <w:rsid w:val="00263484"/>
    <w:rsid w:val="002634C4"/>
    <w:rsid w:val="00264B8B"/>
    <w:rsid w:val="00266F99"/>
    <w:rsid w:val="00272702"/>
    <w:rsid w:val="0028483A"/>
    <w:rsid w:val="002928D3"/>
    <w:rsid w:val="002B1FF8"/>
    <w:rsid w:val="002B4199"/>
    <w:rsid w:val="002C4B0B"/>
    <w:rsid w:val="002F1FE6"/>
    <w:rsid w:val="002F4E68"/>
    <w:rsid w:val="00312119"/>
    <w:rsid w:val="00312F7F"/>
    <w:rsid w:val="0034556E"/>
    <w:rsid w:val="00360432"/>
    <w:rsid w:val="00361450"/>
    <w:rsid w:val="0036686B"/>
    <w:rsid w:val="003673CF"/>
    <w:rsid w:val="003752CD"/>
    <w:rsid w:val="003845C1"/>
    <w:rsid w:val="003A612E"/>
    <w:rsid w:val="003A6F89"/>
    <w:rsid w:val="003B38C1"/>
    <w:rsid w:val="003C200B"/>
    <w:rsid w:val="00423E3E"/>
    <w:rsid w:val="00427AF4"/>
    <w:rsid w:val="00440FC7"/>
    <w:rsid w:val="00450047"/>
    <w:rsid w:val="004647DA"/>
    <w:rsid w:val="00474062"/>
    <w:rsid w:val="00477D6B"/>
    <w:rsid w:val="00497DD9"/>
    <w:rsid w:val="004B7713"/>
    <w:rsid w:val="004C0F47"/>
    <w:rsid w:val="004C561D"/>
    <w:rsid w:val="004E2F2D"/>
    <w:rsid w:val="005019FF"/>
    <w:rsid w:val="00507135"/>
    <w:rsid w:val="00522489"/>
    <w:rsid w:val="0053057A"/>
    <w:rsid w:val="00556E39"/>
    <w:rsid w:val="00560A29"/>
    <w:rsid w:val="00591E3C"/>
    <w:rsid w:val="005946B7"/>
    <w:rsid w:val="005B2D34"/>
    <w:rsid w:val="005C0F71"/>
    <w:rsid w:val="005C6649"/>
    <w:rsid w:val="005E7546"/>
    <w:rsid w:val="005F1C14"/>
    <w:rsid w:val="00605827"/>
    <w:rsid w:val="0061702C"/>
    <w:rsid w:val="00623BAF"/>
    <w:rsid w:val="00632CA9"/>
    <w:rsid w:val="00637083"/>
    <w:rsid w:val="00646050"/>
    <w:rsid w:val="006665AE"/>
    <w:rsid w:val="006713CA"/>
    <w:rsid w:val="00675307"/>
    <w:rsid w:val="00676C5C"/>
    <w:rsid w:val="00677ECD"/>
    <w:rsid w:val="006F2C04"/>
    <w:rsid w:val="006F7357"/>
    <w:rsid w:val="007132D7"/>
    <w:rsid w:val="007709FD"/>
    <w:rsid w:val="007761E4"/>
    <w:rsid w:val="007D1439"/>
    <w:rsid w:val="007D1613"/>
    <w:rsid w:val="007D1F18"/>
    <w:rsid w:val="00850569"/>
    <w:rsid w:val="00855565"/>
    <w:rsid w:val="00875034"/>
    <w:rsid w:val="00881E2F"/>
    <w:rsid w:val="00882A9B"/>
    <w:rsid w:val="008A58E7"/>
    <w:rsid w:val="008B2CC1"/>
    <w:rsid w:val="008B60B2"/>
    <w:rsid w:val="008D3106"/>
    <w:rsid w:val="008F5C69"/>
    <w:rsid w:val="0090731E"/>
    <w:rsid w:val="00911B2D"/>
    <w:rsid w:val="00916EE2"/>
    <w:rsid w:val="00937E96"/>
    <w:rsid w:val="009632FA"/>
    <w:rsid w:val="00966A22"/>
    <w:rsid w:val="0096722F"/>
    <w:rsid w:val="00977148"/>
    <w:rsid w:val="00980843"/>
    <w:rsid w:val="009C4662"/>
    <w:rsid w:val="009E2791"/>
    <w:rsid w:val="009E3F6F"/>
    <w:rsid w:val="009F12BA"/>
    <w:rsid w:val="009F3183"/>
    <w:rsid w:val="009F499F"/>
    <w:rsid w:val="00A30B86"/>
    <w:rsid w:val="00A40716"/>
    <w:rsid w:val="00A42DAF"/>
    <w:rsid w:val="00A45BD8"/>
    <w:rsid w:val="00A53211"/>
    <w:rsid w:val="00A869B7"/>
    <w:rsid w:val="00A935DD"/>
    <w:rsid w:val="00AC205C"/>
    <w:rsid w:val="00AE32E6"/>
    <w:rsid w:val="00AF0A6B"/>
    <w:rsid w:val="00B05A69"/>
    <w:rsid w:val="00B34E6B"/>
    <w:rsid w:val="00B4227A"/>
    <w:rsid w:val="00B44F77"/>
    <w:rsid w:val="00B76E8B"/>
    <w:rsid w:val="00B9734B"/>
    <w:rsid w:val="00BB58F1"/>
    <w:rsid w:val="00BC663F"/>
    <w:rsid w:val="00C000B4"/>
    <w:rsid w:val="00C11BFE"/>
    <w:rsid w:val="00C45D08"/>
    <w:rsid w:val="00C54E21"/>
    <w:rsid w:val="00C57058"/>
    <w:rsid w:val="00C64D0E"/>
    <w:rsid w:val="00C744E8"/>
    <w:rsid w:val="00C83BBF"/>
    <w:rsid w:val="00CB33B1"/>
    <w:rsid w:val="00CC4AF2"/>
    <w:rsid w:val="00CC7F0D"/>
    <w:rsid w:val="00D15A81"/>
    <w:rsid w:val="00D235FE"/>
    <w:rsid w:val="00D24317"/>
    <w:rsid w:val="00D252C2"/>
    <w:rsid w:val="00D2564D"/>
    <w:rsid w:val="00D278DA"/>
    <w:rsid w:val="00D30167"/>
    <w:rsid w:val="00D338E6"/>
    <w:rsid w:val="00D36B5D"/>
    <w:rsid w:val="00D406AA"/>
    <w:rsid w:val="00D45252"/>
    <w:rsid w:val="00D46522"/>
    <w:rsid w:val="00D71B4D"/>
    <w:rsid w:val="00D87FA8"/>
    <w:rsid w:val="00D93D55"/>
    <w:rsid w:val="00DB6913"/>
    <w:rsid w:val="00DC660E"/>
    <w:rsid w:val="00DD3C45"/>
    <w:rsid w:val="00E207BB"/>
    <w:rsid w:val="00E335FE"/>
    <w:rsid w:val="00E42924"/>
    <w:rsid w:val="00E4720A"/>
    <w:rsid w:val="00E52BDB"/>
    <w:rsid w:val="00EC4E49"/>
    <w:rsid w:val="00ED63AA"/>
    <w:rsid w:val="00ED77FB"/>
    <w:rsid w:val="00EE221A"/>
    <w:rsid w:val="00EE234A"/>
    <w:rsid w:val="00EE2883"/>
    <w:rsid w:val="00EE33D4"/>
    <w:rsid w:val="00EE45FA"/>
    <w:rsid w:val="00F31144"/>
    <w:rsid w:val="00F551D1"/>
    <w:rsid w:val="00F56395"/>
    <w:rsid w:val="00F66152"/>
    <w:rsid w:val="00F676E3"/>
    <w:rsid w:val="00FB4320"/>
    <w:rsid w:val="00FC1370"/>
    <w:rsid w:val="00FD1545"/>
    <w:rsid w:val="00FD29B1"/>
    <w:rsid w:val="00FD6361"/>
    <w:rsid w:val="00FE0614"/>
    <w:rsid w:val="00FE5203"/>
    <w:rsid w:val="00FE7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8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character" w:customStyle="1" w:styleId="s">
    <w:name w:val="s"/>
    <w:basedOn w:val="DefaultParagraphFont"/>
    <w:rsid w:val="007761E4"/>
  </w:style>
  <w:style w:type="paragraph" w:customStyle="1" w:styleId="Default">
    <w:name w:val="Default"/>
    <w:rsid w:val="00882A9B"/>
    <w:pPr>
      <w:autoSpaceDE w:val="0"/>
      <w:autoSpaceDN w:val="0"/>
      <w:adjustRightInd w:val="0"/>
    </w:pPr>
    <w:rPr>
      <w:color w:val="000000"/>
      <w:sz w:val="24"/>
      <w:szCs w:val="24"/>
    </w:rPr>
  </w:style>
  <w:style w:type="character" w:styleId="FollowedHyperlink">
    <w:name w:val="FollowedHyperlink"/>
    <w:basedOn w:val="DefaultParagraphFont"/>
    <w:rsid w:val="00CC7F0D"/>
    <w:rPr>
      <w:color w:val="800080" w:themeColor="followedHyperlink"/>
      <w:u w:val="single"/>
    </w:rPr>
  </w:style>
  <w:style w:type="character" w:customStyle="1" w:styleId="CommentTextChar">
    <w:name w:val="Comment Text Char"/>
    <w:basedOn w:val="DefaultParagraphFont"/>
    <w:link w:val="CommentText"/>
    <w:uiPriority w:val="99"/>
    <w:rsid w:val="004E2F2D"/>
    <w:rPr>
      <w:rFonts w:ascii="Arial" w:eastAsia="SimSun" w:hAnsi="Arial" w:cs="Arial"/>
      <w:sz w:val="18"/>
      <w:lang w:eastAsia="zh-CN"/>
    </w:rPr>
  </w:style>
  <w:style w:type="character" w:styleId="FootnoteReference">
    <w:name w:val="footnote reference"/>
    <w:uiPriority w:val="99"/>
    <w:unhideWhenUsed/>
    <w:rsid w:val="004E2F2D"/>
    <w:rPr>
      <w:rFonts w:ascii="Times New Roman" w:hAnsi="Times New Roman" w:cs="Times New Roman" w:hint="default"/>
      <w:vertAlign w:val="superscript"/>
    </w:rPr>
  </w:style>
  <w:style w:type="character" w:customStyle="1" w:styleId="FootnoteTextChar">
    <w:name w:val="Footnote Text Char"/>
    <w:basedOn w:val="DefaultParagraphFont"/>
    <w:link w:val="FootnoteText"/>
    <w:uiPriority w:val="99"/>
    <w:semiHidden/>
    <w:rsid w:val="004E2F2D"/>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8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character" w:customStyle="1" w:styleId="s">
    <w:name w:val="s"/>
    <w:basedOn w:val="DefaultParagraphFont"/>
    <w:rsid w:val="007761E4"/>
  </w:style>
  <w:style w:type="paragraph" w:customStyle="1" w:styleId="Default">
    <w:name w:val="Default"/>
    <w:rsid w:val="00882A9B"/>
    <w:pPr>
      <w:autoSpaceDE w:val="0"/>
      <w:autoSpaceDN w:val="0"/>
      <w:adjustRightInd w:val="0"/>
    </w:pPr>
    <w:rPr>
      <w:color w:val="000000"/>
      <w:sz w:val="24"/>
      <w:szCs w:val="24"/>
    </w:rPr>
  </w:style>
  <w:style w:type="character" w:styleId="FollowedHyperlink">
    <w:name w:val="FollowedHyperlink"/>
    <w:basedOn w:val="DefaultParagraphFont"/>
    <w:rsid w:val="00CC7F0D"/>
    <w:rPr>
      <w:color w:val="800080" w:themeColor="followedHyperlink"/>
      <w:u w:val="single"/>
    </w:rPr>
  </w:style>
  <w:style w:type="character" w:customStyle="1" w:styleId="CommentTextChar">
    <w:name w:val="Comment Text Char"/>
    <w:basedOn w:val="DefaultParagraphFont"/>
    <w:link w:val="CommentText"/>
    <w:uiPriority w:val="99"/>
    <w:rsid w:val="004E2F2D"/>
    <w:rPr>
      <w:rFonts w:ascii="Arial" w:eastAsia="SimSun" w:hAnsi="Arial" w:cs="Arial"/>
      <w:sz w:val="18"/>
      <w:lang w:eastAsia="zh-CN"/>
    </w:rPr>
  </w:style>
  <w:style w:type="character" w:styleId="FootnoteReference">
    <w:name w:val="footnote reference"/>
    <w:uiPriority w:val="99"/>
    <w:unhideWhenUsed/>
    <w:rsid w:val="004E2F2D"/>
    <w:rPr>
      <w:rFonts w:ascii="Times New Roman" w:hAnsi="Times New Roman" w:cs="Times New Roman" w:hint="default"/>
      <w:vertAlign w:val="superscript"/>
    </w:rPr>
  </w:style>
  <w:style w:type="character" w:customStyle="1" w:styleId="FootnoteTextChar">
    <w:name w:val="Footnote Text Char"/>
    <w:basedOn w:val="DefaultParagraphFont"/>
    <w:link w:val="FootnoteText"/>
    <w:uiPriority w:val="99"/>
    <w:semiHidden/>
    <w:rsid w:val="004E2F2D"/>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AC3F-BBB6-4B37-88CD-832B7600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291</TotalTime>
  <Pages>8</Pages>
  <Words>2702</Words>
  <Characters>13444</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Informe sobre la marcha de la aplicación de las recomendaciones de la Dependencia Común de Inspección (DCI) dirigidas a los órgnanos legislativos de la OMPI</vt:lpstr>
    </vt:vector>
  </TitlesOfParts>
  <Company>WIPO</Company>
  <LinksUpToDate>false</LinksUpToDate>
  <CharactersWithSpaces>16114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marcha de la aplicación de las recomendaciones de la Dependencia Común de Inspección (DCI) dirigidas a los órgnanos legislativos de la OMPI</dc:title>
  <dc:subject>WO/PBC/22/26</dc:subject>
  <dc:creator>HALLER</dc:creator>
  <cp:keywords>implementation, JIU recommendations</cp:keywords>
  <dc:description>MH_x000d_
29/07/2014</dc:description>
  <cp:lastModifiedBy>HÄFLIGER Patience</cp:lastModifiedBy>
  <cp:revision>10</cp:revision>
  <cp:lastPrinted>2014-09-09T13:03:00Z</cp:lastPrinted>
  <dcterms:created xsi:type="dcterms:W3CDTF">2014-09-09T09:53:00Z</dcterms:created>
  <dcterms:modified xsi:type="dcterms:W3CDTF">2014-09-09T16:19:00Z</dcterms:modified>
</cp:coreProperties>
</file>